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48E" w:rsidRDefault="006E11A0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30</w:t>
      </w:r>
      <w:r w:rsidR="00A069BB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舌下微循环成像系统 1台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1.适用于观察舌下微循环，对舌下组织内微循环的红细胞流动情况进行放大观察；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★2.产品由微循环成像硬件与软件与一次性镜片组成，并获得医疗器械注册证，确认临床使用的安全性；（说明：可在临床使用）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●3.光源：LED</w:t>
      </w:r>
      <w:proofErr w:type="gramStart"/>
      <w:r>
        <w:rPr>
          <w:rFonts w:ascii="仿宋_GB2312" w:eastAsia="仿宋_GB2312" w:hint="eastAsia"/>
          <w:sz w:val="32"/>
          <w:szCs w:val="32"/>
        </w:rPr>
        <w:t>灯持续</w:t>
      </w:r>
      <w:proofErr w:type="gramEnd"/>
      <w:r>
        <w:rPr>
          <w:rFonts w:ascii="仿宋_GB2312" w:eastAsia="仿宋_GB2312" w:hint="eastAsia"/>
          <w:sz w:val="32"/>
          <w:szCs w:val="32"/>
        </w:rPr>
        <w:t>照明，波长范围515nm-525nm，以保证成像质量；(说明：让采集的图像更清晰)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●4.采用光纤导光并成角度聚焦照明，提高照度均性，提高光强利用率；（说明：持续导光，图像更稳定）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5.光源功率≥3mw，为视野充分照明提供保证；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6.操作主体：长度≤255mm，宽度、高度≤50mm，方便手持操作；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7.产品分辨率≥130LP/mm；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8.CCD分辨率≥600×400；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9.光学放大倍率≥5倍；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10.调焦方式：手动调焦；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●11.智能光学自适应系统，与软件整合优化；不需手动调节光源亮度，减少操作步骤，提高微循环图像采集的成功率；（说明：减少医护人员工作量）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●12.单手稳定操作设计，操作舒适轻松，快速看见清晰稳定的微循环图像；（说明：减少医护人员工作量）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●13.软件采用模拟ICU的床位模块化设计，可设置床位数量、病人信息，以及自动标记每一床位的上次采集时间，方</w:t>
      </w:r>
      <w:r>
        <w:rPr>
          <w:rFonts w:ascii="仿宋_GB2312" w:eastAsia="仿宋_GB2312" w:hint="eastAsia"/>
          <w:sz w:val="32"/>
          <w:szCs w:val="32"/>
        </w:rPr>
        <w:lastRenderedPageBreak/>
        <w:t>便科室的使用；（说明：更符合ICU的临床设计）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14.配有触摸屏≥21寸，软件触控交互设计，方便床旁使用；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15.已采集的检查，可选用列表式与平铺式，并对已分析的检查自动标记，方便医护人员对近期检查的关注；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16.可对血管自动识别，并计算出血管长度与直径；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17.具有将血管自动分类的功能，分成大、中、小血管；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18.具有报告界面，并可用触控方式，将图像快速拖入报告单，方便临床操作；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19.具有导出功能：可将选择的检查，快速导出，方便科研与教学；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20.一次性镜片采用医用光学材料，保证成像质量，并可防止病人交叉感染；</w:t>
      </w:r>
    </w:p>
    <w:p w:rsidR="00E3148E" w:rsidRPr="00A069BB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 w:rsidRPr="00A069BB">
        <w:rPr>
          <w:rFonts w:ascii="仿宋_GB2312" w:eastAsia="仿宋_GB2312" w:hint="eastAsia"/>
          <w:sz w:val="32"/>
          <w:szCs w:val="32"/>
        </w:rPr>
        <w:t>21</w:t>
      </w:r>
      <w:r w:rsidRPr="00A069BB">
        <w:rPr>
          <w:rFonts w:ascii="仿宋_GB2312" w:eastAsia="仿宋_GB2312"/>
          <w:sz w:val="32"/>
          <w:szCs w:val="32"/>
        </w:rPr>
        <w:t>.</w:t>
      </w:r>
      <w:r w:rsidRPr="00A069BB">
        <w:rPr>
          <w:rFonts w:ascii="仿宋_GB2312" w:eastAsia="仿宋_GB2312" w:hint="eastAsia"/>
          <w:sz w:val="32"/>
          <w:szCs w:val="32"/>
        </w:rPr>
        <w:t>配有一体式专用移动工作站，配有触摸屏，可拆卸内置备用电池，工作站主机配套有</w:t>
      </w:r>
      <w:r w:rsidRPr="00A069BB">
        <w:rPr>
          <w:rFonts w:ascii="仿宋_GB2312" w:eastAsia="仿宋_GB2312"/>
          <w:sz w:val="32"/>
          <w:szCs w:val="32"/>
        </w:rPr>
        <w:t>3</w:t>
      </w:r>
      <w:r w:rsidRPr="00A069BB">
        <w:rPr>
          <w:rFonts w:ascii="仿宋_GB2312" w:eastAsia="仿宋_GB2312" w:hint="eastAsia"/>
          <w:sz w:val="32"/>
          <w:szCs w:val="32"/>
        </w:rPr>
        <w:t>个备用电池槽</w:t>
      </w:r>
      <w:r w:rsidRPr="00A069BB">
        <w:rPr>
          <w:rFonts w:ascii="仿宋_GB2312" w:eastAsia="仿宋_GB2312"/>
          <w:sz w:val="32"/>
          <w:szCs w:val="32"/>
        </w:rPr>
        <w:t>(</w:t>
      </w:r>
      <w:r w:rsidRPr="00A069BB">
        <w:rPr>
          <w:rFonts w:ascii="仿宋_GB2312" w:eastAsia="仿宋_GB2312" w:hint="eastAsia"/>
          <w:sz w:val="32"/>
          <w:szCs w:val="32"/>
        </w:rPr>
        <w:t>提供产品图片证明），能在断电等恶劣情况下保持正常工作状态；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 w:rsidRPr="00A069BB">
        <w:rPr>
          <w:rFonts w:ascii="仿宋_GB2312" w:eastAsia="仿宋_GB2312" w:hint="eastAsia"/>
          <w:sz w:val="32"/>
          <w:szCs w:val="32"/>
        </w:rPr>
        <w:t>22</w:t>
      </w:r>
      <w:r w:rsidRPr="00A069BB">
        <w:rPr>
          <w:rFonts w:ascii="仿宋_GB2312" w:eastAsia="仿宋_GB2312"/>
          <w:sz w:val="32"/>
          <w:szCs w:val="32"/>
        </w:rPr>
        <w:t>.</w:t>
      </w:r>
      <w:r w:rsidRPr="00A069BB">
        <w:rPr>
          <w:rFonts w:ascii="仿宋_GB2312" w:eastAsia="仿宋_GB2312" w:hint="eastAsia"/>
          <w:sz w:val="32"/>
          <w:szCs w:val="32"/>
        </w:rPr>
        <w:t>配置要求：舌下微循环成像主机1台；舌下微循环分析软件1套；一次性镜片</w:t>
      </w:r>
      <w:r w:rsidRPr="00A069BB">
        <w:rPr>
          <w:rFonts w:ascii="仿宋_GB2312" w:eastAsia="仿宋_GB2312"/>
          <w:sz w:val="32"/>
          <w:szCs w:val="32"/>
        </w:rPr>
        <w:t>20</w:t>
      </w:r>
      <w:r w:rsidRPr="00A069BB">
        <w:rPr>
          <w:rFonts w:ascii="仿宋_GB2312" w:eastAsia="仿宋_GB2312" w:hint="eastAsia"/>
          <w:sz w:val="32"/>
          <w:szCs w:val="32"/>
        </w:rPr>
        <w:t>个；移动工作站1个</w:t>
      </w:r>
    </w:p>
    <w:p w:rsidR="00A069BB" w:rsidRDefault="00A069BB" w:rsidP="00A069BB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质保2年，2小时响应，24小时到场。</w:t>
      </w:r>
    </w:p>
    <w:p w:rsidR="00E3148E" w:rsidRDefault="006E11A0" w:rsidP="00A069B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设备中标后负责安装到位，交由采购方验收后使用。</w:t>
      </w:r>
    </w:p>
    <w:p w:rsidR="0023521E" w:rsidRDefault="0023521E">
      <w:pPr>
        <w:widowControl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br w:type="page"/>
      </w:r>
    </w:p>
    <w:p w:rsidR="0023521E" w:rsidRDefault="0023521E" w:rsidP="0023521E">
      <w:pPr>
        <w:spacing w:line="560" w:lineRule="exact"/>
        <w:ind w:firstLineChars="200" w:firstLine="640"/>
        <w:rPr>
          <w:rFonts w:ascii="仿宋_GB2312" w:eastAsia="仿宋_GB2312" w:hAnsiTheme="minorEastAsia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  <w:u w:val="single"/>
        </w:rPr>
        <w:lastRenderedPageBreak/>
        <w:t>舌下微循环成像系统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Theme="minorEastAsia" w:cs="宋体" w:hint="eastAsia"/>
          <w:sz w:val="32"/>
          <w:szCs w:val="32"/>
        </w:rPr>
        <w:t>属配套使用试剂耗材的医疗设备，设备预估使用寿命为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 10  </w:t>
      </w:r>
      <w:r>
        <w:rPr>
          <w:rFonts w:ascii="仿宋_GB2312" w:eastAsia="仿宋_GB2312" w:hAnsiTheme="minorEastAsia" w:cs="宋体" w:hint="eastAsia"/>
          <w:sz w:val="32"/>
          <w:szCs w:val="32"/>
        </w:rPr>
        <w:t>年，该设备主要用于开展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宋体" w:cs="宋体" w:hint="eastAsia"/>
          <w:sz w:val="32"/>
          <w:szCs w:val="32"/>
          <w:u w:val="single"/>
        </w:rPr>
        <w:t>舌下微循环监测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Theme="minorEastAsia" w:cs="宋体" w:hint="eastAsia"/>
          <w:sz w:val="32"/>
          <w:szCs w:val="32"/>
        </w:rPr>
        <w:t>项目，每年开展治疗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1000 </w:t>
      </w:r>
      <w:r>
        <w:rPr>
          <w:rFonts w:ascii="仿宋_GB2312" w:eastAsia="仿宋_GB2312" w:hAnsiTheme="minorEastAsia" w:cs="宋体" w:hint="eastAsia"/>
          <w:sz w:val="32"/>
          <w:szCs w:val="32"/>
        </w:rPr>
        <w:t>人次，耗材预算金额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120 </w:t>
      </w:r>
      <w:r>
        <w:rPr>
          <w:rFonts w:ascii="仿宋_GB2312" w:eastAsia="仿宋_GB2312" w:hAnsiTheme="minorEastAsia" w:cs="宋体" w:hint="eastAsia"/>
          <w:sz w:val="32"/>
          <w:szCs w:val="32"/>
        </w:rPr>
        <w:t>元/人次，设备全生命周期内使用耗材预算金额为：10*1000*120=120万元/台。</w:t>
      </w:r>
    </w:p>
    <w:p w:rsidR="00E3148E" w:rsidRPr="0023521E" w:rsidRDefault="00E3148E" w:rsidP="00A069BB">
      <w:pPr>
        <w:spacing w:line="560" w:lineRule="exact"/>
        <w:jc w:val="left"/>
        <w:rPr>
          <w:rFonts w:ascii="仿宋_GB2312" w:eastAsia="仿宋_GB2312" w:hAnsi="宋体"/>
          <w:sz w:val="28"/>
          <w:szCs w:val="28"/>
        </w:rPr>
      </w:pPr>
      <w:bookmarkStart w:id="0" w:name="_GoBack"/>
      <w:bookmarkEnd w:id="0"/>
    </w:p>
    <w:sectPr w:rsidR="00E3148E" w:rsidRPr="0023521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B61" w:rsidRDefault="00B77B61">
      <w:r>
        <w:separator/>
      </w:r>
    </w:p>
  </w:endnote>
  <w:endnote w:type="continuationSeparator" w:id="0">
    <w:p w:rsidR="00B77B61" w:rsidRDefault="00B77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48E" w:rsidRDefault="006E11A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3148E" w:rsidRDefault="006E11A0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3521E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3148E" w:rsidRDefault="006E11A0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3521E">
                      <w:rPr>
                        <w:noProof/>
                      </w:rP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B61" w:rsidRDefault="00B77B61">
      <w:r>
        <w:separator/>
      </w:r>
    </w:p>
  </w:footnote>
  <w:footnote w:type="continuationSeparator" w:id="0">
    <w:p w:rsidR="00B77B61" w:rsidRDefault="00B77B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48E"/>
    <w:rsid w:val="0023521E"/>
    <w:rsid w:val="006E11A0"/>
    <w:rsid w:val="00A069BB"/>
    <w:rsid w:val="00B77B61"/>
    <w:rsid w:val="00C95416"/>
    <w:rsid w:val="00E3148E"/>
    <w:rsid w:val="0E0462F4"/>
    <w:rsid w:val="0EA363E8"/>
    <w:rsid w:val="0F82476D"/>
    <w:rsid w:val="10DF4C25"/>
    <w:rsid w:val="1303136A"/>
    <w:rsid w:val="23565043"/>
    <w:rsid w:val="27BD0A66"/>
    <w:rsid w:val="286A0D35"/>
    <w:rsid w:val="2A1A60AA"/>
    <w:rsid w:val="2A757554"/>
    <w:rsid w:val="2C421B96"/>
    <w:rsid w:val="2EC21B07"/>
    <w:rsid w:val="3697689F"/>
    <w:rsid w:val="39837BB7"/>
    <w:rsid w:val="3E122F26"/>
    <w:rsid w:val="3F14119A"/>
    <w:rsid w:val="44BF6D48"/>
    <w:rsid w:val="4D8F0E09"/>
    <w:rsid w:val="4E690D93"/>
    <w:rsid w:val="4F823FC5"/>
    <w:rsid w:val="4FE70929"/>
    <w:rsid w:val="57FC659E"/>
    <w:rsid w:val="5CAE082B"/>
    <w:rsid w:val="5F7463FD"/>
    <w:rsid w:val="602E7211"/>
    <w:rsid w:val="63105922"/>
    <w:rsid w:val="6AC135BA"/>
    <w:rsid w:val="70172B1C"/>
    <w:rsid w:val="77AE377A"/>
    <w:rsid w:val="7A845D2F"/>
    <w:rsid w:val="7EAA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宋体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  <w:rPr>
      <w:kern w:val="0"/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宋体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  <w:rPr>
      <w:kern w:val="0"/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161</Words>
  <Characters>920</Characters>
  <Application>Microsoft Office Word</Application>
  <DocSecurity>0</DocSecurity>
  <Lines>7</Lines>
  <Paragraphs>2</Paragraphs>
  <ScaleCrop>false</ScaleCrop>
  <Company>MS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cp:lastPrinted>2023-02-16T08:04:00Z</cp:lastPrinted>
  <dcterms:created xsi:type="dcterms:W3CDTF">2022-10-18T12:23:00Z</dcterms:created>
  <dcterms:modified xsi:type="dcterms:W3CDTF">2023-11-28T07:36:00Z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