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E690F">
      <w:pPr>
        <w:spacing w:line="560" w:lineRule="exact"/>
        <w:ind w:firstLine="630"/>
        <w:rPr>
          <w:rFonts w:hint="eastAsia" w:ascii="方正小标宋简体" w:eastAsia="方正小标宋简体"/>
          <w:bCs/>
          <w:spacing w:val="-4"/>
          <w:sz w:val="44"/>
          <w:szCs w:val="44"/>
        </w:rPr>
      </w:pPr>
      <w:r>
        <w:rPr>
          <w:rFonts w:hint="eastAsia" w:ascii="方正小标宋简体" w:eastAsia="方正小标宋简体"/>
          <w:bCs/>
          <w:spacing w:val="-4"/>
          <w:sz w:val="44"/>
          <w:szCs w:val="44"/>
        </w:rPr>
        <w:t>网络安全等级保护测评采购项目</w:t>
      </w:r>
    </w:p>
    <w:p w14:paraId="42528E96">
      <w:pPr>
        <w:spacing w:line="560" w:lineRule="exact"/>
        <w:ind w:firstLine="630"/>
        <w:rPr>
          <w:rFonts w:hint="eastAsia" w:ascii="方正小标宋简体" w:eastAsia="方正小标宋简体"/>
          <w:bCs/>
          <w:spacing w:val="-4"/>
          <w:sz w:val="44"/>
          <w:szCs w:val="44"/>
        </w:rPr>
      </w:pPr>
    </w:p>
    <w:p w14:paraId="2BF88D64">
      <w:pPr>
        <w:spacing w:line="560" w:lineRule="exact"/>
        <w:ind w:firstLine="630"/>
        <w:rPr>
          <w:rFonts w:ascii="黑体" w:hAnsi="黑体" w:eastAsia="黑体"/>
          <w:sz w:val="32"/>
          <w:szCs w:val="32"/>
        </w:rPr>
      </w:pPr>
      <w:r>
        <w:rPr>
          <w:rFonts w:hint="eastAsia" w:ascii="黑体" w:hAnsi="黑体" w:eastAsia="黑体"/>
          <w:sz w:val="32"/>
          <w:szCs w:val="32"/>
        </w:rPr>
        <w:t>一、采购项目基本情况</w:t>
      </w:r>
    </w:p>
    <w:p w14:paraId="6406482C">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在完成网络安全等级保护服务与配套设施建设项目后，按照国家信息安全等级保护制度的要求，对现有信息化基础设施进行全面网络安全等级测评。测评过程中将重点检查信息系统的安全防护能力，包括网络架构安全性、系统漏洞防范、数据加密保护、访问控制管理、入侵防御能力、日志审计系统等关键环节的实现程度。针对测评中发现的不足之处，医院将及时制定针对性修正方案，最终达到国家规定的网络安全等级保护三级标准。这一目标的实现将为医院信息化建设奠定坚实的安全基础，确保医疗数据安全，保障医疗服务的连续性和可靠性，维护患者信息安全，符合国家信息安全监管要求，项目预算为35万元。</w:t>
      </w:r>
    </w:p>
    <w:p w14:paraId="56C5865D">
      <w:pPr>
        <w:spacing w:line="560" w:lineRule="exact"/>
        <w:ind w:firstLine="3680" w:firstLineChars="1150"/>
        <w:rPr>
          <w:rFonts w:hAnsi="黑体" w:eastAsia="黑体"/>
          <w:sz w:val="32"/>
          <w:szCs w:val="32"/>
        </w:rPr>
      </w:pPr>
    </w:p>
    <w:p w14:paraId="3D0F5F79">
      <w:pPr>
        <w:spacing w:line="560" w:lineRule="exact"/>
        <w:rPr>
          <w:rFonts w:ascii="仿宋_GB2312" w:hAnsi="仿宋" w:eastAsia="仿宋_GB2312"/>
          <w:color w:val="000000"/>
          <w:sz w:val="32"/>
          <w:szCs w:val="32"/>
        </w:rPr>
        <w:sectPr>
          <w:pgSz w:w="11906" w:h="16838"/>
          <w:pgMar w:top="1440" w:right="1800" w:bottom="1440" w:left="1800" w:header="851" w:footer="992" w:gutter="0"/>
          <w:cols w:space="425" w:num="1"/>
          <w:docGrid w:type="lines" w:linePitch="312" w:charSpace="0"/>
        </w:sectPr>
      </w:pPr>
    </w:p>
    <w:p w14:paraId="1A46E6C0">
      <w:pPr>
        <w:widowControl/>
        <w:spacing w:line="579" w:lineRule="exact"/>
        <w:jc w:val="left"/>
        <w:rPr>
          <w:rFonts w:ascii="黑体" w:hAnsi="黑体" w:eastAsia="黑体" w:cs="Times New Roman"/>
          <w:sz w:val="32"/>
          <w:szCs w:val="32"/>
        </w:rPr>
      </w:pPr>
      <w:r>
        <w:rPr>
          <w:rFonts w:hint="eastAsia" w:ascii="黑体" w:hAnsi="黑体" w:eastAsia="黑体" w:cs="Times New Roman"/>
          <w:sz w:val="32"/>
          <w:szCs w:val="32"/>
        </w:rPr>
        <w:t>附件</w:t>
      </w:r>
    </w:p>
    <w:p w14:paraId="2F789271">
      <w:pPr>
        <w:spacing w:line="579"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采购需求明细表（服务）</w:t>
      </w:r>
    </w:p>
    <w:p w14:paraId="09F3AD47">
      <w:pPr>
        <w:widowControl/>
        <w:snapToGrid w:val="0"/>
        <w:jc w:val="center"/>
        <w:rPr>
          <w:rFonts w:hAnsi="宋体"/>
          <w:sz w:val="28"/>
          <w:szCs w:val="28"/>
        </w:rPr>
      </w:pPr>
      <w:r>
        <w:rPr>
          <w:rFonts w:hint="eastAsia" w:hAnsi="宋体"/>
          <w:sz w:val="28"/>
          <w:szCs w:val="28"/>
        </w:rPr>
        <w:t>编制单位：                                                编制时间： 2025年6月23日</w:t>
      </w:r>
    </w:p>
    <w:tbl>
      <w:tblPr>
        <w:tblStyle w:val="7"/>
        <w:tblW w:w="1502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913"/>
        <w:gridCol w:w="1701"/>
        <w:gridCol w:w="992"/>
        <w:gridCol w:w="738"/>
        <w:gridCol w:w="1530"/>
        <w:gridCol w:w="1369"/>
        <w:gridCol w:w="1325"/>
        <w:gridCol w:w="2409"/>
        <w:gridCol w:w="1276"/>
      </w:tblGrid>
      <w:tr w14:paraId="5BCD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73" w:type="dxa"/>
            <w:tcBorders>
              <w:top w:val="single" w:color="auto" w:sz="4" w:space="0"/>
              <w:left w:val="single" w:color="auto" w:sz="4" w:space="0"/>
              <w:bottom w:val="single" w:color="auto" w:sz="4" w:space="0"/>
              <w:right w:val="single" w:color="auto" w:sz="4" w:space="0"/>
            </w:tcBorders>
            <w:vAlign w:val="center"/>
          </w:tcPr>
          <w:p w14:paraId="540D2F3C">
            <w:pPr>
              <w:overflowPunct w:val="0"/>
              <w:spacing w:line="300" w:lineRule="exact"/>
              <w:jc w:val="center"/>
              <w:rPr>
                <w:rFonts w:ascii="黑体" w:hAnsi="黑体" w:eastAsia="黑体" w:cs="宋体"/>
                <w:sz w:val="24"/>
                <w:szCs w:val="24"/>
              </w:rPr>
            </w:pPr>
            <w:r>
              <w:rPr>
                <w:rFonts w:hint="eastAsia" w:ascii="黑体" w:hAnsi="黑体" w:eastAsia="黑体" w:cs="宋体"/>
                <w:sz w:val="24"/>
              </w:rPr>
              <w:t>序号</w:t>
            </w:r>
          </w:p>
        </w:tc>
        <w:tc>
          <w:tcPr>
            <w:tcW w:w="2913" w:type="dxa"/>
            <w:tcBorders>
              <w:top w:val="single" w:color="auto" w:sz="4" w:space="0"/>
              <w:left w:val="single" w:color="auto" w:sz="4" w:space="0"/>
              <w:bottom w:val="single" w:color="auto" w:sz="4" w:space="0"/>
              <w:right w:val="single" w:color="auto" w:sz="4" w:space="0"/>
            </w:tcBorders>
            <w:vAlign w:val="center"/>
          </w:tcPr>
          <w:p w14:paraId="1B06E671">
            <w:pPr>
              <w:overflowPunct w:val="0"/>
              <w:spacing w:line="300" w:lineRule="exact"/>
              <w:jc w:val="center"/>
              <w:rPr>
                <w:rFonts w:ascii="黑体" w:hAnsi="黑体" w:eastAsia="黑体" w:cs="宋体"/>
                <w:sz w:val="24"/>
                <w:szCs w:val="24"/>
              </w:rPr>
            </w:pPr>
            <w:r>
              <w:rPr>
                <w:rFonts w:hint="eastAsia" w:ascii="黑体" w:hAnsi="黑体" w:eastAsia="黑体" w:cs="宋体"/>
                <w:sz w:val="24"/>
              </w:rPr>
              <w:t>项目及品种名称</w:t>
            </w:r>
          </w:p>
        </w:tc>
        <w:tc>
          <w:tcPr>
            <w:tcW w:w="1701" w:type="dxa"/>
            <w:tcBorders>
              <w:top w:val="single" w:color="auto" w:sz="4" w:space="0"/>
              <w:left w:val="single" w:color="auto" w:sz="4" w:space="0"/>
              <w:bottom w:val="single" w:color="auto" w:sz="4" w:space="0"/>
              <w:right w:val="single" w:color="auto" w:sz="4" w:space="0"/>
            </w:tcBorders>
            <w:vAlign w:val="center"/>
          </w:tcPr>
          <w:p w14:paraId="68FA98BB">
            <w:pPr>
              <w:overflowPunct w:val="0"/>
              <w:spacing w:line="300" w:lineRule="exact"/>
              <w:jc w:val="center"/>
              <w:rPr>
                <w:rFonts w:ascii="黑体" w:hAnsi="黑体" w:eastAsia="黑体" w:cs="宋体"/>
                <w:sz w:val="24"/>
                <w:szCs w:val="24"/>
              </w:rPr>
            </w:pPr>
            <w:r>
              <w:rPr>
                <w:rFonts w:hint="eastAsia" w:ascii="黑体" w:hAnsi="黑体" w:eastAsia="黑体" w:cs="宋体"/>
                <w:sz w:val="24"/>
              </w:rPr>
              <w:t>质量技术</w:t>
            </w:r>
            <w:r>
              <w:rPr>
                <w:rFonts w:hint="eastAsia" w:ascii="黑体" w:hAnsi="黑体" w:eastAsia="黑体" w:cs="宋体"/>
                <w:sz w:val="24"/>
              </w:rPr>
              <w:br w:type="textWrapping"/>
            </w:r>
            <w:r>
              <w:rPr>
                <w:rFonts w:hint="eastAsia" w:ascii="黑体" w:hAnsi="黑体" w:eastAsia="黑体" w:cs="宋体"/>
                <w:sz w:val="24"/>
              </w:rPr>
              <w:t>标准</w:t>
            </w:r>
          </w:p>
        </w:tc>
        <w:tc>
          <w:tcPr>
            <w:tcW w:w="992" w:type="dxa"/>
            <w:tcBorders>
              <w:top w:val="single" w:color="auto" w:sz="4" w:space="0"/>
              <w:left w:val="single" w:color="auto" w:sz="4" w:space="0"/>
              <w:bottom w:val="single" w:color="auto" w:sz="4" w:space="0"/>
              <w:right w:val="single" w:color="auto" w:sz="4" w:space="0"/>
            </w:tcBorders>
            <w:vAlign w:val="center"/>
          </w:tcPr>
          <w:p w14:paraId="10DA90D8">
            <w:pPr>
              <w:overflowPunct w:val="0"/>
              <w:spacing w:line="300" w:lineRule="exact"/>
              <w:jc w:val="center"/>
              <w:rPr>
                <w:rFonts w:ascii="黑体" w:hAnsi="黑体" w:eastAsia="黑体" w:cs="宋体"/>
                <w:sz w:val="24"/>
                <w:szCs w:val="24"/>
              </w:rPr>
            </w:pPr>
            <w:r>
              <w:rPr>
                <w:rFonts w:hint="eastAsia" w:ascii="黑体" w:hAnsi="黑体" w:eastAsia="黑体" w:cs="宋体"/>
                <w:sz w:val="24"/>
              </w:rPr>
              <w:t>计量</w:t>
            </w:r>
            <w:r>
              <w:rPr>
                <w:rFonts w:hint="eastAsia" w:ascii="黑体" w:hAnsi="黑体" w:eastAsia="黑体" w:cs="宋体"/>
                <w:sz w:val="24"/>
              </w:rPr>
              <w:br w:type="textWrapping"/>
            </w:r>
            <w:r>
              <w:rPr>
                <w:rFonts w:hint="eastAsia" w:ascii="黑体" w:hAnsi="黑体" w:eastAsia="黑体" w:cs="宋体"/>
                <w:sz w:val="24"/>
              </w:rPr>
              <w:t>单位</w:t>
            </w:r>
          </w:p>
        </w:tc>
        <w:tc>
          <w:tcPr>
            <w:tcW w:w="738" w:type="dxa"/>
            <w:tcBorders>
              <w:top w:val="single" w:color="auto" w:sz="4" w:space="0"/>
              <w:left w:val="single" w:color="auto" w:sz="4" w:space="0"/>
              <w:bottom w:val="single" w:color="auto" w:sz="4" w:space="0"/>
              <w:right w:val="single" w:color="auto" w:sz="4" w:space="0"/>
            </w:tcBorders>
            <w:vAlign w:val="center"/>
          </w:tcPr>
          <w:p w14:paraId="442F135B">
            <w:pPr>
              <w:overflowPunct w:val="0"/>
              <w:spacing w:line="300" w:lineRule="exact"/>
              <w:jc w:val="center"/>
              <w:rPr>
                <w:rFonts w:ascii="黑体" w:hAnsi="黑体" w:eastAsia="黑体" w:cs="宋体"/>
                <w:sz w:val="24"/>
                <w:szCs w:val="24"/>
              </w:rPr>
            </w:pPr>
            <w:r>
              <w:rPr>
                <w:rFonts w:hint="eastAsia" w:ascii="黑体" w:hAnsi="黑体" w:eastAsia="黑体" w:cs="宋体"/>
                <w:sz w:val="24"/>
              </w:rPr>
              <w:t>采购</w:t>
            </w:r>
            <w:r>
              <w:rPr>
                <w:rFonts w:hint="eastAsia" w:ascii="黑体" w:hAnsi="黑体" w:eastAsia="黑体" w:cs="宋体"/>
                <w:sz w:val="24"/>
              </w:rPr>
              <w:br w:type="textWrapping"/>
            </w:r>
            <w:r>
              <w:rPr>
                <w:rFonts w:hint="eastAsia" w:ascii="黑体" w:hAnsi="黑体" w:eastAsia="黑体" w:cs="宋体"/>
                <w:sz w:val="24"/>
              </w:rPr>
              <w:t>数量</w:t>
            </w:r>
          </w:p>
        </w:tc>
        <w:tc>
          <w:tcPr>
            <w:tcW w:w="1530" w:type="dxa"/>
            <w:tcBorders>
              <w:top w:val="single" w:color="auto" w:sz="4" w:space="0"/>
              <w:left w:val="single" w:color="auto" w:sz="4" w:space="0"/>
              <w:bottom w:val="single" w:color="auto" w:sz="4" w:space="0"/>
              <w:right w:val="single" w:color="auto" w:sz="4" w:space="0"/>
            </w:tcBorders>
            <w:vAlign w:val="center"/>
          </w:tcPr>
          <w:p w14:paraId="6281CDF8">
            <w:pPr>
              <w:overflowPunct w:val="0"/>
              <w:spacing w:line="300" w:lineRule="exact"/>
              <w:jc w:val="center"/>
              <w:rPr>
                <w:rFonts w:ascii="黑体" w:hAnsi="黑体" w:eastAsia="黑体" w:cs="宋体"/>
                <w:sz w:val="24"/>
                <w:szCs w:val="24"/>
              </w:rPr>
            </w:pPr>
            <w:r>
              <w:rPr>
                <w:rFonts w:hint="eastAsia" w:ascii="黑体" w:hAnsi="黑体" w:eastAsia="黑体" w:cs="宋体"/>
                <w:sz w:val="24"/>
              </w:rPr>
              <w:t>单价</w:t>
            </w:r>
            <w:r>
              <w:rPr>
                <w:rFonts w:hint="eastAsia" w:ascii="黑体" w:hAnsi="黑体" w:eastAsia="黑体" w:cs="宋体"/>
                <w:sz w:val="24"/>
              </w:rPr>
              <w:br w:type="textWrapping"/>
            </w:r>
            <w:r>
              <w:rPr>
                <w:rFonts w:hint="eastAsia" w:ascii="黑体" w:hAnsi="黑体" w:eastAsia="黑体" w:cs="宋体"/>
                <w:sz w:val="24"/>
              </w:rPr>
              <w:t>（元）</w:t>
            </w:r>
          </w:p>
        </w:tc>
        <w:tc>
          <w:tcPr>
            <w:tcW w:w="1369" w:type="dxa"/>
            <w:tcBorders>
              <w:top w:val="single" w:color="auto" w:sz="4" w:space="0"/>
              <w:left w:val="single" w:color="auto" w:sz="4" w:space="0"/>
              <w:bottom w:val="single" w:color="auto" w:sz="4" w:space="0"/>
              <w:right w:val="single" w:color="auto" w:sz="4" w:space="0"/>
            </w:tcBorders>
            <w:vAlign w:val="center"/>
          </w:tcPr>
          <w:p w14:paraId="3B46FB20">
            <w:pPr>
              <w:overflowPunct w:val="0"/>
              <w:spacing w:line="300" w:lineRule="exact"/>
              <w:jc w:val="center"/>
              <w:rPr>
                <w:rFonts w:ascii="黑体" w:hAnsi="黑体" w:eastAsia="黑体" w:cs="宋体"/>
                <w:sz w:val="24"/>
                <w:szCs w:val="24"/>
              </w:rPr>
            </w:pPr>
            <w:r>
              <w:rPr>
                <w:rFonts w:hint="eastAsia" w:ascii="黑体" w:hAnsi="黑体" w:eastAsia="黑体" w:cs="宋体"/>
                <w:sz w:val="24"/>
              </w:rPr>
              <w:t>预算金额</w:t>
            </w:r>
          </w:p>
          <w:p w14:paraId="677933EC">
            <w:pPr>
              <w:overflowPunct w:val="0"/>
              <w:spacing w:line="300" w:lineRule="exact"/>
              <w:jc w:val="center"/>
              <w:rPr>
                <w:rFonts w:ascii="黑体" w:hAnsi="黑体" w:eastAsia="黑体" w:cs="宋体"/>
                <w:sz w:val="24"/>
                <w:szCs w:val="24"/>
              </w:rPr>
            </w:pPr>
            <w:r>
              <w:rPr>
                <w:rFonts w:hint="eastAsia" w:ascii="黑体" w:hAnsi="黑体" w:eastAsia="黑体" w:cs="宋体"/>
                <w:sz w:val="24"/>
              </w:rPr>
              <w:t>（万元）</w:t>
            </w:r>
          </w:p>
        </w:tc>
        <w:tc>
          <w:tcPr>
            <w:tcW w:w="1325" w:type="dxa"/>
            <w:tcBorders>
              <w:top w:val="single" w:color="auto" w:sz="4" w:space="0"/>
              <w:left w:val="single" w:color="auto" w:sz="4" w:space="0"/>
              <w:bottom w:val="single" w:color="auto" w:sz="4" w:space="0"/>
              <w:right w:val="single" w:color="auto" w:sz="4" w:space="0"/>
            </w:tcBorders>
            <w:vAlign w:val="center"/>
          </w:tcPr>
          <w:p w14:paraId="4FB7E4AE">
            <w:pPr>
              <w:overflowPunct w:val="0"/>
              <w:spacing w:line="300" w:lineRule="exact"/>
              <w:jc w:val="center"/>
              <w:rPr>
                <w:rFonts w:ascii="黑体" w:hAnsi="黑体" w:eastAsia="黑体" w:cs="宋体"/>
                <w:sz w:val="24"/>
              </w:rPr>
            </w:pPr>
            <w:r>
              <w:rPr>
                <w:rFonts w:hint="eastAsia" w:ascii="黑体" w:hAnsi="黑体" w:eastAsia="黑体" w:cs="宋体"/>
                <w:sz w:val="24"/>
              </w:rPr>
              <w:t>交货(服务)地点</w:t>
            </w:r>
          </w:p>
        </w:tc>
        <w:tc>
          <w:tcPr>
            <w:tcW w:w="2409" w:type="dxa"/>
            <w:tcBorders>
              <w:top w:val="single" w:color="auto" w:sz="4" w:space="0"/>
              <w:left w:val="single" w:color="auto" w:sz="4" w:space="0"/>
              <w:bottom w:val="single" w:color="auto" w:sz="4" w:space="0"/>
              <w:right w:val="single" w:color="auto" w:sz="4" w:space="0"/>
            </w:tcBorders>
            <w:vAlign w:val="center"/>
          </w:tcPr>
          <w:p w14:paraId="508F41ED">
            <w:pPr>
              <w:overflowPunct w:val="0"/>
              <w:spacing w:line="300" w:lineRule="exact"/>
              <w:jc w:val="center"/>
              <w:rPr>
                <w:rFonts w:ascii="黑体" w:hAnsi="黑体" w:eastAsia="黑体" w:cs="宋体"/>
                <w:sz w:val="24"/>
                <w:szCs w:val="24"/>
              </w:rPr>
            </w:pPr>
            <w:r>
              <w:rPr>
                <w:rFonts w:hint="eastAsia" w:ascii="黑体" w:hAnsi="黑体" w:eastAsia="黑体" w:cs="宋体"/>
                <w:sz w:val="24"/>
              </w:rPr>
              <w:t>交付（实施）</w:t>
            </w:r>
          </w:p>
          <w:p w14:paraId="09787126">
            <w:pPr>
              <w:overflowPunct w:val="0"/>
              <w:spacing w:line="300" w:lineRule="exact"/>
              <w:jc w:val="center"/>
              <w:rPr>
                <w:rFonts w:ascii="黑体" w:hAnsi="黑体" w:eastAsia="黑体" w:cs="宋体"/>
                <w:sz w:val="24"/>
                <w:szCs w:val="24"/>
              </w:rPr>
            </w:pPr>
            <w:r>
              <w:rPr>
                <w:rFonts w:hint="eastAsia" w:ascii="黑体" w:hAnsi="黑体" w:eastAsia="黑体" w:cs="宋体"/>
                <w:sz w:val="24"/>
              </w:rPr>
              <w:t>时间</w:t>
            </w:r>
          </w:p>
        </w:tc>
        <w:tc>
          <w:tcPr>
            <w:tcW w:w="1276" w:type="dxa"/>
            <w:tcBorders>
              <w:top w:val="single" w:color="auto" w:sz="4" w:space="0"/>
              <w:left w:val="single" w:color="auto" w:sz="4" w:space="0"/>
              <w:bottom w:val="single" w:color="auto" w:sz="4" w:space="0"/>
              <w:right w:val="single" w:color="auto" w:sz="4" w:space="0"/>
            </w:tcBorders>
            <w:vAlign w:val="center"/>
          </w:tcPr>
          <w:p w14:paraId="5E421C75">
            <w:pPr>
              <w:overflowPunct w:val="0"/>
              <w:spacing w:line="300" w:lineRule="exact"/>
              <w:jc w:val="center"/>
              <w:rPr>
                <w:rFonts w:ascii="黑体" w:hAnsi="黑体" w:eastAsia="黑体" w:cs="宋体"/>
                <w:sz w:val="24"/>
                <w:szCs w:val="24"/>
              </w:rPr>
            </w:pPr>
            <w:r>
              <w:rPr>
                <w:rFonts w:hint="eastAsia" w:ascii="黑体" w:hAnsi="黑体" w:eastAsia="黑体" w:cs="宋体"/>
                <w:sz w:val="24"/>
              </w:rPr>
              <w:t>采购方式</w:t>
            </w:r>
          </w:p>
          <w:p w14:paraId="563E6A06">
            <w:pPr>
              <w:overflowPunct w:val="0"/>
              <w:spacing w:line="300" w:lineRule="exact"/>
              <w:ind w:firstLine="360" w:firstLineChars="150"/>
              <w:rPr>
                <w:rFonts w:ascii="黑体" w:hAnsi="黑体" w:eastAsia="黑体" w:cs="宋体"/>
                <w:sz w:val="24"/>
                <w:szCs w:val="24"/>
              </w:rPr>
            </w:pPr>
            <w:r>
              <w:rPr>
                <w:rFonts w:hint="eastAsia" w:ascii="黑体" w:hAnsi="黑体" w:eastAsia="黑体" w:cs="宋体"/>
                <w:sz w:val="24"/>
              </w:rPr>
              <w:t>建议</w:t>
            </w:r>
          </w:p>
        </w:tc>
      </w:tr>
      <w:tr w14:paraId="151F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3" w:type="dxa"/>
            <w:tcBorders>
              <w:top w:val="single" w:color="auto" w:sz="4" w:space="0"/>
              <w:left w:val="single" w:color="auto" w:sz="4" w:space="0"/>
              <w:bottom w:val="single" w:color="auto" w:sz="4" w:space="0"/>
              <w:right w:val="single" w:color="auto" w:sz="4" w:space="0"/>
            </w:tcBorders>
            <w:vAlign w:val="center"/>
          </w:tcPr>
          <w:p w14:paraId="4E44C655">
            <w:pPr>
              <w:widowControl/>
              <w:spacing w:line="360" w:lineRule="exact"/>
              <w:jc w:val="center"/>
              <w:rPr>
                <w:rFonts w:ascii="仿宋_GB2312" w:hAnsi="黑体" w:eastAsia="仿宋_GB2312" w:cs="宋体"/>
                <w:bCs/>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14:paraId="2A60697C">
            <w:pPr>
              <w:widowControl/>
              <w:spacing w:line="360" w:lineRule="exact"/>
              <w:jc w:val="center"/>
              <w:rPr>
                <w:rFonts w:ascii="仿宋_GB2312" w:hAnsi="黑体" w:eastAsia="仿宋_GB2312" w:cs="宋体"/>
                <w:bCs/>
                <w:kern w:val="0"/>
                <w:sz w:val="24"/>
                <w:szCs w:val="24"/>
              </w:rPr>
            </w:pPr>
            <w:r>
              <w:rPr>
                <w:rFonts w:hint="eastAsia" w:ascii="仿宋_GB2312" w:hAnsi="黑体" w:eastAsia="仿宋_GB2312" w:cs="宋体"/>
                <w:bCs/>
                <w:kern w:val="0"/>
                <w:sz w:val="24"/>
                <w:szCs w:val="24"/>
              </w:rPr>
              <w:t>合计</w:t>
            </w:r>
          </w:p>
        </w:tc>
        <w:tc>
          <w:tcPr>
            <w:tcW w:w="1701" w:type="dxa"/>
            <w:tcBorders>
              <w:top w:val="single" w:color="auto" w:sz="4" w:space="0"/>
              <w:left w:val="single" w:color="auto" w:sz="4" w:space="0"/>
              <w:bottom w:val="single" w:color="auto" w:sz="4" w:space="0"/>
              <w:right w:val="single" w:color="auto" w:sz="4" w:space="0"/>
            </w:tcBorders>
            <w:vAlign w:val="center"/>
          </w:tcPr>
          <w:p w14:paraId="1494D6BE">
            <w:pPr>
              <w:widowControl/>
              <w:spacing w:line="360" w:lineRule="exact"/>
              <w:jc w:val="center"/>
              <w:rPr>
                <w:rFonts w:ascii="仿宋_GB2312" w:hAnsi="黑体" w:eastAsia="仿宋_GB2312" w:cs="宋体"/>
                <w:bCs/>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5C520C">
            <w:pPr>
              <w:widowControl/>
              <w:spacing w:line="360" w:lineRule="exact"/>
              <w:jc w:val="center"/>
              <w:rPr>
                <w:rFonts w:ascii="仿宋_GB2312" w:hAnsi="黑体" w:eastAsia="仿宋_GB2312" w:cs="宋体"/>
                <w:bCs/>
                <w:kern w:val="0"/>
                <w:sz w:val="24"/>
                <w:szCs w:val="24"/>
              </w:rPr>
            </w:pPr>
            <w:r>
              <w:rPr>
                <w:rFonts w:hint="eastAsia" w:ascii="仿宋_GB2312" w:hAnsi="黑体" w:eastAsia="仿宋_GB2312" w:cs="宋体"/>
                <w:bCs/>
                <w:kern w:val="0"/>
                <w:sz w:val="24"/>
                <w:szCs w:val="24"/>
              </w:rPr>
              <w:t>年</w:t>
            </w:r>
          </w:p>
        </w:tc>
        <w:tc>
          <w:tcPr>
            <w:tcW w:w="738" w:type="dxa"/>
            <w:tcBorders>
              <w:top w:val="single" w:color="auto" w:sz="4" w:space="0"/>
              <w:left w:val="single" w:color="auto" w:sz="4" w:space="0"/>
              <w:bottom w:val="single" w:color="auto" w:sz="4" w:space="0"/>
              <w:right w:val="single" w:color="auto" w:sz="4" w:space="0"/>
            </w:tcBorders>
            <w:vAlign w:val="center"/>
          </w:tcPr>
          <w:p w14:paraId="29A80DC2">
            <w:pPr>
              <w:widowControl/>
              <w:spacing w:line="360" w:lineRule="exact"/>
              <w:jc w:val="center"/>
              <w:rPr>
                <w:rFonts w:ascii="仿宋_GB2312" w:hAnsi="黑体" w:eastAsia="仿宋_GB2312" w:cs="宋体"/>
                <w:bCs/>
                <w:kern w:val="0"/>
                <w:sz w:val="24"/>
                <w:szCs w:val="24"/>
              </w:rPr>
            </w:pPr>
            <w:r>
              <w:rPr>
                <w:rFonts w:hint="eastAsia" w:ascii="仿宋_GB2312" w:hAnsi="黑体" w:eastAsia="仿宋_GB2312" w:cs="宋体"/>
                <w:bCs/>
                <w:kern w:val="0"/>
                <w:sz w:val="24"/>
                <w:szCs w:val="24"/>
              </w:rPr>
              <w:t>1</w:t>
            </w:r>
          </w:p>
        </w:tc>
        <w:tc>
          <w:tcPr>
            <w:tcW w:w="1530" w:type="dxa"/>
            <w:tcBorders>
              <w:top w:val="single" w:color="auto" w:sz="4" w:space="0"/>
              <w:left w:val="single" w:color="auto" w:sz="4" w:space="0"/>
              <w:bottom w:val="single" w:color="auto" w:sz="4" w:space="0"/>
              <w:right w:val="single" w:color="auto" w:sz="4" w:space="0"/>
            </w:tcBorders>
            <w:vAlign w:val="center"/>
          </w:tcPr>
          <w:p w14:paraId="357F3F95">
            <w:pPr>
              <w:widowControl/>
              <w:spacing w:line="360" w:lineRule="exact"/>
              <w:jc w:val="center"/>
              <w:rPr>
                <w:rFonts w:ascii="仿宋_GB2312" w:hAnsi="黑体" w:eastAsia="仿宋_GB2312" w:cs="宋体"/>
                <w:bCs/>
                <w:kern w:val="0"/>
                <w:sz w:val="24"/>
                <w:szCs w:val="24"/>
              </w:rPr>
            </w:pPr>
            <w:r>
              <w:rPr>
                <w:rFonts w:hint="eastAsia" w:ascii="仿宋_GB2312" w:hAnsi="黑体" w:eastAsia="仿宋_GB2312" w:cs="宋体"/>
                <w:bCs/>
                <w:kern w:val="0"/>
                <w:sz w:val="24"/>
                <w:szCs w:val="24"/>
              </w:rPr>
              <w:t>350000</w:t>
            </w:r>
            <w:r>
              <w:rPr>
                <w:rFonts w:ascii="仿宋_GB2312" w:hAnsi="黑体" w:eastAsia="仿宋_GB2312" w:cs="宋体"/>
                <w:bCs/>
                <w:kern w:val="0"/>
                <w:sz w:val="24"/>
                <w:szCs w:val="24"/>
              </w:rPr>
              <w:t>/</w:t>
            </w:r>
            <w:r>
              <w:rPr>
                <w:rFonts w:hint="eastAsia" w:ascii="仿宋_GB2312" w:hAnsi="黑体" w:eastAsia="仿宋_GB2312" w:cs="宋体"/>
                <w:bCs/>
                <w:kern w:val="0"/>
                <w:sz w:val="24"/>
                <w:szCs w:val="24"/>
              </w:rPr>
              <w:t>元</w:t>
            </w:r>
          </w:p>
        </w:tc>
        <w:tc>
          <w:tcPr>
            <w:tcW w:w="1369" w:type="dxa"/>
            <w:tcBorders>
              <w:top w:val="single" w:color="auto" w:sz="4" w:space="0"/>
              <w:left w:val="single" w:color="auto" w:sz="4" w:space="0"/>
              <w:bottom w:val="single" w:color="auto" w:sz="4" w:space="0"/>
              <w:right w:val="single" w:color="auto" w:sz="4" w:space="0"/>
            </w:tcBorders>
            <w:vAlign w:val="center"/>
          </w:tcPr>
          <w:p w14:paraId="4A024C36">
            <w:pPr>
              <w:widowControl/>
              <w:spacing w:line="360" w:lineRule="exact"/>
              <w:jc w:val="center"/>
              <w:rPr>
                <w:rFonts w:ascii="仿宋_GB2312" w:hAnsi="黑体" w:eastAsia="仿宋_GB2312" w:cs="宋体"/>
                <w:bCs/>
                <w:kern w:val="0"/>
                <w:sz w:val="24"/>
                <w:szCs w:val="24"/>
              </w:rPr>
            </w:pPr>
            <w:r>
              <w:rPr>
                <w:rFonts w:hint="eastAsia" w:ascii="仿宋_GB2312" w:hAnsi="黑体" w:eastAsia="仿宋_GB2312" w:cs="宋体"/>
                <w:bCs/>
                <w:kern w:val="0"/>
                <w:sz w:val="24"/>
                <w:szCs w:val="24"/>
              </w:rPr>
              <w:t>35</w:t>
            </w:r>
          </w:p>
        </w:tc>
        <w:tc>
          <w:tcPr>
            <w:tcW w:w="1325" w:type="dxa"/>
            <w:tcBorders>
              <w:top w:val="single" w:color="auto" w:sz="4" w:space="0"/>
              <w:left w:val="single" w:color="auto" w:sz="4" w:space="0"/>
              <w:bottom w:val="single" w:color="auto" w:sz="4" w:space="0"/>
              <w:right w:val="single" w:color="auto" w:sz="4" w:space="0"/>
            </w:tcBorders>
            <w:vAlign w:val="center"/>
          </w:tcPr>
          <w:p w14:paraId="7A9CDE8F">
            <w:pPr>
              <w:widowControl/>
              <w:spacing w:line="360" w:lineRule="exact"/>
              <w:jc w:val="center"/>
              <w:rPr>
                <w:rFonts w:ascii="仿宋_GB2312" w:hAnsi="黑体" w:eastAsia="仿宋_GB2312" w:cs="宋体"/>
                <w:bCs/>
                <w:kern w:val="0"/>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14:paraId="1F50BC0B">
            <w:pPr>
              <w:widowControl/>
              <w:spacing w:line="360" w:lineRule="exact"/>
              <w:jc w:val="center"/>
              <w:rPr>
                <w:rFonts w:ascii="仿宋_GB2312" w:hAnsi="黑体" w:eastAsia="仿宋_GB2312" w:cs="宋体"/>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BAE95A5">
            <w:pPr>
              <w:widowControl/>
              <w:spacing w:line="360" w:lineRule="exact"/>
              <w:jc w:val="center"/>
              <w:rPr>
                <w:rFonts w:ascii="仿宋_GB2312" w:hAnsi="黑体" w:eastAsia="仿宋_GB2312" w:cs="宋体"/>
                <w:bCs/>
                <w:kern w:val="0"/>
                <w:sz w:val="24"/>
                <w:szCs w:val="24"/>
              </w:rPr>
            </w:pPr>
          </w:p>
        </w:tc>
      </w:tr>
      <w:tr w14:paraId="2892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3" w:type="dxa"/>
            <w:tcBorders>
              <w:top w:val="single" w:color="auto" w:sz="4" w:space="0"/>
              <w:left w:val="single" w:color="auto" w:sz="4" w:space="0"/>
              <w:bottom w:val="single" w:color="auto" w:sz="4" w:space="0"/>
              <w:right w:val="single" w:color="auto" w:sz="4" w:space="0"/>
            </w:tcBorders>
            <w:vAlign w:val="center"/>
          </w:tcPr>
          <w:p w14:paraId="5F616E43">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一</w:t>
            </w:r>
          </w:p>
        </w:tc>
        <w:tc>
          <w:tcPr>
            <w:tcW w:w="2913" w:type="dxa"/>
            <w:tcBorders>
              <w:top w:val="single" w:color="auto" w:sz="4" w:space="0"/>
              <w:left w:val="single" w:color="auto" w:sz="4" w:space="0"/>
              <w:bottom w:val="single" w:color="auto" w:sz="4" w:space="0"/>
              <w:right w:val="single" w:color="auto" w:sz="4" w:space="0"/>
            </w:tcBorders>
            <w:vAlign w:val="center"/>
          </w:tcPr>
          <w:p w14:paraId="545796FC">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网络安全等级保护</w:t>
            </w:r>
          </w:p>
          <w:p w14:paraId="535467B4">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测评服务（三级）</w:t>
            </w:r>
          </w:p>
        </w:tc>
        <w:tc>
          <w:tcPr>
            <w:tcW w:w="1701" w:type="dxa"/>
            <w:tcBorders>
              <w:top w:val="single" w:color="auto" w:sz="4" w:space="0"/>
              <w:left w:val="single" w:color="auto" w:sz="4" w:space="0"/>
              <w:bottom w:val="single" w:color="auto" w:sz="4" w:space="0"/>
              <w:right w:val="single" w:color="auto" w:sz="4" w:space="0"/>
            </w:tcBorders>
            <w:vAlign w:val="center"/>
          </w:tcPr>
          <w:p w14:paraId="46F822D8">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见附件</w:t>
            </w:r>
          </w:p>
        </w:tc>
        <w:tc>
          <w:tcPr>
            <w:tcW w:w="992" w:type="dxa"/>
            <w:tcBorders>
              <w:top w:val="single" w:color="auto" w:sz="4" w:space="0"/>
              <w:left w:val="single" w:color="auto" w:sz="4" w:space="0"/>
              <w:bottom w:val="single" w:color="auto" w:sz="4" w:space="0"/>
              <w:right w:val="single" w:color="auto" w:sz="4" w:space="0"/>
            </w:tcBorders>
            <w:vAlign w:val="center"/>
          </w:tcPr>
          <w:p w14:paraId="4D0CB6FC">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年</w:t>
            </w:r>
          </w:p>
        </w:tc>
        <w:tc>
          <w:tcPr>
            <w:tcW w:w="738" w:type="dxa"/>
            <w:tcBorders>
              <w:top w:val="single" w:color="auto" w:sz="4" w:space="0"/>
              <w:left w:val="single" w:color="auto" w:sz="4" w:space="0"/>
              <w:bottom w:val="single" w:color="auto" w:sz="4" w:space="0"/>
              <w:right w:val="single" w:color="auto" w:sz="4" w:space="0"/>
            </w:tcBorders>
            <w:vAlign w:val="center"/>
          </w:tcPr>
          <w:p w14:paraId="230960E5">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1</w:t>
            </w:r>
          </w:p>
        </w:tc>
        <w:tc>
          <w:tcPr>
            <w:tcW w:w="1530" w:type="dxa"/>
            <w:tcBorders>
              <w:top w:val="single" w:color="auto" w:sz="4" w:space="0"/>
              <w:left w:val="single" w:color="auto" w:sz="4" w:space="0"/>
              <w:bottom w:val="single" w:color="auto" w:sz="4" w:space="0"/>
              <w:right w:val="single" w:color="auto" w:sz="4" w:space="0"/>
            </w:tcBorders>
            <w:vAlign w:val="center"/>
          </w:tcPr>
          <w:p w14:paraId="2EBB0DCF">
            <w:pPr>
              <w:widowControl/>
              <w:spacing w:line="360" w:lineRule="exact"/>
              <w:jc w:val="center"/>
              <w:rPr>
                <w:rFonts w:ascii="仿宋_GB2312" w:hAnsi="黑体" w:eastAsia="仿宋_GB2312" w:cs="宋体"/>
                <w:bCs/>
                <w:kern w:val="0"/>
                <w:sz w:val="24"/>
                <w:szCs w:val="24"/>
              </w:rPr>
            </w:pPr>
            <w:r>
              <w:rPr>
                <w:rFonts w:hint="eastAsia" w:ascii="仿宋_GB2312" w:hAnsi="黑体" w:eastAsia="仿宋_GB2312" w:cs="宋体"/>
                <w:bCs/>
                <w:kern w:val="0"/>
                <w:sz w:val="24"/>
                <w:szCs w:val="24"/>
              </w:rPr>
              <w:t>180000/年</w:t>
            </w:r>
          </w:p>
        </w:tc>
        <w:tc>
          <w:tcPr>
            <w:tcW w:w="1369" w:type="dxa"/>
            <w:tcBorders>
              <w:top w:val="single" w:color="auto" w:sz="4" w:space="0"/>
              <w:left w:val="single" w:color="auto" w:sz="4" w:space="0"/>
              <w:bottom w:val="single" w:color="auto" w:sz="4" w:space="0"/>
              <w:right w:val="single" w:color="auto" w:sz="4" w:space="0"/>
            </w:tcBorders>
            <w:vAlign w:val="center"/>
          </w:tcPr>
          <w:p w14:paraId="33F943BB">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18</w:t>
            </w:r>
          </w:p>
        </w:tc>
        <w:tc>
          <w:tcPr>
            <w:tcW w:w="1325" w:type="dxa"/>
            <w:tcBorders>
              <w:top w:val="single" w:color="auto" w:sz="4" w:space="0"/>
              <w:left w:val="single" w:color="auto" w:sz="4" w:space="0"/>
              <w:bottom w:val="single" w:color="auto" w:sz="4" w:space="0"/>
              <w:right w:val="single" w:color="auto" w:sz="4" w:space="0"/>
            </w:tcBorders>
            <w:vAlign w:val="center"/>
          </w:tcPr>
          <w:p w14:paraId="08DBD329">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甘肃兰州</w:t>
            </w:r>
          </w:p>
        </w:tc>
        <w:tc>
          <w:tcPr>
            <w:tcW w:w="2409" w:type="dxa"/>
            <w:tcBorders>
              <w:top w:val="single" w:color="auto" w:sz="4" w:space="0"/>
              <w:left w:val="single" w:color="auto" w:sz="4" w:space="0"/>
              <w:bottom w:val="single" w:color="auto" w:sz="4" w:space="0"/>
              <w:right w:val="single" w:color="auto" w:sz="4" w:space="0"/>
            </w:tcBorders>
            <w:vAlign w:val="center"/>
          </w:tcPr>
          <w:p w14:paraId="6EB939DD">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自合同签订之日起5个自然日内提供服务</w:t>
            </w:r>
          </w:p>
        </w:tc>
        <w:tc>
          <w:tcPr>
            <w:tcW w:w="1276" w:type="dxa"/>
            <w:tcBorders>
              <w:top w:val="single" w:color="auto" w:sz="4" w:space="0"/>
              <w:left w:val="single" w:color="auto" w:sz="4" w:space="0"/>
              <w:bottom w:val="single" w:color="auto" w:sz="4" w:space="0"/>
              <w:right w:val="single" w:color="auto" w:sz="4" w:space="0"/>
            </w:tcBorders>
            <w:vAlign w:val="center"/>
          </w:tcPr>
          <w:p w14:paraId="0B5880E9">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竞争性</w:t>
            </w:r>
          </w:p>
          <w:p w14:paraId="6691192D">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谈判</w:t>
            </w:r>
          </w:p>
        </w:tc>
      </w:tr>
      <w:tr w14:paraId="0718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3" w:type="dxa"/>
            <w:tcBorders>
              <w:top w:val="single" w:color="auto" w:sz="4" w:space="0"/>
              <w:left w:val="single" w:color="auto" w:sz="4" w:space="0"/>
              <w:bottom w:val="single" w:color="auto" w:sz="4" w:space="0"/>
              <w:right w:val="single" w:color="auto" w:sz="4" w:space="0"/>
            </w:tcBorders>
            <w:vAlign w:val="center"/>
          </w:tcPr>
          <w:p w14:paraId="5584BA49">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二</w:t>
            </w:r>
          </w:p>
        </w:tc>
        <w:tc>
          <w:tcPr>
            <w:tcW w:w="2913" w:type="dxa"/>
            <w:tcBorders>
              <w:top w:val="single" w:color="auto" w:sz="4" w:space="0"/>
              <w:left w:val="single" w:color="auto" w:sz="4" w:space="0"/>
              <w:bottom w:val="single" w:color="auto" w:sz="4" w:space="0"/>
              <w:right w:val="single" w:color="auto" w:sz="4" w:space="0"/>
            </w:tcBorders>
            <w:vAlign w:val="center"/>
          </w:tcPr>
          <w:p w14:paraId="3C47664F">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网络安全培训服务</w:t>
            </w:r>
          </w:p>
        </w:tc>
        <w:tc>
          <w:tcPr>
            <w:tcW w:w="1701" w:type="dxa"/>
            <w:tcBorders>
              <w:top w:val="single" w:color="auto" w:sz="4" w:space="0"/>
              <w:left w:val="single" w:color="auto" w:sz="4" w:space="0"/>
              <w:bottom w:val="single" w:color="auto" w:sz="4" w:space="0"/>
              <w:right w:val="single" w:color="auto" w:sz="4" w:space="0"/>
            </w:tcBorders>
            <w:vAlign w:val="center"/>
          </w:tcPr>
          <w:p w14:paraId="1386A001">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见附件</w:t>
            </w:r>
          </w:p>
        </w:tc>
        <w:tc>
          <w:tcPr>
            <w:tcW w:w="992" w:type="dxa"/>
            <w:tcBorders>
              <w:top w:val="single" w:color="auto" w:sz="4" w:space="0"/>
              <w:left w:val="single" w:color="auto" w:sz="4" w:space="0"/>
              <w:bottom w:val="single" w:color="auto" w:sz="4" w:space="0"/>
              <w:right w:val="single" w:color="auto" w:sz="4" w:space="0"/>
            </w:tcBorders>
            <w:vAlign w:val="center"/>
          </w:tcPr>
          <w:p w14:paraId="27931EA4">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年</w:t>
            </w:r>
          </w:p>
        </w:tc>
        <w:tc>
          <w:tcPr>
            <w:tcW w:w="738" w:type="dxa"/>
            <w:tcBorders>
              <w:top w:val="single" w:color="auto" w:sz="4" w:space="0"/>
              <w:left w:val="single" w:color="auto" w:sz="4" w:space="0"/>
              <w:bottom w:val="single" w:color="auto" w:sz="4" w:space="0"/>
              <w:right w:val="single" w:color="auto" w:sz="4" w:space="0"/>
            </w:tcBorders>
            <w:vAlign w:val="center"/>
          </w:tcPr>
          <w:p w14:paraId="119B1A4C">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2</w:t>
            </w:r>
          </w:p>
        </w:tc>
        <w:tc>
          <w:tcPr>
            <w:tcW w:w="1530" w:type="dxa"/>
            <w:tcBorders>
              <w:top w:val="single" w:color="auto" w:sz="4" w:space="0"/>
              <w:left w:val="single" w:color="auto" w:sz="4" w:space="0"/>
              <w:bottom w:val="single" w:color="auto" w:sz="4" w:space="0"/>
              <w:right w:val="single" w:color="auto" w:sz="4" w:space="0"/>
            </w:tcBorders>
            <w:vAlign w:val="center"/>
          </w:tcPr>
          <w:p w14:paraId="60B099FA">
            <w:pPr>
              <w:widowControl/>
              <w:spacing w:line="360" w:lineRule="exact"/>
              <w:jc w:val="center"/>
              <w:rPr>
                <w:rFonts w:ascii="仿宋_GB2312" w:hAnsi="黑体" w:eastAsia="仿宋_GB2312" w:cs="宋体"/>
                <w:bCs/>
                <w:kern w:val="0"/>
                <w:sz w:val="24"/>
                <w:szCs w:val="24"/>
              </w:rPr>
            </w:pPr>
            <w:r>
              <w:rPr>
                <w:rFonts w:hint="eastAsia" w:ascii="仿宋_GB2312" w:hAnsi="黑体" w:eastAsia="仿宋_GB2312" w:cs="宋体"/>
                <w:bCs/>
                <w:kern w:val="0"/>
                <w:sz w:val="24"/>
                <w:szCs w:val="24"/>
              </w:rPr>
              <w:t>45000/年</w:t>
            </w:r>
          </w:p>
        </w:tc>
        <w:tc>
          <w:tcPr>
            <w:tcW w:w="1369" w:type="dxa"/>
            <w:tcBorders>
              <w:top w:val="single" w:color="auto" w:sz="4" w:space="0"/>
              <w:left w:val="single" w:color="auto" w:sz="4" w:space="0"/>
              <w:bottom w:val="single" w:color="auto" w:sz="4" w:space="0"/>
              <w:right w:val="single" w:color="auto" w:sz="4" w:space="0"/>
            </w:tcBorders>
            <w:vAlign w:val="center"/>
          </w:tcPr>
          <w:p w14:paraId="2E7C3632">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4.5</w:t>
            </w:r>
          </w:p>
        </w:tc>
        <w:tc>
          <w:tcPr>
            <w:tcW w:w="1325" w:type="dxa"/>
            <w:tcBorders>
              <w:top w:val="single" w:color="auto" w:sz="4" w:space="0"/>
              <w:left w:val="single" w:color="auto" w:sz="4" w:space="0"/>
              <w:bottom w:val="single" w:color="auto" w:sz="4" w:space="0"/>
              <w:right w:val="single" w:color="auto" w:sz="4" w:space="0"/>
            </w:tcBorders>
            <w:vAlign w:val="center"/>
          </w:tcPr>
          <w:p w14:paraId="5C5F3BAE">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甘肃兰州</w:t>
            </w:r>
          </w:p>
        </w:tc>
        <w:tc>
          <w:tcPr>
            <w:tcW w:w="2409" w:type="dxa"/>
            <w:tcBorders>
              <w:top w:val="single" w:color="auto" w:sz="4" w:space="0"/>
              <w:left w:val="single" w:color="auto" w:sz="4" w:space="0"/>
              <w:bottom w:val="single" w:color="auto" w:sz="4" w:space="0"/>
              <w:right w:val="single" w:color="auto" w:sz="4" w:space="0"/>
            </w:tcBorders>
            <w:vAlign w:val="center"/>
          </w:tcPr>
          <w:p w14:paraId="6835C30A">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自合同签订之日起5个自然日内提供服务</w:t>
            </w:r>
          </w:p>
        </w:tc>
        <w:tc>
          <w:tcPr>
            <w:tcW w:w="1276" w:type="dxa"/>
            <w:tcBorders>
              <w:top w:val="single" w:color="auto" w:sz="4" w:space="0"/>
              <w:left w:val="single" w:color="auto" w:sz="4" w:space="0"/>
              <w:bottom w:val="single" w:color="auto" w:sz="4" w:space="0"/>
              <w:right w:val="single" w:color="auto" w:sz="4" w:space="0"/>
            </w:tcBorders>
            <w:vAlign w:val="center"/>
          </w:tcPr>
          <w:p w14:paraId="458D1C79">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竞争性</w:t>
            </w:r>
          </w:p>
          <w:p w14:paraId="4B8F0DD9">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谈判</w:t>
            </w:r>
          </w:p>
        </w:tc>
      </w:tr>
      <w:tr w14:paraId="2BB8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3" w:type="dxa"/>
            <w:tcBorders>
              <w:top w:val="single" w:color="auto" w:sz="4" w:space="0"/>
              <w:left w:val="single" w:color="auto" w:sz="4" w:space="0"/>
              <w:bottom w:val="single" w:color="auto" w:sz="4" w:space="0"/>
              <w:right w:val="single" w:color="auto" w:sz="4" w:space="0"/>
            </w:tcBorders>
            <w:vAlign w:val="center"/>
          </w:tcPr>
          <w:p w14:paraId="008FC967">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三</w:t>
            </w:r>
          </w:p>
        </w:tc>
        <w:tc>
          <w:tcPr>
            <w:tcW w:w="2913" w:type="dxa"/>
            <w:tcBorders>
              <w:top w:val="single" w:color="auto" w:sz="4" w:space="0"/>
              <w:left w:val="single" w:color="auto" w:sz="4" w:space="0"/>
              <w:bottom w:val="single" w:color="auto" w:sz="4" w:space="0"/>
              <w:right w:val="single" w:color="auto" w:sz="4" w:space="0"/>
            </w:tcBorders>
            <w:vAlign w:val="center"/>
          </w:tcPr>
          <w:p w14:paraId="5BFB8EE0">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网络安全咨询服务</w:t>
            </w:r>
          </w:p>
        </w:tc>
        <w:tc>
          <w:tcPr>
            <w:tcW w:w="1701" w:type="dxa"/>
            <w:tcBorders>
              <w:top w:val="single" w:color="auto" w:sz="4" w:space="0"/>
              <w:left w:val="single" w:color="auto" w:sz="4" w:space="0"/>
              <w:bottom w:val="single" w:color="auto" w:sz="4" w:space="0"/>
              <w:right w:val="single" w:color="auto" w:sz="4" w:space="0"/>
            </w:tcBorders>
            <w:vAlign w:val="center"/>
          </w:tcPr>
          <w:p w14:paraId="1F8A432C">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见附件</w:t>
            </w:r>
          </w:p>
        </w:tc>
        <w:tc>
          <w:tcPr>
            <w:tcW w:w="992" w:type="dxa"/>
            <w:tcBorders>
              <w:top w:val="single" w:color="auto" w:sz="4" w:space="0"/>
              <w:left w:val="single" w:color="auto" w:sz="4" w:space="0"/>
              <w:bottom w:val="single" w:color="auto" w:sz="4" w:space="0"/>
              <w:right w:val="single" w:color="auto" w:sz="4" w:space="0"/>
            </w:tcBorders>
            <w:vAlign w:val="center"/>
          </w:tcPr>
          <w:p w14:paraId="5603D080">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年</w:t>
            </w:r>
          </w:p>
        </w:tc>
        <w:tc>
          <w:tcPr>
            <w:tcW w:w="738" w:type="dxa"/>
            <w:tcBorders>
              <w:top w:val="single" w:color="auto" w:sz="4" w:space="0"/>
              <w:left w:val="single" w:color="auto" w:sz="4" w:space="0"/>
              <w:bottom w:val="single" w:color="auto" w:sz="4" w:space="0"/>
              <w:right w:val="single" w:color="auto" w:sz="4" w:space="0"/>
            </w:tcBorders>
            <w:vAlign w:val="center"/>
          </w:tcPr>
          <w:p w14:paraId="477C878E">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1</w:t>
            </w:r>
          </w:p>
        </w:tc>
        <w:tc>
          <w:tcPr>
            <w:tcW w:w="1530" w:type="dxa"/>
            <w:tcBorders>
              <w:top w:val="single" w:color="auto" w:sz="4" w:space="0"/>
              <w:left w:val="single" w:color="auto" w:sz="4" w:space="0"/>
              <w:bottom w:val="single" w:color="auto" w:sz="4" w:space="0"/>
              <w:right w:val="single" w:color="auto" w:sz="4" w:space="0"/>
            </w:tcBorders>
            <w:vAlign w:val="center"/>
          </w:tcPr>
          <w:p w14:paraId="79BE6111">
            <w:pPr>
              <w:widowControl/>
              <w:spacing w:line="360" w:lineRule="exact"/>
              <w:jc w:val="center"/>
              <w:rPr>
                <w:rFonts w:ascii="仿宋_GB2312" w:hAnsi="黑体" w:eastAsia="仿宋_GB2312" w:cs="宋体"/>
                <w:bCs/>
                <w:kern w:val="0"/>
                <w:sz w:val="24"/>
                <w:szCs w:val="24"/>
              </w:rPr>
            </w:pPr>
            <w:r>
              <w:rPr>
                <w:rFonts w:hint="eastAsia" w:ascii="仿宋_GB2312" w:hAnsi="黑体" w:eastAsia="仿宋_GB2312" w:cs="宋体"/>
                <w:bCs/>
                <w:kern w:val="0"/>
                <w:sz w:val="24"/>
                <w:szCs w:val="24"/>
              </w:rPr>
              <w:t>5000/年</w:t>
            </w:r>
          </w:p>
        </w:tc>
        <w:tc>
          <w:tcPr>
            <w:tcW w:w="1369" w:type="dxa"/>
            <w:tcBorders>
              <w:top w:val="single" w:color="auto" w:sz="4" w:space="0"/>
              <w:left w:val="single" w:color="auto" w:sz="4" w:space="0"/>
              <w:bottom w:val="single" w:color="auto" w:sz="4" w:space="0"/>
              <w:right w:val="single" w:color="auto" w:sz="4" w:space="0"/>
            </w:tcBorders>
            <w:vAlign w:val="center"/>
          </w:tcPr>
          <w:p w14:paraId="4575903D">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0.5</w:t>
            </w:r>
          </w:p>
        </w:tc>
        <w:tc>
          <w:tcPr>
            <w:tcW w:w="1325" w:type="dxa"/>
            <w:tcBorders>
              <w:top w:val="single" w:color="auto" w:sz="4" w:space="0"/>
              <w:left w:val="single" w:color="auto" w:sz="4" w:space="0"/>
              <w:bottom w:val="single" w:color="auto" w:sz="4" w:space="0"/>
              <w:right w:val="single" w:color="auto" w:sz="4" w:space="0"/>
            </w:tcBorders>
            <w:vAlign w:val="center"/>
          </w:tcPr>
          <w:p w14:paraId="1941940B">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甘肃兰州</w:t>
            </w:r>
          </w:p>
        </w:tc>
        <w:tc>
          <w:tcPr>
            <w:tcW w:w="2409" w:type="dxa"/>
            <w:tcBorders>
              <w:top w:val="single" w:color="auto" w:sz="4" w:space="0"/>
              <w:left w:val="single" w:color="auto" w:sz="4" w:space="0"/>
              <w:bottom w:val="single" w:color="auto" w:sz="4" w:space="0"/>
              <w:right w:val="single" w:color="auto" w:sz="4" w:space="0"/>
            </w:tcBorders>
            <w:vAlign w:val="center"/>
          </w:tcPr>
          <w:p w14:paraId="5D706B0F">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自合同签订之日起5个自然日内提供服务</w:t>
            </w:r>
          </w:p>
        </w:tc>
        <w:tc>
          <w:tcPr>
            <w:tcW w:w="1276" w:type="dxa"/>
            <w:tcBorders>
              <w:top w:val="single" w:color="auto" w:sz="4" w:space="0"/>
              <w:left w:val="single" w:color="auto" w:sz="4" w:space="0"/>
              <w:bottom w:val="single" w:color="auto" w:sz="4" w:space="0"/>
              <w:right w:val="single" w:color="auto" w:sz="4" w:space="0"/>
            </w:tcBorders>
            <w:vAlign w:val="center"/>
          </w:tcPr>
          <w:p w14:paraId="7839D87B">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竞争性</w:t>
            </w:r>
          </w:p>
          <w:p w14:paraId="5B6B656C">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谈判</w:t>
            </w:r>
          </w:p>
        </w:tc>
      </w:tr>
      <w:tr w14:paraId="22AB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3" w:type="dxa"/>
            <w:tcBorders>
              <w:top w:val="single" w:color="auto" w:sz="4" w:space="0"/>
              <w:left w:val="single" w:color="auto" w:sz="4" w:space="0"/>
              <w:bottom w:val="single" w:color="auto" w:sz="4" w:space="0"/>
              <w:right w:val="single" w:color="auto" w:sz="4" w:space="0"/>
            </w:tcBorders>
            <w:vAlign w:val="center"/>
          </w:tcPr>
          <w:p w14:paraId="20351B9F">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四</w:t>
            </w:r>
          </w:p>
        </w:tc>
        <w:tc>
          <w:tcPr>
            <w:tcW w:w="2913" w:type="dxa"/>
            <w:tcBorders>
              <w:top w:val="single" w:color="auto" w:sz="4" w:space="0"/>
              <w:left w:val="single" w:color="auto" w:sz="4" w:space="0"/>
              <w:bottom w:val="single" w:color="auto" w:sz="4" w:space="0"/>
              <w:right w:val="single" w:color="auto" w:sz="4" w:space="0"/>
            </w:tcBorders>
            <w:vAlign w:val="center"/>
          </w:tcPr>
          <w:p w14:paraId="33E090FD">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应急响应服务</w:t>
            </w:r>
          </w:p>
        </w:tc>
        <w:tc>
          <w:tcPr>
            <w:tcW w:w="1701" w:type="dxa"/>
            <w:tcBorders>
              <w:top w:val="single" w:color="auto" w:sz="4" w:space="0"/>
              <w:left w:val="single" w:color="auto" w:sz="4" w:space="0"/>
              <w:bottom w:val="single" w:color="auto" w:sz="4" w:space="0"/>
              <w:right w:val="single" w:color="auto" w:sz="4" w:space="0"/>
            </w:tcBorders>
            <w:vAlign w:val="center"/>
          </w:tcPr>
          <w:p w14:paraId="147C98BB">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见附件</w:t>
            </w:r>
          </w:p>
        </w:tc>
        <w:tc>
          <w:tcPr>
            <w:tcW w:w="992" w:type="dxa"/>
            <w:tcBorders>
              <w:top w:val="single" w:color="auto" w:sz="4" w:space="0"/>
              <w:left w:val="single" w:color="auto" w:sz="4" w:space="0"/>
              <w:bottom w:val="single" w:color="auto" w:sz="4" w:space="0"/>
              <w:right w:val="single" w:color="auto" w:sz="4" w:space="0"/>
            </w:tcBorders>
            <w:vAlign w:val="center"/>
          </w:tcPr>
          <w:p w14:paraId="62DF0853">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年</w:t>
            </w:r>
          </w:p>
        </w:tc>
        <w:tc>
          <w:tcPr>
            <w:tcW w:w="738" w:type="dxa"/>
            <w:tcBorders>
              <w:top w:val="single" w:color="auto" w:sz="4" w:space="0"/>
              <w:left w:val="single" w:color="auto" w:sz="4" w:space="0"/>
              <w:bottom w:val="single" w:color="auto" w:sz="4" w:space="0"/>
              <w:right w:val="single" w:color="auto" w:sz="4" w:space="0"/>
            </w:tcBorders>
            <w:vAlign w:val="center"/>
          </w:tcPr>
          <w:p w14:paraId="0FAC3B7B">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1</w:t>
            </w:r>
          </w:p>
        </w:tc>
        <w:tc>
          <w:tcPr>
            <w:tcW w:w="1530" w:type="dxa"/>
            <w:tcBorders>
              <w:top w:val="single" w:color="auto" w:sz="4" w:space="0"/>
              <w:left w:val="single" w:color="auto" w:sz="4" w:space="0"/>
              <w:bottom w:val="single" w:color="auto" w:sz="4" w:space="0"/>
              <w:right w:val="single" w:color="auto" w:sz="4" w:space="0"/>
            </w:tcBorders>
            <w:vAlign w:val="center"/>
          </w:tcPr>
          <w:p w14:paraId="0779F128">
            <w:pPr>
              <w:widowControl/>
              <w:spacing w:line="360" w:lineRule="exact"/>
              <w:jc w:val="center"/>
              <w:rPr>
                <w:rFonts w:ascii="仿宋_GB2312" w:hAnsi="黑体" w:eastAsia="仿宋_GB2312" w:cs="宋体"/>
                <w:bCs/>
                <w:kern w:val="0"/>
                <w:sz w:val="24"/>
                <w:szCs w:val="24"/>
              </w:rPr>
            </w:pPr>
            <w:r>
              <w:rPr>
                <w:rFonts w:hint="eastAsia" w:ascii="仿宋_GB2312" w:hAnsi="黑体" w:eastAsia="仿宋_GB2312" w:cs="宋体"/>
                <w:bCs/>
                <w:kern w:val="0"/>
                <w:sz w:val="24"/>
                <w:szCs w:val="24"/>
              </w:rPr>
              <w:t>20000/年</w:t>
            </w:r>
          </w:p>
        </w:tc>
        <w:tc>
          <w:tcPr>
            <w:tcW w:w="1369" w:type="dxa"/>
            <w:tcBorders>
              <w:top w:val="single" w:color="auto" w:sz="4" w:space="0"/>
              <w:left w:val="single" w:color="auto" w:sz="4" w:space="0"/>
              <w:bottom w:val="single" w:color="auto" w:sz="4" w:space="0"/>
              <w:right w:val="single" w:color="auto" w:sz="4" w:space="0"/>
            </w:tcBorders>
            <w:vAlign w:val="center"/>
          </w:tcPr>
          <w:p w14:paraId="5CAF389F">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2</w:t>
            </w:r>
          </w:p>
        </w:tc>
        <w:tc>
          <w:tcPr>
            <w:tcW w:w="1325" w:type="dxa"/>
            <w:tcBorders>
              <w:top w:val="single" w:color="auto" w:sz="4" w:space="0"/>
              <w:left w:val="single" w:color="auto" w:sz="4" w:space="0"/>
              <w:bottom w:val="single" w:color="auto" w:sz="4" w:space="0"/>
              <w:right w:val="single" w:color="auto" w:sz="4" w:space="0"/>
            </w:tcBorders>
            <w:vAlign w:val="center"/>
          </w:tcPr>
          <w:p w14:paraId="4EE6CAB2">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甘肃兰州</w:t>
            </w:r>
          </w:p>
        </w:tc>
        <w:tc>
          <w:tcPr>
            <w:tcW w:w="2409" w:type="dxa"/>
            <w:tcBorders>
              <w:top w:val="single" w:color="auto" w:sz="4" w:space="0"/>
              <w:left w:val="single" w:color="auto" w:sz="4" w:space="0"/>
              <w:bottom w:val="single" w:color="auto" w:sz="4" w:space="0"/>
              <w:right w:val="single" w:color="auto" w:sz="4" w:space="0"/>
            </w:tcBorders>
            <w:vAlign w:val="center"/>
          </w:tcPr>
          <w:p w14:paraId="7A3B302C">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自合同签订之日起5个自然日内提供服务</w:t>
            </w:r>
          </w:p>
        </w:tc>
        <w:tc>
          <w:tcPr>
            <w:tcW w:w="1276" w:type="dxa"/>
            <w:tcBorders>
              <w:top w:val="single" w:color="auto" w:sz="4" w:space="0"/>
              <w:left w:val="single" w:color="auto" w:sz="4" w:space="0"/>
              <w:bottom w:val="single" w:color="auto" w:sz="4" w:space="0"/>
              <w:right w:val="single" w:color="auto" w:sz="4" w:space="0"/>
            </w:tcBorders>
            <w:vAlign w:val="center"/>
          </w:tcPr>
          <w:p w14:paraId="7FEF0D59">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竞争性</w:t>
            </w:r>
          </w:p>
          <w:p w14:paraId="679A9490">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谈判</w:t>
            </w:r>
          </w:p>
        </w:tc>
      </w:tr>
      <w:tr w14:paraId="365E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3" w:type="dxa"/>
            <w:tcBorders>
              <w:top w:val="single" w:color="auto" w:sz="4" w:space="0"/>
              <w:left w:val="single" w:color="auto" w:sz="4" w:space="0"/>
              <w:bottom w:val="single" w:color="auto" w:sz="4" w:space="0"/>
              <w:right w:val="single" w:color="auto" w:sz="4" w:space="0"/>
            </w:tcBorders>
            <w:vAlign w:val="center"/>
          </w:tcPr>
          <w:p w14:paraId="4F843FB8">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五</w:t>
            </w:r>
          </w:p>
        </w:tc>
        <w:tc>
          <w:tcPr>
            <w:tcW w:w="2913" w:type="dxa"/>
            <w:tcBorders>
              <w:top w:val="single" w:color="auto" w:sz="4" w:space="0"/>
              <w:left w:val="single" w:color="auto" w:sz="4" w:space="0"/>
              <w:bottom w:val="single" w:color="auto" w:sz="4" w:space="0"/>
              <w:right w:val="single" w:color="auto" w:sz="4" w:space="0"/>
            </w:tcBorders>
            <w:vAlign w:val="center"/>
          </w:tcPr>
          <w:p w14:paraId="69D02BBD">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攻防演习服务</w:t>
            </w:r>
          </w:p>
        </w:tc>
        <w:tc>
          <w:tcPr>
            <w:tcW w:w="1701" w:type="dxa"/>
            <w:tcBorders>
              <w:top w:val="single" w:color="auto" w:sz="4" w:space="0"/>
              <w:left w:val="single" w:color="auto" w:sz="4" w:space="0"/>
              <w:bottom w:val="single" w:color="auto" w:sz="4" w:space="0"/>
              <w:right w:val="single" w:color="auto" w:sz="4" w:space="0"/>
            </w:tcBorders>
            <w:vAlign w:val="center"/>
          </w:tcPr>
          <w:p w14:paraId="5D43CC6A">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见附件</w:t>
            </w:r>
          </w:p>
        </w:tc>
        <w:tc>
          <w:tcPr>
            <w:tcW w:w="992" w:type="dxa"/>
            <w:tcBorders>
              <w:top w:val="single" w:color="auto" w:sz="4" w:space="0"/>
              <w:left w:val="single" w:color="auto" w:sz="4" w:space="0"/>
              <w:bottom w:val="single" w:color="auto" w:sz="4" w:space="0"/>
              <w:right w:val="single" w:color="auto" w:sz="4" w:space="0"/>
            </w:tcBorders>
            <w:vAlign w:val="center"/>
          </w:tcPr>
          <w:p w14:paraId="6C0C3973">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年</w:t>
            </w:r>
          </w:p>
        </w:tc>
        <w:tc>
          <w:tcPr>
            <w:tcW w:w="738" w:type="dxa"/>
            <w:tcBorders>
              <w:top w:val="single" w:color="auto" w:sz="4" w:space="0"/>
              <w:left w:val="single" w:color="auto" w:sz="4" w:space="0"/>
              <w:bottom w:val="single" w:color="auto" w:sz="4" w:space="0"/>
              <w:right w:val="single" w:color="auto" w:sz="4" w:space="0"/>
            </w:tcBorders>
            <w:vAlign w:val="center"/>
          </w:tcPr>
          <w:p w14:paraId="2FF4E0CD">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1</w:t>
            </w:r>
          </w:p>
        </w:tc>
        <w:tc>
          <w:tcPr>
            <w:tcW w:w="1530" w:type="dxa"/>
            <w:tcBorders>
              <w:top w:val="single" w:color="auto" w:sz="4" w:space="0"/>
              <w:left w:val="single" w:color="auto" w:sz="4" w:space="0"/>
              <w:bottom w:val="single" w:color="auto" w:sz="4" w:space="0"/>
              <w:right w:val="single" w:color="auto" w:sz="4" w:space="0"/>
            </w:tcBorders>
            <w:vAlign w:val="center"/>
          </w:tcPr>
          <w:p w14:paraId="6834B96F">
            <w:pPr>
              <w:widowControl/>
              <w:spacing w:line="360" w:lineRule="exact"/>
              <w:jc w:val="center"/>
              <w:rPr>
                <w:rFonts w:ascii="仿宋_GB2312" w:hAnsi="黑体" w:eastAsia="仿宋_GB2312" w:cs="宋体"/>
                <w:bCs/>
                <w:kern w:val="0"/>
                <w:sz w:val="24"/>
                <w:szCs w:val="24"/>
              </w:rPr>
            </w:pPr>
            <w:r>
              <w:rPr>
                <w:rFonts w:hint="eastAsia" w:ascii="仿宋_GB2312" w:hAnsi="黑体" w:eastAsia="仿宋_GB2312" w:cs="宋体"/>
                <w:bCs/>
                <w:kern w:val="0"/>
                <w:sz w:val="24"/>
                <w:szCs w:val="24"/>
              </w:rPr>
              <w:t>40000/年</w:t>
            </w:r>
          </w:p>
        </w:tc>
        <w:tc>
          <w:tcPr>
            <w:tcW w:w="1369" w:type="dxa"/>
            <w:tcBorders>
              <w:top w:val="single" w:color="auto" w:sz="4" w:space="0"/>
              <w:left w:val="single" w:color="auto" w:sz="4" w:space="0"/>
              <w:bottom w:val="single" w:color="auto" w:sz="4" w:space="0"/>
              <w:right w:val="single" w:color="auto" w:sz="4" w:space="0"/>
            </w:tcBorders>
            <w:vAlign w:val="center"/>
          </w:tcPr>
          <w:p w14:paraId="37AC1ECB">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4</w:t>
            </w:r>
          </w:p>
        </w:tc>
        <w:tc>
          <w:tcPr>
            <w:tcW w:w="1325" w:type="dxa"/>
            <w:tcBorders>
              <w:top w:val="single" w:color="auto" w:sz="4" w:space="0"/>
              <w:left w:val="single" w:color="auto" w:sz="4" w:space="0"/>
              <w:bottom w:val="single" w:color="auto" w:sz="4" w:space="0"/>
              <w:right w:val="single" w:color="auto" w:sz="4" w:space="0"/>
            </w:tcBorders>
            <w:vAlign w:val="center"/>
          </w:tcPr>
          <w:p w14:paraId="3724013F">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甘肃兰州</w:t>
            </w:r>
          </w:p>
        </w:tc>
        <w:tc>
          <w:tcPr>
            <w:tcW w:w="2409" w:type="dxa"/>
            <w:tcBorders>
              <w:top w:val="single" w:color="auto" w:sz="4" w:space="0"/>
              <w:left w:val="single" w:color="auto" w:sz="4" w:space="0"/>
              <w:bottom w:val="single" w:color="auto" w:sz="4" w:space="0"/>
              <w:right w:val="single" w:color="auto" w:sz="4" w:space="0"/>
            </w:tcBorders>
            <w:vAlign w:val="center"/>
          </w:tcPr>
          <w:p w14:paraId="23C9B6A7">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自合同签订之日起5个自然日内提供服务</w:t>
            </w:r>
          </w:p>
        </w:tc>
        <w:tc>
          <w:tcPr>
            <w:tcW w:w="1276" w:type="dxa"/>
            <w:tcBorders>
              <w:top w:val="single" w:color="auto" w:sz="4" w:space="0"/>
              <w:left w:val="single" w:color="auto" w:sz="4" w:space="0"/>
              <w:bottom w:val="single" w:color="auto" w:sz="4" w:space="0"/>
              <w:right w:val="single" w:color="auto" w:sz="4" w:space="0"/>
            </w:tcBorders>
            <w:vAlign w:val="center"/>
          </w:tcPr>
          <w:p w14:paraId="6BD28065">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竞争性</w:t>
            </w:r>
          </w:p>
          <w:p w14:paraId="3950BA4A">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谈判</w:t>
            </w:r>
          </w:p>
        </w:tc>
      </w:tr>
      <w:tr w14:paraId="147C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3" w:type="dxa"/>
            <w:tcBorders>
              <w:top w:val="single" w:color="auto" w:sz="4" w:space="0"/>
              <w:left w:val="single" w:color="auto" w:sz="4" w:space="0"/>
              <w:bottom w:val="single" w:color="auto" w:sz="4" w:space="0"/>
              <w:right w:val="single" w:color="auto" w:sz="4" w:space="0"/>
            </w:tcBorders>
            <w:vAlign w:val="center"/>
          </w:tcPr>
          <w:p w14:paraId="1529C93B">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六</w:t>
            </w:r>
          </w:p>
        </w:tc>
        <w:tc>
          <w:tcPr>
            <w:tcW w:w="2913" w:type="dxa"/>
            <w:tcBorders>
              <w:top w:val="single" w:color="auto" w:sz="4" w:space="0"/>
              <w:left w:val="single" w:color="auto" w:sz="4" w:space="0"/>
              <w:bottom w:val="single" w:color="auto" w:sz="4" w:space="0"/>
              <w:right w:val="single" w:color="auto" w:sz="4" w:space="0"/>
            </w:tcBorders>
            <w:vAlign w:val="center"/>
          </w:tcPr>
          <w:p w14:paraId="0441910E">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数据分级分类服务</w:t>
            </w:r>
          </w:p>
        </w:tc>
        <w:tc>
          <w:tcPr>
            <w:tcW w:w="1701" w:type="dxa"/>
            <w:tcBorders>
              <w:top w:val="single" w:color="auto" w:sz="4" w:space="0"/>
              <w:left w:val="single" w:color="auto" w:sz="4" w:space="0"/>
              <w:bottom w:val="single" w:color="auto" w:sz="4" w:space="0"/>
              <w:right w:val="single" w:color="auto" w:sz="4" w:space="0"/>
            </w:tcBorders>
            <w:vAlign w:val="center"/>
          </w:tcPr>
          <w:p w14:paraId="49FDCC35">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见附件</w:t>
            </w:r>
          </w:p>
        </w:tc>
        <w:tc>
          <w:tcPr>
            <w:tcW w:w="992" w:type="dxa"/>
            <w:tcBorders>
              <w:top w:val="single" w:color="auto" w:sz="4" w:space="0"/>
              <w:left w:val="single" w:color="auto" w:sz="4" w:space="0"/>
              <w:bottom w:val="single" w:color="auto" w:sz="4" w:space="0"/>
              <w:right w:val="single" w:color="auto" w:sz="4" w:space="0"/>
            </w:tcBorders>
            <w:vAlign w:val="center"/>
          </w:tcPr>
          <w:p w14:paraId="2B9F96ED">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年</w:t>
            </w:r>
          </w:p>
        </w:tc>
        <w:tc>
          <w:tcPr>
            <w:tcW w:w="738" w:type="dxa"/>
            <w:tcBorders>
              <w:top w:val="single" w:color="auto" w:sz="4" w:space="0"/>
              <w:left w:val="single" w:color="auto" w:sz="4" w:space="0"/>
              <w:bottom w:val="single" w:color="auto" w:sz="4" w:space="0"/>
              <w:right w:val="single" w:color="auto" w:sz="4" w:space="0"/>
            </w:tcBorders>
            <w:vAlign w:val="center"/>
          </w:tcPr>
          <w:p w14:paraId="787373BE">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1</w:t>
            </w:r>
          </w:p>
        </w:tc>
        <w:tc>
          <w:tcPr>
            <w:tcW w:w="1530" w:type="dxa"/>
            <w:tcBorders>
              <w:top w:val="single" w:color="auto" w:sz="4" w:space="0"/>
              <w:left w:val="single" w:color="auto" w:sz="4" w:space="0"/>
              <w:bottom w:val="single" w:color="auto" w:sz="4" w:space="0"/>
              <w:right w:val="single" w:color="auto" w:sz="4" w:space="0"/>
            </w:tcBorders>
            <w:vAlign w:val="center"/>
          </w:tcPr>
          <w:p w14:paraId="5E2A9AC3">
            <w:pPr>
              <w:widowControl/>
              <w:spacing w:line="360" w:lineRule="exact"/>
              <w:jc w:val="center"/>
              <w:rPr>
                <w:rFonts w:ascii="仿宋_GB2312" w:hAnsi="黑体" w:eastAsia="仿宋_GB2312" w:cs="宋体"/>
                <w:bCs/>
                <w:kern w:val="0"/>
                <w:sz w:val="24"/>
                <w:szCs w:val="24"/>
              </w:rPr>
            </w:pPr>
            <w:r>
              <w:rPr>
                <w:rFonts w:hint="eastAsia" w:ascii="仿宋_GB2312" w:hAnsi="黑体" w:eastAsia="仿宋_GB2312" w:cs="宋体"/>
                <w:bCs/>
                <w:kern w:val="0"/>
                <w:sz w:val="24"/>
                <w:szCs w:val="24"/>
              </w:rPr>
              <w:t>60000/年</w:t>
            </w:r>
          </w:p>
        </w:tc>
        <w:tc>
          <w:tcPr>
            <w:tcW w:w="1369" w:type="dxa"/>
            <w:tcBorders>
              <w:top w:val="single" w:color="auto" w:sz="4" w:space="0"/>
              <w:left w:val="single" w:color="auto" w:sz="4" w:space="0"/>
              <w:bottom w:val="single" w:color="auto" w:sz="4" w:space="0"/>
              <w:right w:val="single" w:color="auto" w:sz="4" w:space="0"/>
            </w:tcBorders>
            <w:vAlign w:val="center"/>
          </w:tcPr>
          <w:p w14:paraId="4E8956C2">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6</w:t>
            </w:r>
          </w:p>
        </w:tc>
        <w:tc>
          <w:tcPr>
            <w:tcW w:w="1325" w:type="dxa"/>
            <w:tcBorders>
              <w:top w:val="single" w:color="auto" w:sz="4" w:space="0"/>
              <w:left w:val="single" w:color="auto" w:sz="4" w:space="0"/>
              <w:bottom w:val="single" w:color="auto" w:sz="4" w:space="0"/>
              <w:right w:val="single" w:color="auto" w:sz="4" w:space="0"/>
            </w:tcBorders>
            <w:vAlign w:val="center"/>
          </w:tcPr>
          <w:p w14:paraId="2F733ADE">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甘肃兰州</w:t>
            </w:r>
          </w:p>
        </w:tc>
        <w:tc>
          <w:tcPr>
            <w:tcW w:w="2409" w:type="dxa"/>
            <w:tcBorders>
              <w:top w:val="single" w:color="auto" w:sz="4" w:space="0"/>
              <w:left w:val="single" w:color="auto" w:sz="4" w:space="0"/>
              <w:bottom w:val="single" w:color="auto" w:sz="4" w:space="0"/>
              <w:right w:val="single" w:color="auto" w:sz="4" w:space="0"/>
            </w:tcBorders>
            <w:vAlign w:val="center"/>
          </w:tcPr>
          <w:p w14:paraId="7FABB98A">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自合同签订之日起5个自然日内提供服务</w:t>
            </w:r>
          </w:p>
        </w:tc>
        <w:tc>
          <w:tcPr>
            <w:tcW w:w="1276" w:type="dxa"/>
            <w:tcBorders>
              <w:top w:val="single" w:color="auto" w:sz="4" w:space="0"/>
              <w:left w:val="single" w:color="auto" w:sz="4" w:space="0"/>
              <w:bottom w:val="single" w:color="auto" w:sz="4" w:space="0"/>
              <w:right w:val="single" w:color="auto" w:sz="4" w:space="0"/>
            </w:tcBorders>
            <w:vAlign w:val="center"/>
          </w:tcPr>
          <w:p w14:paraId="3B20B472">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竞争性</w:t>
            </w:r>
          </w:p>
          <w:p w14:paraId="3F72345F">
            <w:pPr>
              <w:widowControl/>
              <w:spacing w:line="360" w:lineRule="exact"/>
              <w:jc w:val="center"/>
              <w:rPr>
                <w:rFonts w:ascii="仿宋_GB2312" w:hAnsi="宋体" w:eastAsia="仿宋_GB2312"/>
                <w:kern w:val="0"/>
                <w:sz w:val="24"/>
                <w:szCs w:val="24"/>
              </w:rPr>
            </w:pPr>
            <w:r>
              <w:rPr>
                <w:rFonts w:hint="eastAsia" w:ascii="仿宋_GB2312" w:hAnsi="宋体" w:eastAsia="仿宋_GB2312"/>
                <w:kern w:val="0"/>
                <w:sz w:val="24"/>
                <w:szCs w:val="24"/>
              </w:rPr>
              <w:t>谈判</w:t>
            </w:r>
          </w:p>
        </w:tc>
      </w:tr>
    </w:tbl>
    <w:p w14:paraId="5145E59D">
      <w:pPr>
        <w:spacing w:line="560" w:lineRule="exact"/>
        <w:ind w:firstLine="640" w:firstLineChars="200"/>
        <w:rPr>
          <w:rFonts w:hAnsi="黑体" w:eastAsia="黑体"/>
          <w:sz w:val="32"/>
          <w:szCs w:val="32"/>
        </w:rPr>
        <w:sectPr>
          <w:pgSz w:w="16838" w:h="11906" w:orient="landscape"/>
          <w:pgMar w:top="1800" w:right="1440" w:bottom="1800" w:left="1440" w:header="851" w:footer="992" w:gutter="0"/>
          <w:cols w:space="425" w:num="1"/>
          <w:docGrid w:type="lines" w:linePitch="312" w:charSpace="0"/>
        </w:sectPr>
      </w:pPr>
    </w:p>
    <w:p w14:paraId="25ACB9D9">
      <w:pPr>
        <w:widowControl/>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p>
    <w:p w14:paraId="75848A53">
      <w:pPr>
        <w:widowControl/>
        <w:spacing w:line="560" w:lineRule="exact"/>
        <w:rPr>
          <w:rFonts w:ascii="方正小标宋简体" w:hAnsi="Times New Roman" w:eastAsia="方正小标宋简体"/>
          <w:sz w:val="44"/>
          <w:szCs w:val="44"/>
        </w:rPr>
      </w:pPr>
      <w:r>
        <w:rPr>
          <w:rFonts w:hint="eastAsia" w:ascii="方正小标宋简体" w:hAnsi="Times New Roman" w:eastAsia="方正小标宋简体"/>
          <w:sz w:val="44"/>
          <w:szCs w:val="44"/>
        </w:rPr>
        <w:t xml:space="preserve">                 技术要求</w:t>
      </w:r>
    </w:p>
    <w:p w14:paraId="0F730A70">
      <w:pPr>
        <w:pStyle w:val="3"/>
        <w:keepNext w:val="0"/>
        <w:keepLines w:val="0"/>
        <w:adjustRightInd w:val="0"/>
        <w:spacing w:before="0" w:after="0" w:line="530" w:lineRule="exact"/>
        <w:ind w:firstLine="640" w:firstLineChars="200"/>
        <w:rPr>
          <w:rFonts w:ascii="黑体" w:hAnsi="黑体"/>
          <w:b w:val="0"/>
          <w:bCs w:val="0"/>
          <w:sz w:val="32"/>
          <w:szCs w:val="32"/>
        </w:rPr>
      </w:pPr>
      <w:r>
        <w:rPr>
          <w:rFonts w:hint="eastAsia" w:ascii="黑体" w:hAnsi="黑体"/>
          <w:b w:val="0"/>
          <w:bCs w:val="0"/>
          <w:sz w:val="32"/>
          <w:szCs w:val="32"/>
        </w:rPr>
        <w:t>一、</w:t>
      </w:r>
      <w:bookmarkStart w:id="0" w:name="_Hlk129351232"/>
      <w:r>
        <w:rPr>
          <w:rFonts w:hint="eastAsia" w:ascii="黑体" w:hAnsi="黑体"/>
          <w:b w:val="0"/>
          <w:bCs w:val="0"/>
          <w:sz w:val="32"/>
          <w:szCs w:val="32"/>
        </w:rPr>
        <w:t>服务内容和标准</w:t>
      </w:r>
      <w:bookmarkEnd w:id="0"/>
    </w:p>
    <w:tbl>
      <w:tblPr>
        <w:tblStyle w:val="7"/>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214"/>
        <w:gridCol w:w="1568"/>
        <w:gridCol w:w="6463"/>
      </w:tblGrid>
      <w:tr w14:paraId="484C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3" w:type="dxa"/>
            <w:shd w:val="clear" w:color="auto" w:fill="auto"/>
            <w:vAlign w:val="center"/>
          </w:tcPr>
          <w:p w14:paraId="728DA155">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2782" w:type="dxa"/>
            <w:gridSpan w:val="2"/>
            <w:shd w:val="clear" w:color="auto" w:fill="auto"/>
            <w:vAlign w:val="center"/>
          </w:tcPr>
          <w:p w14:paraId="36AEB6D0">
            <w:pPr>
              <w:widowControl/>
              <w:jc w:val="center"/>
              <w:rPr>
                <w:rFonts w:ascii="仿宋" w:hAnsi="仿宋" w:eastAsia="仿宋" w:cs="仿宋"/>
                <w:b/>
                <w:bCs/>
                <w:kern w:val="0"/>
                <w:sz w:val="24"/>
              </w:rPr>
            </w:pPr>
            <w:r>
              <w:rPr>
                <w:rFonts w:hint="eastAsia" w:ascii="仿宋" w:hAnsi="仿宋" w:eastAsia="仿宋" w:cs="仿宋"/>
                <w:b/>
                <w:bCs/>
                <w:kern w:val="0"/>
                <w:sz w:val="24"/>
              </w:rPr>
              <w:t>服务名称</w:t>
            </w:r>
          </w:p>
        </w:tc>
        <w:tc>
          <w:tcPr>
            <w:tcW w:w="6463" w:type="dxa"/>
            <w:shd w:val="clear" w:color="auto" w:fill="auto"/>
            <w:vAlign w:val="center"/>
          </w:tcPr>
          <w:p w14:paraId="02793D53">
            <w:pPr>
              <w:widowControl/>
              <w:jc w:val="center"/>
              <w:rPr>
                <w:rFonts w:ascii="仿宋" w:hAnsi="仿宋" w:eastAsia="仿宋" w:cs="仿宋"/>
                <w:b/>
                <w:bCs/>
                <w:kern w:val="0"/>
                <w:sz w:val="24"/>
              </w:rPr>
            </w:pPr>
            <w:r>
              <w:rPr>
                <w:rFonts w:hint="eastAsia" w:ascii="仿宋" w:hAnsi="仿宋" w:eastAsia="仿宋" w:cs="仿宋"/>
                <w:b/>
                <w:bCs/>
                <w:kern w:val="0"/>
                <w:sz w:val="24"/>
              </w:rPr>
              <w:t>主要服务内容</w:t>
            </w:r>
          </w:p>
        </w:tc>
      </w:tr>
      <w:tr w14:paraId="10D3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3" w:type="dxa"/>
            <w:vMerge w:val="restart"/>
            <w:shd w:val="clear" w:color="auto" w:fill="auto"/>
            <w:vAlign w:val="center"/>
          </w:tcPr>
          <w:p w14:paraId="63800DE0">
            <w:pPr>
              <w:jc w:val="center"/>
              <w:rPr>
                <w:rFonts w:ascii="仿宋" w:hAnsi="仿宋" w:eastAsia="仿宋" w:cs="仿宋"/>
                <w:kern w:val="0"/>
                <w:sz w:val="22"/>
              </w:rPr>
            </w:pPr>
            <w:r>
              <w:rPr>
                <w:rFonts w:hint="eastAsia" w:ascii="仿宋" w:hAnsi="仿宋" w:eastAsia="仿宋" w:cs="仿宋"/>
                <w:kern w:val="0"/>
                <w:sz w:val="22"/>
              </w:rPr>
              <w:t>1</w:t>
            </w:r>
          </w:p>
        </w:tc>
        <w:tc>
          <w:tcPr>
            <w:tcW w:w="1214" w:type="dxa"/>
            <w:vMerge w:val="restart"/>
            <w:shd w:val="clear" w:color="auto" w:fill="auto"/>
            <w:vAlign w:val="center"/>
          </w:tcPr>
          <w:p w14:paraId="54936F18">
            <w:pPr>
              <w:jc w:val="center"/>
              <w:rPr>
                <w:rFonts w:ascii="仿宋" w:hAnsi="仿宋" w:eastAsia="仿宋" w:cs="仿宋"/>
                <w:kern w:val="0"/>
                <w:sz w:val="22"/>
              </w:rPr>
            </w:pPr>
            <w:r>
              <w:rPr>
                <w:rFonts w:hint="eastAsia" w:ascii="仿宋" w:hAnsi="仿宋" w:eastAsia="仿宋" w:cs="仿宋"/>
                <w:color w:val="000000"/>
                <w:kern w:val="0"/>
                <w:sz w:val="22"/>
              </w:rPr>
              <w:t>网络安全等级保护测评服务</w:t>
            </w:r>
          </w:p>
        </w:tc>
        <w:tc>
          <w:tcPr>
            <w:tcW w:w="1568" w:type="dxa"/>
            <w:shd w:val="clear" w:color="auto" w:fill="auto"/>
            <w:vAlign w:val="center"/>
          </w:tcPr>
          <w:p w14:paraId="6D309AF8">
            <w:pPr>
              <w:widowControl/>
              <w:jc w:val="center"/>
              <w:textAlignment w:val="center"/>
              <w:rPr>
                <w:rFonts w:ascii="仿宋" w:hAnsi="仿宋" w:eastAsia="仿宋" w:cs="仿宋"/>
                <w:color w:val="000000"/>
                <w:kern w:val="0"/>
                <w:sz w:val="22"/>
              </w:rPr>
            </w:pPr>
            <w:r>
              <w:rPr>
                <w:rFonts w:hint="eastAsia" w:ascii="仿宋" w:hAnsi="仿宋" w:eastAsia="仿宋" w:cs="仿宋"/>
                <w:kern w:val="0"/>
                <w:sz w:val="22"/>
              </w:rPr>
              <w:t>定级备案</w:t>
            </w:r>
          </w:p>
        </w:tc>
        <w:tc>
          <w:tcPr>
            <w:tcW w:w="6463" w:type="dxa"/>
            <w:shd w:val="clear" w:color="auto" w:fill="auto"/>
            <w:vAlign w:val="center"/>
          </w:tcPr>
          <w:p w14:paraId="14D041EA">
            <w:pPr>
              <w:widowControl/>
              <w:tabs>
                <w:tab w:val="left" w:pos="7769"/>
              </w:tabs>
              <w:jc w:val="left"/>
              <w:textAlignment w:val="center"/>
              <w:rPr>
                <w:rFonts w:ascii="仿宋" w:hAnsi="仿宋" w:eastAsia="仿宋" w:cs="仿宋"/>
                <w:kern w:val="0"/>
                <w:sz w:val="22"/>
              </w:rPr>
            </w:pPr>
            <w:r>
              <w:rPr>
                <w:rFonts w:hint="eastAsia" w:ascii="仿宋" w:hAnsi="仿宋" w:eastAsia="仿宋" w:cs="仿宋"/>
                <w:color w:val="000000"/>
                <w:kern w:val="0"/>
                <w:sz w:val="22"/>
              </w:rPr>
              <w:t>整理编写HIS、LIS、PACS、EMR系统定级备案所需资料，并提交相关部门进行备案；</w:t>
            </w:r>
          </w:p>
        </w:tc>
      </w:tr>
      <w:tr w14:paraId="3EEA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3" w:type="dxa"/>
            <w:vMerge w:val="continue"/>
            <w:shd w:val="clear" w:color="auto" w:fill="auto"/>
            <w:vAlign w:val="center"/>
          </w:tcPr>
          <w:p w14:paraId="1933FB02">
            <w:pPr>
              <w:jc w:val="center"/>
              <w:rPr>
                <w:rFonts w:ascii="仿宋" w:hAnsi="仿宋" w:eastAsia="仿宋" w:cs="仿宋"/>
                <w:sz w:val="22"/>
              </w:rPr>
            </w:pPr>
          </w:p>
        </w:tc>
        <w:tc>
          <w:tcPr>
            <w:tcW w:w="1214" w:type="dxa"/>
            <w:vMerge w:val="continue"/>
            <w:shd w:val="clear" w:color="auto" w:fill="auto"/>
            <w:vAlign w:val="center"/>
          </w:tcPr>
          <w:p w14:paraId="70627F28">
            <w:pPr>
              <w:jc w:val="center"/>
              <w:rPr>
                <w:rFonts w:ascii="仿宋" w:hAnsi="仿宋" w:eastAsia="仿宋" w:cs="仿宋"/>
                <w:sz w:val="22"/>
              </w:rPr>
            </w:pPr>
          </w:p>
        </w:tc>
        <w:tc>
          <w:tcPr>
            <w:tcW w:w="1568" w:type="dxa"/>
            <w:shd w:val="clear" w:color="auto" w:fill="auto"/>
            <w:vAlign w:val="center"/>
          </w:tcPr>
          <w:p w14:paraId="591D5068">
            <w:pPr>
              <w:widowControl/>
              <w:jc w:val="center"/>
              <w:textAlignment w:val="center"/>
              <w:rPr>
                <w:rFonts w:ascii="仿宋" w:hAnsi="仿宋" w:eastAsia="仿宋" w:cs="仿宋"/>
                <w:color w:val="000000"/>
                <w:kern w:val="0"/>
                <w:sz w:val="22"/>
              </w:rPr>
            </w:pPr>
            <w:r>
              <w:rPr>
                <w:rFonts w:hint="eastAsia" w:ascii="仿宋" w:hAnsi="仿宋" w:eastAsia="仿宋" w:cs="仿宋"/>
                <w:kern w:val="0"/>
                <w:sz w:val="22"/>
              </w:rPr>
              <w:t>安全技术测评</w:t>
            </w:r>
          </w:p>
        </w:tc>
        <w:tc>
          <w:tcPr>
            <w:tcW w:w="6463" w:type="dxa"/>
            <w:shd w:val="clear" w:color="auto" w:fill="auto"/>
            <w:vAlign w:val="center"/>
          </w:tcPr>
          <w:p w14:paraId="4BEEC385">
            <w:pPr>
              <w:widowControl/>
              <w:jc w:val="left"/>
              <w:textAlignment w:val="center"/>
              <w:rPr>
                <w:rFonts w:ascii="仿宋" w:hAnsi="仿宋" w:eastAsia="仿宋" w:cs="仿宋"/>
                <w:color w:val="000000"/>
                <w:kern w:val="0"/>
                <w:sz w:val="22"/>
              </w:rPr>
            </w:pPr>
            <w:r>
              <w:rPr>
                <w:rFonts w:hint="eastAsia" w:ascii="仿宋" w:hAnsi="仿宋" w:eastAsia="仿宋" w:cs="仿宋"/>
                <w:color w:val="000000"/>
                <w:kern w:val="0"/>
                <w:sz w:val="22"/>
              </w:rPr>
              <w:t>按照三级系统等保测评的要求，技术层面从以下五个层面进行测评：安全物理环境、安全通信网络、安全计算环境、安全区域边界、安全管理中心；</w:t>
            </w:r>
          </w:p>
        </w:tc>
      </w:tr>
      <w:tr w14:paraId="3A29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3" w:type="dxa"/>
            <w:vMerge w:val="continue"/>
            <w:shd w:val="clear" w:color="auto" w:fill="auto"/>
            <w:vAlign w:val="center"/>
          </w:tcPr>
          <w:p w14:paraId="5E608E18">
            <w:pPr>
              <w:jc w:val="center"/>
              <w:rPr>
                <w:rFonts w:ascii="仿宋" w:hAnsi="仿宋" w:eastAsia="仿宋" w:cs="仿宋"/>
                <w:color w:val="000000"/>
                <w:kern w:val="0"/>
                <w:sz w:val="22"/>
              </w:rPr>
            </w:pPr>
          </w:p>
        </w:tc>
        <w:tc>
          <w:tcPr>
            <w:tcW w:w="1214" w:type="dxa"/>
            <w:vMerge w:val="continue"/>
            <w:shd w:val="clear" w:color="auto" w:fill="auto"/>
            <w:vAlign w:val="center"/>
          </w:tcPr>
          <w:p w14:paraId="3BB904D0">
            <w:pPr>
              <w:jc w:val="center"/>
              <w:rPr>
                <w:rFonts w:ascii="仿宋" w:hAnsi="仿宋" w:eastAsia="仿宋" w:cs="仿宋"/>
                <w:color w:val="000000"/>
                <w:kern w:val="0"/>
                <w:sz w:val="22"/>
              </w:rPr>
            </w:pPr>
          </w:p>
        </w:tc>
        <w:tc>
          <w:tcPr>
            <w:tcW w:w="1568" w:type="dxa"/>
            <w:shd w:val="clear" w:color="auto" w:fill="auto"/>
            <w:vAlign w:val="center"/>
          </w:tcPr>
          <w:p w14:paraId="4737D577">
            <w:pPr>
              <w:widowControl/>
              <w:jc w:val="center"/>
              <w:textAlignment w:val="center"/>
              <w:rPr>
                <w:rFonts w:ascii="仿宋" w:hAnsi="仿宋" w:eastAsia="仿宋" w:cs="仿宋"/>
                <w:color w:val="000000"/>
                <w:kern w:val="0"/>
                <w:sz w:val="22"/>
              </w:rPr>
            </w:pPr>
            <w:r>
              <w:rPr>
                <w:rFonts w:hint="eastAsia" w:ascii="仿宋" w:hAnsi="仿宋" w:eastAsia="仿宋" w:cs="仿宋"/>
                <w:kern w:val="0"/>
                <w:sz w:val="22"/>
              </w:rPr>
              <w:t>安全管理测评</w:t>
            </w:r>
          </w:p>
        </w:tc>
        <w:tc>
          <w:tcPr>
            <w:tcW w:w="6463" w:type="dxa"/>
            <w:shd w:val="clear" w:color="auto" w:fill="auto"/>
            <w:vAlign w:val="center"/>
          </w:tcPr>
          <w:p w14:paraId="334097A1">
            <w:pPr>
              <w:widowControl/>
              <w:jc w:val="left"/>
              <w:textAlignment w:val="center"/>
              <w:rPr>
                <w:rFonts w:ascii="仿宋" w:hAnsi="仿宋" w:eastAsia="仿宋" w:cs="仿宋"/>
                <w:color w:val="000000"/>
                <w:kern w:val="0"/>
                <w:sz w:val="22"/>
              </w:rPr>
            </w:pPr>
            <w:r>
              <w:rPr>
                <w:rFonts w:hint="eastAsia" w:ascii="仿宋" w:hAnsi="仿宋" w:eastAsia="仿宋" w:cs="仿宋"/>
                <w:color w:val="000000"/>
                <w:kern w:val="0"/>
                <w:sz w:val="22"/>
              </w:rPr>
              <w:t>按照三级系统等保测评的要求，管理层面从以下五个层面进行测评：安全管理制度、安全管理机构、安全管理人员、安全建设管理、安全运维管理；</w:t>
            </w:r>
          </w:p>
        </w:tc>
      </w:tr>
      <w:tr w14:paraId="7BFC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3" w:type="dxa"/>
            <w:vMerge w:val="continue"/>
            <w:shd w:val="clear" w:color="auto" w:fill="auto"/>
            <w:vAlign w:val="center"/>
          </w:tcPr>
          <w:p w14:paraId="4E12FB59">
            <w:pPr>
              <w:jc w:val="center"/>
              <w:rPr>
                <w:rFonts w:ascii="仿宋" w:hAnsi="仿宋" w:eastAsia="仿宋" w:cs="仿宋"/>
                <w:color w:val="000000"/>
                <w:kern w:val="0"/>
                <w:sz w:val="22"/>
              </w:rPr>
            </w:pPr>
          </w:p>
        </w:tc>
        <w:tc>
          <w:tcPr>
            <w:tcW w:w="1214" w:type="dxa"/>
            <w:vMerge w:val="continue"/>
            <w:shd w:val="clear" w:color="auto" w:fill="auto"/>
            <w:vAlign w:val="center"/>
          </w:tcPr>
          <w:p w14:paraId="43ADE5F2">
            <w:pPr>
              <w:jc w:val="center"/>
              <w:rPr>
                <w:rFonts w:ascii="仿宋" w:hAnsi="仿宋" w:eastAsia="仿宋" w:cs="仿宋"/>
                <w:color w:val="000000"/>
                <w:kern w:val="0"/>
                <w:sz w:val="22"/>
              </w:rPr>
            </w:pPr>
          </w:p>
        </w:tc>
        <w:tc>
          <w:tcPr>
            <w:tcW w:w="1568" w:type="dxa"/>
            <w:shd w:val="clear" w:color="auto" w:fill="auto"/>
            <w:vAlign w:val="center"/>
          </w:tcPr>
          <w:p w14:paraId="7BB27112">
            <w:pPr>
              <w:widowControl/>
              <w:jc w:val="center"/>
              <w:textAlignment w:val="center"/>
              <w:rPr>
                <w:rFonts w:ascii="仿宋" w:hAnsi="仿宋" w:eastAsia="仿宋" w:cs="仿宋"/>
                <w:color w:val="000000"/>
                <w:kern w:val="0"/>
                <w:sz w:val="22"/>
              </w:rPr>
            </w:pPr>
            <w:r>
              <w:rPr>
                <w:rFonts w:hint="eastAsia" w:ascii="仿宋" w:hAnsi="仿宋" w:eastAsia="仿宋" w:cs="仿宋"/>
                <w:kern w:val="0"/>
                <w:sz w:val="22"/>
              </w:rPr>
              <w:t>渗透测试服务</w:t>
            </w:r>
          </w:p>
        </w:tc>
        <w:tc>
          <w:tcPr>
            <w:tcW w:w="6463" w:type="dxa"/>
            <w:shd w:val="clear" w:color="auto" w:fill="auto"/>
            <w:vAlign w:val="center"/>
          </w:tcPr>
          <w:p w14:paraId="7F0C61A7">
            <w:pPr>
              <w:widowControl/>
              <w:jc w:val="left"/>
              <w:textAlignment w:val="center"/>
              <w:rPr>
                <w:rFonts w:ascii="仿宋" w:hAnsi="仿宋" w:eastAsia="仿宋" w:cs="仿宋"/>
                <w:color w:val="000000"/>
                <w:kern w:val="0"/>
                <w:sz w:val="22"/>
              </w:rPr>
            </w:pPr>
            <w:r>
              <w:rPr>
                <w:rFonts w:hint="eastAsia" w:ascii="仿宋" w:hAnsi="仿宋" w:eastAsia="仿宋" w:cs="仿宋"/>
                <w:color w:val="000000"/>
                <w:kern w:val="0"/>
                <w:sz w:val="22"/>
              </w:rPr>
              <w:t>对系统提供渗透测试服务，通过模拟恶意黑客的攻击方法，来评估计算机系统的安全状况。这个过程包括对系统的任何弱点、技术缺陷或漏洞的主动分析；</w:t>
            </w:r>
          </w:p>
        </w:tc>
      </w:tr>
      <w:tr w14:paraId="0E35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3" w:type="dxa"/>
            <w:vMerge w:val="continue"/>
            <w:shd w:val="clear" w:color="auto" w:fill="auto"/>
            <w:vAlign w:val="center"/>
          </w:tcPr>
          <w:p w14:paraId="54127552">
            <w:pPr>
              <w:jc w:val="center"/>
              <w:rPr>
                <w:rFonts w:ascii="仿宋" w:hAnsi="仿宋" w:eastAsia="仿宋" w:cs="仿宋"/>
                <w:color w:val="000000"/>
                <w:kern w:val="0"/>
                <w:sz w:val="22"/>
              </w:rPr>
            </w:pPr>
          </w:p>
        </w:tc>
        <w:tc>
          <w:tcPr>
            <w:tcW w:w="1214" w:type="dxa"/>
            <w:vMerge w:val="continue"/>
            <w:shd w:val="clear" w:color="auto" w:fill="auto"/>
            <w:vAlign w:val="center"/>
          </w:tcPr>
          <w:p w14:paraId="05318EDD">
            <w:pPr>
              <w:jc w:val="center"/>
              <w:rPr>
                <w:rFonts w:ascii="仿宋" w:hAnsi="仿宋" w:eastAsia="仿宋" w:cs="仿宋"/>
                <w:color w:val="000000"/>
                <w:kern w:val="0"/>
                <w:sz w:val="22"/>
              </w:rPr>
            </w:pPr>
          </w:p>
        </w:tc>
        <w:tc>
          <w:tcPr>
            <w:tcW w:w="1568" w:type="dxa"/>
            <w:shd w:val="clear" w:color="auto" w:fill="auto"/>
            <w:vAlign w:val="center"/>
          </w:tcPr>
          <w:p w14:paraId="2DE09370">
            <w:pPr>
              <w:widowControl/>
              <w:jc w:val="center"/>
              <w:textAlignment w:val="center"/>
              <w:rPr>
                <w:rFonts w:ascii="仿宋" w:hAnsi="仿宋" w:eastAsia="仿宋" w:cs="仿宋"/>
                <w:color w:val="000000"/>
                <w:kern w:val="0"/>
                <w:sz w:val="22"/>
              </w:rPr>
            </w:pPr>
            <w:r>
              <w:rPr>
                <w:rFonts w:hint="eastAsia" w:ascii="仿宋" w:hAnsi="仿宋" w:eastAsia="仿宋" w:cs="仿宋"/>
                <w:kern w:val="0"/>
                <w:sz w:val="22"/>
              </w:rPr>
              <w:t>漏洞扫描服务</w:t>
            </w:r>
          </w:p>
        </w:tc>
        <w:tc>
          <w:tcPr>
            <w:tcW w:w="6463" w:type="dxa"/>
            <w:shd w:val="clear" w:color="auto" w:fill="auto"/>
            <w:vAlign w:val="center"/>
          </w:tcPr>
          <w:p w14:paraId="39437852">
            <w:pPr>
              <w:widowControl/>
              <w:jc w:val="left"/>
              <w:textAlignment w:val="center"/>
              <w:rPr>
                <w:rFonts w:ascii="仿宋" w:hAnsi="仿宋" w:eastAsia="仿宋" w:cs="仿宋"/>
                <w:color w:val="000000"/>
                <w:kern w:val="0"/>
                <w:sz w:val="22"/>
              </w:rPr>
            </w:pPr>
            <w:r>
              <w:rPr>
                <w:rFonts w:hint="eastAsia" w:ascii="仿宋" w:hAnsi="仿宋" w:eastAsia="仿宋" w:cs="仿宋"/>
                <w:color w:val="000000"/>
                <w:kern w:val="0"/>
                <w:sz w:val="22"/>
              </w:rPr>
              <w:t>漏洞扫描是指基于漏洞数据库，通过扫描等手段对指定的远程或者本地计算机系统的安全脆弱性进行检测，发现可利用漏洞的一种安全检测（渗透攻击）行为；</w:t>
            </w:r>
          </w:p>
        </w:tc>
      </w:tr>
      <w:tr w14:paraId="0148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3" w:type="dxa"/>
            <w:vMerge w:val="continue"/>
            <w:shd w:val="clear" w:color="auto" w:fill="auto"/>
            <w:vAlign w:val="center"/>
          </w:tcPr>
          <w:p w14:paraId="4D470159">
            <w:pPr>
              <w:jc w:val="center"/>
              <w:rPr>
                <w:rFonts w:ascii="仿宋" w:hAnsi="仿宋" w:eastAsia="仿宋" w:cs="仿宋"/>
                <w:color w:val="000000"/>
                <w:kern w:val="0"/>
                <w:sz w:val="22"/>
              </w:rPr>
            </w:pPr>
          </w:p>
        </w:tc>
        <w:tc>
          <w:tcPr>
            <w:tcW w:w="1214" w:type="dxa"/>
            <w:vMerge w:val="continue"/>
            <w:shd w:val="clear" w:color="auto" w:fill="auto"/>
            <w:vAlign w:val="center"/>
          </w:tcPr>
          <w:p w14:paraId="25A27EFB">
            <w:pPr>
              <w:jc w:val="center"/>
              <w:rPr>
                <w:rFonts w:ascii="仿宋" w:hAnsi="仿宋" w:eastAsia="仿宋" w:cs="仿宋"/>
                <w:color w:val="000000"/>
                <w:kern w:val="0"/>
                <w:sz w:val="22"/>
              </w:rPr>
            </w:pPr>
          </w:p>
        </w:tc>
        <w:tc>
          <w:tcPr>
            <w:tcW w:w="1568" w:type="dxa"/>
            <w:shd w:val="clear" w:color="auto" w:fill="auto"/>
            <w:vAlign w:val="center"/>
          </w:tcPr>
          <w:p w14:paraId="07DA4057">
            <w:pPr>
              <w:widowControl/>
              <w:jc w:val="center"/>
              <w:textAlignment w:val="center"/>
              <w:rPr>
                <w:rFonts w:ascii="仿宋" w:hAnsi="仿宋" w:eastAsia="仿宋" w:cs="仿宋"/>
                <w:color w:val="000000"/>
                <w:kern w:val="0"/>
                <w:sz w:val="22"/>
              </w:rPr>
            </w:pPr>
            <w:r>
              <w:rPr>
                <w:rFonts w:hint="eastAsia" w:ascii="仿宋" w:hAnsi="仿宋" w:eastAsia="仿宋" w:cs="仿宋"/>
                <w:kern w:val="0"/>
                <w:sz w:val="22"/>
              </w:rPr>
              <w:t>信息系统安全整改建议咨询</w:t>
            </w:r>
          </w:p>
        </w:tc>
        <w:tc>
          <w:tcPr>
            <w:tcW w:w="6463" w:type="dxa"/>
            <w:shd w:val="clear" w:color="auto" w:fill="auto"/>
            <w:vAlign w:val="center"/>
          </w:tcPr>
          <w:p w14:paraId="7537AF78">
            <w:pPr>
              <w:widowControl/>
              <w:jc w:val="left"/>
              <w:textAlignment w:val="center"/>
              <w:rPr>
                <w:rFonts w:ascii="仿宋" w:hAnsi="仿宋" w:eastAsia="仿宋" w:cs="仿宋"/>
                <w:color w:val="000000"/>
                <w:kern w:val="0"/>
                <w:sz w:val="22"/>
              </w:rPr>
            </w:pPr>
            <w:r>
              <w:rPr>
                <w:rFonts w:hint="eastAsia" w:ascii="仿宋" w:hAnsi="仿宋" w:eastAsia="仿宋" w:cs="仿宋"/>
                <w:color w:val="000000"/>
                <w:kern w:val="0"/>
                <w:sz w:val="22"/>
              </w:rPr>
              <w:t>提供本项目所涉及被测系统的安全整改咨询建议，并出具整改建议；对项目建设整改期提供必要的安全咨询建议服务；</w:t>
            </w:r>
          </w:p>
        </w:tc>
      </w:tr>
      <w:tr w14:paraId="0C7F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3" w:type="dxa"/>
            <w:vMerge w:val="continue"/>
            <w:shd w:val="clear" w:color="auto" w:fill="auto"/>
            <w:vAlign w:val="center"/>
          </w:tcPr>
          <w:p w14:paraId="0901C0C2">
            <w:pPr>
              <w:jc w:val="center"/>
              <w:rPr>
                <w:rFonts w:ascii="仿宋" w:hAnsi="仿宋" w:eastAsia="仿宋" w:cs="仿宋"/>
                <w:color w:val="000000"/>
                <w:kern w:val="0"/>
                <w:sz w:val="22"/>
              </w:rPr>
            </w:pPr>
          </w:p>
        </w:tc>
        <w:tc>
          <w:tcPr>
            <w:tcW w:w="1214" w:type="dxa"/>
            <w:vMerge w:val="continue"/>
            <w:shd w:val="clear" w:color="auto" w:fill="auto"/>
            <w:vAlign w:val="center"/>
          </w:tcPr>
          <w:p w14:paraId="18D0BB3F">
            <w:pPr>
              <w:jc w:val="center"/>
              <w:rPr>
                <w:rFonts w:ascii="仿宋" w:hAnsi="仿宋" w:eastAsia="仿宋" w:cs="仿宋"/>
                <w:color w:val="000000"/>
                <w:kern w:val="0"/>
                <w:sz w:val="22"/>
              </w:rPr>
            </w:pPr>
          </w:p>
        </w:tc>
        <w:tc>
          <w:tcPr>
            <w:tcW w:w="1568" w:type="dxa"/>
            <w:shd w:val="clear" w:color="auto" w:fill="auto"/>
            <w:vAlign w:val="center"/>
          </w:tcPr>
          <w:p w14:paraId="049A63CF">
            <w:pPr>
              <w:widowControl/>
              <w:jc w:val="center"/>
              <w:textAlignment w:val="center"/>
              <w:rPr>
                <w:rFonts w:ascii="仿宋" w:hAnsi="仿宋" w:eastAsia="仿宋" w:cs="仿宋"/>
                <w:color w:val="000000"/>
                <w:kern w:val="0"/>
                <w:sz w:val="22"/>
              </w:rPr>
            </w:pPr>
            <w:r>
              <w:rPr>
                <w:rFonts w:hint="eastAsia" w:ascii="仿宋" w:hAnsi="仿宋" w:eastAsia="仿宋" w:cs="仿宋"/>
                <w:kern w:val="0"/>
                <w:sz w:val="22"/>
              </w:rPr>
              <w:t>安全整改复测</w:t>
            </w:r>
          </w:p>
        </w:tc>
        <w:tc>
          <w:tcPr>
            <w:tcW w:w="6463" w:type="dxa"/>
            <w:shd w:val="clear" w:color="auto" w:fill="auto"/>
            <w:vAlign w:val="center"/>
          </w:tcPr>
          <w:p w14:paraId="3CF2C548">
            <w:pPr>
              <w:widowControl/>
              <w:jc w:val="left"/>
              <w:textAlignment w:val="center"/>
              <w:rPr>
                <w:rFonts w:ascii="仿宋" w:hAnsi="仿宋" w:eastAsia="仿宋" w:cs="仿宋"/>
                <w:color w:val="000000"/>
                <w:kern w:val="0"/>
                <w:sz w:val="22"/>
              </w:rPr>
            </w:pPr>
            <w:r>
              <w:rPr>
                <w:rFonts w:hint="eastAsia" w:ascii="仿宋" w:hAnsi="仿宋" w:eastAsia="仿宋" w:cs="仿宋"/>
                <w:color w:val="000000"/>
                <w:kern w:val="0"/>
                <w:sz w:val="22"/>
              </w:rPr>
              <w:t>提供整改建议，提供至少两次复测服务，最终以复测后的结果出具报告；</w:t>
            </w:r>
          </w:p>
        </w:tc>
      </w:tr>
      <w:tr w14:paraId="445C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3" w:type="dxa"/>
            <w:vMerge w:val="continue"/>
            <w:shd w:val="clear" w:color="auto" w:fill="auto"/>
            <w:vAlign w:val="center"/>
          </w:tcPr>
          <w:p w14:paraId="0B2562AD">
            <w:pPr>
              <w:jc w:val="center"/>
              <w:rPr>
                <w:rFonts w:ascii="仿宋" w:hAnsi="仿宋" w:eastAsia="仿宋" w:cs="仿宋"/>
                <w:color w:val="000000"/>
                <w:kern w:val="0"/>
                <w:sz w:val="22"/>
              </w:rPr>
            </w:pPr>
          </w:p>
        </w:tc>
        <w:tc>
          <w:tcPr>
            <w:tcW w:w="1214" w:type="dxa"/>
            <w:vMerge w:val="continue"/>
            <w:shd w:val="clear" w:color="auto" w:fill="auto"/>
            <w:vAlign w:val="center"/>
          </w:tcPr>
          <w:p w14:paraId="1FCE2A03">
            <w:pPr>
              <w:jc w:val="center"/>
              <w:rPr>
                <w:rFonts w:ascii="仿宋" w:hAnsi="仿宋" w:eastAsia="仿宋" w:cs="仿宋"/>
                <w:color w:val="000000"/>
                <w:kern w:val="0"/>
                <w:sz w:val="22"/>
              </w:rPr>
            </w:pPr>
          </w:p>
        </w:tc>
        <w:tc>
          <w:tcPr>
            <w:tcW w:w="1568" w:type="dxa"/>
            <w:shd w:val="clear" w:color="auto" w:fill="auto"/>
            <w:vAlign w:val="center"/>
          </w:tcPr>
          <w:p w14:paraId="6371BC7F">
            <w:pPr>
              <w:widowControl/>
              <w:jc w:val="center"/>
              <w:textAlignment w:val="center"/>
              <w:rPr>
                <w:rFonts w:ascii="仿宋" w:hAnsi="仿宋" w:eastAsia="仿宋" w:cs="仿宋"/>
                <w:color w:val="000000"/>
                <w:kern w:val="0"/>
                <w:sz w:val="22"/>
              </w:rPr>
            </w:pPr>
            <w:r>
              <w:rPr>
                <w:rFonts w:hint="eastAsia" w:ascii="仿宋" w:hAnsi="仿宋" w:eastAsia="仿宋" w:cs="仿宋"/>
                <w:kern w:val="0"/>
                <w:sz w:val="22"/>
              </w:rPr>
              <w:t>等级保护测评报告</w:t>
            </w:r>
          </w:p>
        </w:tc>
        <w:tc>
          <w:tcPr>
            <w:tcW w:w="6463" w:type="dxa"/>
            <w:shd w:val="clear" w:color="auto" w:fill="auto"/>
            <w:vAlign w:val="center"/>
          </w:tcPr>
          <w:p w14:paraId="5228889A">
            <w:pPr>
              <w:widowControl/>
              <w:jc w:val="left"/>
              <w:textAlignment w:val="center"/>
              <w:rPr>
                <w:rFonts w:ascii="仿宋" w:hAnsi="仿宋" w:eastAsia="仿宋" w:cs="仿宋"/>
                <w:color w:val="000000"/>
                <w:kern w:val="0"/>
                <w:sz w:val="22"/>
              </w:rPr>
            </w:pPr>
            <w:r>
              <w:rPr>
                <w:rFonts w:hint="eastAsia" w:ascii="仿宋" w:hAnsi="仿宋" w:eastAsia="仿宋" w:cs="仿宋"/>
                <w:color w:val="000000"/>
                <w:kern w:val="0"/>
                <w:sz w:val="22"/>
              </w:rPr>
              <w:t>按照系统现状出具等级保护测评报告，每个系统一份，纸质版至少两份，电子版至少一份。</w:t>
            </w:r>
          </w:p>
        </w:tc>
      </w:tr>
      <w:tr w14:paraId="5715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shd w:val="clear" w:color="auto" w:fill="auto"/>
            <w:vAlign w:val="center"/>
          </w:tcPr>
          <w:p w14:paraId="6B0325D3">
            <w:pPr>
              <w:jc w:val="center"/>
              <w:rPr>
                <w:rFonts w:ascii="仿宋" w:hAnsi="仿宋" w:eastAsia="仿宋" w:cs="仿宋"/>
                <w:kern w:val="0"/>
                <w:sz w:val="22"/>
              </w:rPr>
            </w:pPr>
            <w:r>
              <w:rPr>
                <w:rFonts w:hint="eastAsia" w:ascii="仿宋" w:hAnsi="仿宋" w:eastAsia="仿宋" w:cs="仿宋"/>
                <w:kern w:val="0"/>
                <w:sz w:val="22"/>
              </w:rPr>
              <w:t>2</w:t>
            </w:r>
          </w:p>
        </w:tc>
        <w:tc>
          <w:tcPr>
            <w:tcW w:w="2782" w:type="dxa"/>
            <w:gridSpan w:val="2"/>
            <w:shd w:val="clear" w:color="auto" w:fill="auto"/>
            <w:vAlign w:val="center"/>
          </w:tcPr>
          <w:p w14:paraId="617EBF55">
            <w:pPr>
              <w:jc w:val="center"/>
              <w:rPr>
                <w:rFonts w:ascii="仿宋" w:hAnsi="仿宋" w:eastAsia="仿宋" w:cs="仿宋"/>
                <w:color w:val="000000"/>
                <w:kern w:val="0"/>
                <w:sz w:val="22"/>
              </w:rPr>
            </w:pPr>
            <w:r>
              <w:rPr>
                <w:rFonts w:hint="eastAsia" w:ascii="仿宋" w:hAnsi="仿宋" w:eastAsia="仿宋" w:cs="仿宋"/>
                <w:color w:val="000000"/>
                <w:kern w:val="0"/>
                <w:sz w:val="22"/>
              </w:rPr>
              <w:t>网络安全培训服务</w:t>
            </w:r>
          </w:p>
        </w:tc>
        <w:tc>
          <w:tcPr>
            <w:tcW w:w="6463" w:type="dxa"/>
            <w:shd w:val="clear" w:color="auto" w:fill="auto"/>
            <w:vAlign w:val="center"/>
          </w:tcPr>
          <w:p w14:paraId="0F0E9319">
            <w:pPr>
              <w:spacing w:line="340" w:lineRule="exact"/>
              <w:jc w:val="left"/>
              <w:rPr>
                <w:rFonts w:ascii="仿宋" w:hAnsi="仿宋" w:eastAsia="仿宋" w:cs="仿宋"/>
                <w:sz w:val="22"/>
              </w:rPr>
            </w:pPr>
            <w:r>
              <w:rPr>
                <w:rFonts w:hint="eastAsia" w:ascii="仿宋" w:hAnsi="仿宋" w:eastAsia="仿宋" w:cs="仿宋"/>
                <w:sz w:val="22"/>
              </w:rPr>
              <w:t>提供通用的网络安全意识培训服务，并根据医疗行业特性、业务系统特性、工作部门特性，制定定制化网络安全意识培训。提供</w:t>
            </w:r>
            <w:r>
              <w:rPr>
                <w:rFonts w:hint="eastAsia" w:ascii="仿宋" w:hAnsi="仿宋" w:eastAsia="仿宋" w:cs="仿宋"/>
                <w:kern w:val="0"/>
                <w:sz w:val="22"/>
              </w:rPr>
              <w:t>3人次</w:t>
            </w:r>
            <w:r>
              <w:rPr>
                <w:rFonts w:hint="eastAsia" w:ascii="仿宋" w:hAnsi="仿宋" w:eastAsia="仿宋" w:cs="仿宋"/>
                <w:color w:val="000000"/>
                <w:kern w:val="0"/>
                <w:sz w:val="22"/>
              </w:rPr>
              <w:t>注册信息安全专业人员CISP培训与认证服务，以及</w:t>
            </w:r>
            <w:r>
              <w:rPr>
                <w:rFonts w:hint="eastAsia" w:ascii="仿宋" w:hAnsi="仿宋" w:eastAsia="仿宋" w:cs="仿宋"/>
                <w:kern w:val="0"/>
                <w:sz w:val="22"/>
              </w:rPr>
              <w:t>2人次</w:t>
            </w:r>
            <w:r>
              <w:rPr>
                <w:rFonts w:hint="eastAsia" w:ascii="仿宋" w:hAnsi="仿宋" w:eastAsia="仿宋" w:cs="仿宋"/>
                <w:color w:val="000000"/>
                <w:kern w:val="0"/>
                <w:sz w:val="22"/>
              </w:rPr>
              <w:t>注册信息安全专业人员渗透工程师CISP-PTE培训与认证服务。</w:t>
            </w:r>
          </w:p>
        </w:tc>
      </w:tr>
      <w:tr w14:paraId="3664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shd w:val="clear" w:color="auto" w:fill="auto"/>
            <w:vAlign w:val="center"/>
          </w:tcPr>
          <w:p w14:paraId="695CD581">
            <w:pPr>
              <w:jc w:val="center"/>
              <w:rPr>
                <w:rFonts w:ascii="仿宋" w:hAnsi="仿宋" w:eastAsia="仿宋" w:cs="仿宋"/>
                <w:kern w:val="0"/>
                <w:sz w:val="22"/>
              </w:rPr>
            </w:pPr>
            <w:r>
              <w:rPr>
                <w:rFonts w:hint="eastAsia" w:ascii="仿宋" w:hAnsi="仿宋" w:eastAsia="仿宋" w:cs="仿宋"/>
                <w:kern w:val="0"/>
                <w:sz w:val="22"/>
              </w:rPr>
              <w:t>3</w:t>
            </w:r>
          </w:p>
        </w:tc>
        <w:tc>
          <w:tcPr>
            <w:tcW w:w="2782" w:type="dxa"/>
            <w:gridSpan w:val="2"/>
            <w:shd w:val="clear" w:color="auto" w:fill="auto"/>
            <w:vAlign w:val="center"/>
          </w:tcPr>
          <w:p w14:paraId="009CE55C">
            <w:pPr>
              <w:jc w:val="center"/>
              <w:rPr>
                <w:rFonts w:ascii="仿宋" w:hAnsi="仿宋" w:eastAsia="仿宋" w:cs="仿宋"/>
                <w:color w:val="000000"/>
                <w:kern w:val="0"/>
                <w:sz w:val="22"/>
              </w:rPr>
            </w:pPr>
            <w:r>
              <w:rPr>
                <w:rFonts w:hint="eastAsia" w:ascii="仿宋" w:hAnsi="仿宋" w:eastAsia="仿宋" w:cs="仿宋"/>
                <w:color w:val="000000"/>
                <w:kern w:val="0"/>
                <w:sz w:val="22"/>
              </w:rPr>
              <w:t>网络安全咨询服务</w:t>
            </w:r>
          </w:p>
        </w:tc>
        <w:tc>
          <w:tcPr>
            <w:tcW w:w="6463" w:type="dxa"/>
            <w:shd w:val="clear" w:color="auto" w:fill="auto"/>
            <w:vAlign w:val="center"/>
          </w:tcPr>
          <w:p w14:paraId="5B886C09">
            <w:pPr>
              <w:spacing w:line="340" w:lineRule="exact"/>
              <w:jc w:val="left"/>
              <w:rPr>
                <w:rFonts w:ascii="仿宋" w:hAnsi="仿宋" w:eastAsia="仿宋" w:cs="仿宋"/>
                <w:sz w:val="22"/>
              </w:rPr>
            </w:pPr>
            <w:r>
              <w:rPr>
                <w:rFonts w:hint="eastAsia" w:ascii="仿宋" w:hAnsi="仿宋" w:eastAsia="仿宋" w:cs="仿宋"/>
                <w:sz w:val="22"/>
              </w:rPr>
              <w:t>提供信息安全领域相关政策要求、技术问题的咨询服务，技术问题答疑。包含网络安全体系规划建设咨询服务、网络安全建设整改咨询服务。</w:t>
            </w:r>
          </w:p>
        </w:tc>
      </w:tr>
      <w:tr w14:paraId="3B97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shd w:val="clear" w:color="auto" w:fill="auto"/>
            <w:vAlign w:val="center"/>
          </w:tcPr>
          <w:p w14:paraId="1B607960">
            <w:pPr>
              <w:jc w:val="center"/>
              <w:rPr>
                <w:rFonts w:ascii="仿宋" w:hAnsi="仿宋" w:eastAsia="仿宋" w:cs="仿宋"/>
                <w:kern w:val="0"/>
                <w:sz w:val="22"/>
              </w:rPr>
            </w:pPr>
            <w:r>
              <w:rPr>
                <w:rFonts w:hint="eastAsia" w:ascii="仿宋" w:hAnsi="仿宋" w:eastAsia="仿宋" w:cs="仿宋"/>
                <w:kern w:val="0"/>
                <w:sz w:val="22"/>
              </w:rPr>
              <w:t>4</w:t>
            </w:r>
          </w:p>
        </w:tc>
        <w:tc>
          <w:tcPr>
            <w:tcW w:w="2782" w:type="dxa"/>
            <w:gridSpan w:val="2"/>
            <w:shd w:val="clear" w:color="auto" w:fill="auto"/>
            <w:vAlign w:val="center"/>
          </w:tcPr>
          <w:p w14:paraId="3F6D6F65">
            <w:pPr>
              <w:jc w:val="center"/>
              <w:rPr>
                <w:rFonts w:ascii="仿宋" w:hAnsi="仿宋" w:eastAsia="仿宋" w:cs="仿宋"/>
                <w:color w:val="000000"/>
                <w:kern w:val="0"/>
                <w:sz w:val="22"/>
              </w:rPr>
            </w:pPr>
            <w:r>
              <w:rPr>
                <w:rFonts w:hint="eastAsia" w:ascii="仿宋" w:hAnsi="仿宋" w:eastAsia="仿宋" w:cs="仿宋"/>
                <w:color w:val="000000"/>
                <w:kern w:val="0"/>
                <w:sz w:val="22"/>
              </w:rPr>
              <w:t>应急响应服务</w:t>
            </w:r>
          </w:p>
        </w:tc>
        <w:tc>
          <w:tcPr>
            <w:tcW w:w="6463" w:type="dxa"/>
            <w:shd w:val="clear" w:color="auto" w:fill="auto"/>
            <w:vAlign w:val="center"/>
          </w:tcPr>
          <w:p w14:paraId="15FC731A">
            <w:pPr>
              <w:spacing w:line="340" w:lineRule="exact"/>
              <w:jc w:val="left"/>
              <w:rPr>
                <w:rFonts w:ascii="仿宋" w:hAnsi="仿宋" w:eastAsia="仿宋" w:cs="仿宋"/>
                <w:sz w:val="22"/>
              </w:rPr>
            </w:pPr>
            <w:r>
              <w:rPr>
                <w:rFonts w:hint="eastAsia" w:ascii="仿宋" w:hAnsi="仿宋" w:eastAsia="仿宋" w:cs="仿宋"/>
                <w:sz w:val="22"/>
              </w:rPr>
              <w:t>根据我方实际情况，建立、健全网络与信息安全运行应急工作机制。</w:t>
            </w:r>
          </w:p>
        </w:tc>
      </w:tr>
      <w:tr w14:paraId="5C84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shd w:val="clear" w:color="auto" w:fill="auto"/>
            <w:vAlign w:val="center"/>
          </w:tcPr>
          <w:p w14:paraId="030B13BC">
            <w:pPr>
              <w:jc w:val="center"/>
              <w:rPr>
                <w:rFonts w:ascii="仿宋" w:hAnsi="仿宋" w:eastAsia="仿宋" w:cs="仿宋"/>
                <w:kern w:val="0"/>
                <w:sz w:val="22"/>
              </w:rPr>
            </w:pPr>
            <w:r>
              <w:rPr>
                <w:rFonts w:hint="eastAsia" w:ascii="仿宋" w:hAnsi="仿宋" w:eastAsia="仿宋" w:cs="仿宋"/>
                <w:kern w:val="0"/>
                <w:sz w:val="22"/>
              </w:rPr>
              <w:t>5</w:t>
            </w:r>
          </w:p>
        </w:tc>
        <w:tc>
          <w:tcPr>
            <w:tcW w:w="2782" w:type="dxa"/>
            <w:gridSpan w:val="2"/>
            <w:shd w:val="clear" w:color="auto" w:fill="auto"/>
            <w:vAlign w:val="center"/>
          </w:tcPr>
          <w:p w14:paraId="085650DE">
            <w:pPr>
              <w:jc w:val="center"/>
              <w:rPr>
                <w:rFonts w:ascii="仿宋" w:hAnsi="仿宋" w:eastAsia="仿宋" w:cs="仿宋"/>
                <w:color w:val="000000"/>
                <w:kern w:val="0"/>
                <w:sz w:val="22"/>
              </w:rPr>
            </w:pPr>
            <w:r>
              <w:rPr>
                <w:rFonts w:hint="eastAsia" w:ascii="仿宋" w:hAnsi="仿宋" w:eastAsia="仿宋" w:cs="仿宋"/>
                <w:color w:val="000000"/>
                <w:kern w:val="0"/>
                <w:sz w:val="22"/>
              </w:rPr>
              <w:t>攻防演习服务</w:t>
            </w:r>
          </w:p>
        </w:tc>
        <w:tc>
          <w:tcPr>
            <w:tcW w:w="6463" w:type="dxa"/>
            <w:shd w:val="clear" w:color="auto" w:fill="auto"/>
            <w:vAlign w:val="center"/>
          </w:tcPr>
          <w:p w14:paraId="232DE90D">
            <w:pPr>
              <w:spacing w:line="340" w:lineRule="exact"/>
              <w:jc w:val="left"/>
              <w:rPr>
                <w:rFonts w:ascii="仿宋" w:hAnsi="仿宋" w:eastAsia="仿宋" w:cs="仿宋"/>
                <w:kern w:val="0"/>
                <w:sz w:val="22"/>
              </w:rPr>
            </w:pPr>
            <w:r>
              <w:rPr>
                <w:rFonts w:hint="eastAsia" w:ascii="仿宋" w:hAnsi="仿宋" w:eastAsia="仿宋" w:cs="仿宋"/>
                <w:sz w:val="22"/>
              </w:rPr>
              <w:t>针对网络安全攻防演练、重大活动安全保障（如国家护网行动、攻防对抗等）场景设计，提供</w:t>
            </w:r>
            <w:r>
              <w:rPr>
                <w:rFonts w:hint="eastAsia" w:ascii="仿宋" w:hAnsi="仿宋" w:eastAsia="仿宋" w:cs="仿宋"/>
                <w:color w:val="000000"/>
                <w:kern w:val="0"/>
                <w:sz w:val="22"/>
              </w:rPr>
              <w:t>攻防演习服务</w:t>
            </w:r>
            <w:r>
              <w:rPr>
                <w:rFonts w:hint="eastAsia" w:ascii="仿宋" w:hAnsi="仿宋" w:eastAsia="仿宋" w:cs="仿宋"/>
                <w:sz w:val="22"/>
              </w:rPr>
              <w:t>。通过模拟真实攻击场景，结合主动防御、威胁监测、应急响应等手段，构建实战化安全防护体系，确保核心业务系统在攻防对抗中的安全性、稳定性和业务连续性。</w:t>
            </w:r>
          </w:p>
        </w:tc>
      </w:tr>
      <w:tr w14:paraId="50BF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53" w:type="dxa"/>
            <w:shd w:val="clear" w:color="auto" w:fill="auto"/>
            <w:vAlign w:val="center"/>
          </w:tcPr>
          <w:p w14:paraId="36693EF3">
            <w:pPr>
              <w:jc w:val="center"/>
              <w:rPr>
                <w:rFonts w:ascii="仿宋" w:hAnsi="仿宋" w:eastAsia="仿宋" w:cs="仿宋"/>
                <w:kern w:val="0"/>
                <w:sz w:val="22"/>
              </w:rPr>
            </w:pPr>
            <w:r>
              <w:rPr>
                <w:rFonts w:hint="eastAsia" w:ascii="仿宋" w:hAnsi="仿宋" w:eastAsia="仿宋" w:cs="仿宋"/>
                <w:kern w:val="0"/>
                <w:sz w:val="22"/>
              </w:rPr>
              <w:t>6</w:t>
            </w:r>
          </w:p>
        </w:tc>
        <w:tc>
          <w:tcPr>
            <w:tcW w:w="2782" w:type="dxa"/>
            <w:gridSpan w:val="2"/>
            <w:shd w:val="clear" w:color="auto" w:fill="auto"/>
            <w:vAlign w:val="center"/>
          </w:tcPr>
          <w:p w14:paraId="10900A82">
            <w:pPr>
              <w:jc w:val="center"/>
              <w:rPr>
                <w:rFonts w:ascii="仿宋" w:hAnsi="仿宋" w:eastAsia="仿宋" w:cs="仿宋"/>
                <w:color w:val="000000"/>
                <w:kern w:val="0"/>
                <w:sz w:val="22"/>
              </w:rPr>
            </w:pPr>
            <w:r>
              <w:rPr>
                <w:rFonts w:hint="eastAsia" w:ascii="仿宋" w:hAnsi="仿宋" w:eastAsia="仿宋" w:cs="仿宋"/>
                <w:color w:val="000000"/>
                <w:kern w:val="0"/>
                <w:sz w:val="22"/>
              </w:rPr>
              <w:t>数据分级分类服务</w:t>
            </w:r>
          </w:p>
        </w:tc>
        <w:tc>
          <w:tcPr>
            <w:tcW w:w="6463" w:type="dxa"/>
            <w:shd w:val="clear" w:color="auto" w:fill="auto"/>
            <w:vAlign w:val="center"/>
          </w:tcPr>
          <w:p w14:paraId="5C3DA3E4">
            <w:pPr>
              <w:spacing w:line="340" w:lineRule="exact"/>
              <w:jc w:val="left"/>
              <w:rPr>
                <w:rFonts w:ascii="仿宋" w:hAnsi="仿宋" w:eastAsia="仿宋" w:cs="仿宋"/>
                <w:sz w:val="22"/>
              </w:rPr>
            </w:pPr>
            <w:r>
              <w:rPr>
                <w:rFonts w:hint="eastAsia" w:ascii="仿宋" w:hAnsi="仿宋" w:eastAsia="仿宋" w:cs="仿宋"/>
                <w:sz w:val="22"/>
              </w:rPr>
              <w:t>通过对数据的自然属性、医疗业务价值及潜在风险进行综合分析，实现数据安全管控与高效利用的平衡，构建科学的数据资产管理机制。基于行业标准与实际数据现状制定数据识别规则，识别目标数据存储对象中的数据情况。输出包含但不限于《数据分类分级服务报告》、《数据安全管理制度》、《数据分类分级指南》、《数据资产清单》等文档；基于国家/医疗行业标准，以及我方合规性和安全性需求，建立成体系的数据安全管理制度，包含但不限于方针战略、管理办法、实施细则以及管理流程与表单等。</w:t>
            </w:r>
          </w:p>
        </w:tc>
      </w:tr>
    </w:tbl>
    <w:p w14:paraId="383A14F6">
      <w:pPr>
        <w:tabs>
          <w:tab w:val="left" w:pos="840"/>
          <w:tab w:val="left" w:pos="1080"/>
        </w:tabs>
        <w:autoSpaceDE w:val="0"/>
        <w:autoSpaceDN w:val="0"/>
        <w:adjustRightInd w:val="0"/>
        <w:spacing w:line="597" w:lineRule="exact"/>
        <w:ind w:firstLine="643" w:firstLineChars="200"/>
        <w:outlineLvl w:val="0"/>
        <w:rPr>
          <w:rFonts w:ascii="仿宋" w:hAnsi="仿宋" w:eastAsia="仿宋" w:cs="仿宋"/>
          <w:b/>
          <w:bCs/>
          <w:sz w:val="32"/>
          <w:szCs w:val="32"/>
        </w:rPr>
      </w:pPr>
      <w:bookmarkStart w:id="1" w:name="_Toc196840724"/>
      <w:bookmarkStart w:id="2" w:name="_Toc18484"/>
      <w:bookmarkStart w:id="3" w:name="_Toc190696865"/>
      <w:r>
        <w:rPr>
          <w:rFonts w:hint="eastAsia" w:ascii="仿宋" w:hAnsi="仿宋" w:eastAsia="仿宋" w:cs="仿宋"/>
          <w:b/>
          <w:bCs/>
          <w:sz w:val="32"/>
          <w:szCs w:val="32"/>
        </w:rPr>
        <w:t>1.等级保护测评服务</w:t>
      </w:r>
      <w:bookmarkEnd w:id="1"/>
      <w:bookmarkEnd w:id="2"/>
      <w:bookmarkEnd w:id="3"/>
    </w:p>
    <w:p w14:paraId="796BF881">
      <w:pPr>
        <w:pStyle w:val="16"/>
        <w:widowControl/>
        <w:spacing w:line="597" w:lineRule="exact"/>
        <w:ind w:firstLine="640"/>
        <w:jc w:val="left"/>
        <w:outlineLvl w:val="3"/>
        <w:rPr>
          <w:rFonts w:ascii="仿宋" w:hAnsi="仿宋" w:eastAsia="仿宋" w:cs="仿宋"/>
          <w:b/>
          <w:bCs/>
          <w:sz w:val="32"/>
          <w:szCs w:val="32"/>
        </w:rPr>
      </w:pPr>
      <w:bookmarkStart w:id="4" w:name="_Toc190696867"/>
      <w:r>
        <w:rPr>
          <w:rFonts w:hint="eastAsia" w:ascii="仿宋" w:hAnsi="仿宋" w:eastAsia="仿宋" w:cs="仿宋"/>
          <w:b/>
          <w:bCs/>
          <w:sz w:val="32"/>
          <w:szCs w:val="32"/>
        </w:rPr>
        <w:t>1.1.测评原则</w:t>
      </w:r>
      <w:bookmarkEnd w:id="4"/>
    </w:p>
    <w:p w14:paraId="587EBAF7">
      <w:pPr>
        <w:widowControl/>
        <w:spacing w:line="597" w:lineRule="exact"/>
        <w:ind w:firstLine="643" w:firstLineChars="200"/>
        <w:jc w:val="left"/>
        <w:rPr>
          <w:rFonts w:ascii="仿宋" w:hAnsi="仿宋" w:eastAsia="仿宋"/>
          <w:b/>
          <w:bCs/>
          <w:sz w:val="32"/>
          <w:szCs w:val="32"/>
        </w:rPr>
      </w:pPr>
      <w:r>
        <w:rPr>
          <w:rFonts w:hint="eastAsia" w:ascii="仿宋" w:hAnsi="仿宋" w:eastAsia="仿宋"/>
          <w:b/>
          <w:bCs/>
          <w:sz w:val="32"/>
          <w:szCs w:val="32"/>
        </w:rPr>
        <w:t>符合性原则</w:t>
      </w:r>
    </w:p>
    <w:p w14:paraId="67599084">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遵守国家27号文件提出的积极防御、综合防范的方针和等级保护的原则，应严格贯彻《国家信息化领导小组关于加强信息安全保障工作的意见》（中办发【2003】27号）、《关于信息安全等级保护工作的实施意见》（公通字【2004】66号）、《信息安全等级保护管理办法》（公通字【2007】43号）等文件提出的各项要求。</w:t>
      </w:r>
    </w:p>
    <w:p w14:paraId="498C5ADD">
      <w:pPr>
        <w:widowControl/>
        <w:spacing w:line="597" w:lineRule="exact"/>
        <w:ind w:firstLine="643" w:firstLineChars="200"/>
        <w:jc w:val="left"/>
        <w:rPr>
          <w:rFonts w:ascii="仿宋" w:hAnsi="仿宋" w:eastAsia="仿宋"/>
          <w:b/>
          <w:bCs/>
          <w:sz w:val="32"/>
          <w:szCs w:val="32"/>
        </w:rPr>
      </w:pPr>
      <w:r>
        <w:rPr>
          <w:rFonts w:hint="eastAsia" w:ascii="仿宋" w:hAnsi="仿宋" w:eastAsia="仿宋"/>
          <w:b/>
          <w:bCs/>
          <w:sz w:val="32"/>
          <w:szCs w:val="32"/>
        </w:rPr>
        <w:t>规范性原则</w:t>
      </w:r>
    </w:p>
    <w:p w14:paraId="1ED4A684">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服务方案与实施计划应依据国家、行业的相关标准进行设计。项目中将参考并遵循如：《GB∕T 22239-2019 信息安全技术 网络安全等级保护基本要求》、《GB∕T 25058-2019 信息安全技术 网络安全等级保护实施指南》、《GB∕T 28448-2019 信息安全技术 网络安全等级保护测评要求》、《GB∕T 28449-2018 信息安全技术 网络安全等级保护测评过程指南》、《GB∕T 25070-2019 信息安全技术 网络安全等级保护安全设计技术要求》等相关信息安全标准和行业规范，同时充分吸收同类行业的成功经验，并结合项目自身特点，规范化的完成本次服务。</w:t>
      </w:r>
    </w:p>
    <w:p w14:paraId="1D116FBF">
      <w:pPr>
        <w:widowControl/>
        <w:spacing w:line="597" w:lineRule="exact"/>
        <w:ind w:firstLine="643" w:firstLineChars="200"/>
        <w:jc w:val="left"/>
        <w:rPr>
          <w:rFonts w:ascii="仿宋" w:hAnsi="仿宋" w:eastAsia="仿宋"/>
          <w:b/>
          <w:bCs/>
          <w:sz w:val="32"/>
          <w:szCs w:val="32"/>
        </w:rPr>
      </w:pPr>
      <w:r>
        <w:rPr>
          <w:rFonts w:hint="eastAsia" w:ascii="仿宋" w:hAnsi="仿宋" w:eastAsia="仿宋"/>
          <w:b/>
          <w:bCs/>
          <w:sz w:val="32"/>
          <w:szCs w:val="32"/>
        </w:rPr>
        <w:t>可控性原则</w:t>
      </w:r>
    </w:p>
    <w:p w14:paraId="5CC33CF9">
      <w:pPr>
        <w:pStyle w:val="6"/>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应遵循行业相关规范及项目管理要求，从以下几个方面对项目进行把控：</w:t>
      </w:r>
    </w:p>
    <w:p w14:paraId="6913BEC4">
      <w:pPr>
        <w:pStyle w:val="6"/>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人员可控性：中标供应商应委派专门的项目经理，负责本项目的各项事宜。项目经理依据项目需求组建最优项目小组，明确各小组成员的服务角色与职责。在征得我方的同意后，开展各方面的测评工作。</w:t>
      </w:r>
    </w:p>
    <w:p w14:paraId="3863D25D">
      <w:pPr>
        <w:pStyle w:val="6"/>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工具可控性：中标供应商所使用的技术工具均须事我方相关信息系统负责人进行报备，并且提前介绍工具的使用目的及使用方法并进行测试，确保工具安全可靠。</w:t>
      </w:r>
    </w:p>
    <w:p w14:paraId="1F8E8080">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项目过程可控性：本次服务项目应严格遵守网络安全等级保护测评相关要求及行业项目管理规范开展本次工作，确保项目过程的可控性。</w:t>
      </w:r>
    </w:p>
    <w:p w14:paraId="1611FC42">
      <w:pPr>
        <w:widowControl/>
        <w:spacing w:line="597" w:lineRule="exact"/>
        <w:ind w:firstLine="643" w:firstLineChars="200"/>
        <w:jc w:val="left"/>
        <w:rPr>
          <w:rFonts w:ascii="仿宋" w:hAnsi="仿宋" w:eastAsia="仿宋"/>
          <w:b/>
          <w:bCs/>
          <w:sz w:val="32"/>
          <w:szCs w:val="32"/>
        </w:rPr>
      </w:pPr>
      <w:r>
        <w:rPr>
          <w:rFonts w:hint="eastAsia" w:ascii="仿宋" w:hAnsi="仿宋" w:eastAsia="仿宋"/>
          <w:b/>
          <w:bCs/>
          <w:sz w:val="32"/>
          <w:szCs w:val="32"/>
        </w:rPr>
        <w:t>整体性原则</w:t>
      </w:r>
    </w:p>
    <w:p w14:paraId="25D93C76">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中标供应商将按照我方提供的项目范围开展服务实施工作，从范围、深度上满足我方的要求。项目实施内容包括等级保护基本要求涉及的各个层面（安全物理环境、安全通信网络、安全区域边界、安全计算环境、安全管理中心、安全管理制度、安全管理人员、安全管理机构、安全建设管理、安全运维管理），保证测评工作的全面性、测评结果的客观性以及整改建议的专业性。</w:t>
      </w:r>
    </w:p>
    <w:p w14:paraId="0044FB72">
      <w:pPr>
        <w:widowControl/>
        <w:spacing w:line="597" w:lineRule="exact"/>
        <w:ind w:firstLine="643" w:firstLineChars="200"/>
        <w:jc w:val="left"/>
        <w:rPr>
          <w:rFonts w:ascii="仿宋" w:hAnsi="仿宋" w:eastAsia="仿宋"/>
          <w:b/>
          <w:bCs/>
          <w:sz w:val="32"/>
          <w:szCs w:val="32"/>
        </w:rPr>
      </w:pPr>
      <w:r>
        <w:rPr>
          <w:rFonts w:hint="eastAsia" w:ascii="仿宋" w:hAnsi="仿宋" w:eastAsia="仿宋"/>
          <w:b/>
          <w:bCs/>
          <w:sz w:val="32"/>
          <w:szCs w:val="32"/>
        </w:rPr>
        <w:t>最小影响原则</w:t>
      </w:r>
    </w:p>
    <w:p w14:paraId="3CAF3B92">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为了保障项目实施过程中尽可能小的影响系统和网络的正常运行，中标供应商从项目管理和技术应用两个层面，将安全服务可能对被测系统的正常运行所带来的影响降到最低，确保不会对当前运行的网络和业务系统产生显著影响（系统性能明显下降、网络拥塞、服务中断），同时在现场服务前协助我方做好备份和应急工作。</w:t>
      </w:r>
    </w:p>
    <w:p w14:paraId="0D03EF37">
      <w:pPr>
        <w:widowControl/>
        <w:spacing w:line="597" w:lineRule="exact"/>
        <w:ind w:firstLine="643" w:firstLineChars="200"/>
        <w:jc w:val="left"/>
        <w:rPr>
          <w:rFonts w:ascii="仿宋" w:hAnsi="仿宋" w:eastAsia="仿宋"/>
          <w:b/>
          <w:bCs/>
          <w:sz w:val="32"/>
          <w:szCs w:val="32"/>
        </w:rPr>
      </w:pPr>
      <w:r>
        <w:rPr>
          <w:rFonts w:hint="eastAsia" w:ascii="仿宋" w:hAnsi="仿宋" w:eastAsia="仿宋"/>
          <w:b/>
          <w:bCs/>
          <w:sz w:val="32"/>
          <w:szCs w:val="32"/>
        </w:rPr>
        <w:t>保密原则</w:t>
      </w:r>
    </w:p>
    <w:p w14:paraId="4A16FF2E">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中标供应商将与我方签署此项目特定的保密协议，对项目过程数据和结果数据严格保密。在进行数据交换时，使用数据加密软件及专用的加密U盘，防止明文数据共享带来的安全隐患。同时中标供应商应依据我方的要求，对相关文档、数据资料设置保管生命周期，在保管生命周期结束之后，项目组成员将彻底销毁所有和项目有关的数据和文档资料，并承诺不做任何恢复动作。</w:t>
      </w:r>
    </w:p>
    <w:p w14:paraId="32DF0B56">
      <w:pPr>
        <w:tabs>
          <w:tab w:val="left" w:pos="840"/>
          <w:tab w:val="left" w:pos="1080"/>
        </w:tabs>
        <w:autoSpaceDE w:val="0"/>
        <w:autoSpaceDN w:val="0"/>
        <w:adjustRightInd w:val="0"/>
        <w:spacing w:line="597" w:lineRule="exact"/>
        <w:ind w:firstLine="643" w:firstLineChars="200"/>
        <w:outlineLvl w:val="0"/>
        <w:rPr>
          <w:rFonts w:ascii="仿宋" w:hAnsi="仿宋" w:eastAsia="仿宋" w:cs="仿宋"/>
          <w:b/>
          <w:bCs/>
          <w:sz w:val="32"/>
          <w:szCs w:val="32"/>
        </w:rPr>
      </w:pPr>
      <w:bookmarkStart w:id="5" w:name="_Toc190696868"/>
      <w:r>
        <w:rPr>
          <w:rFonts w:hint="eastAsia" w:ascii="仿宋" w:hAnsi="仿宋" w:eastAsia="仿宋" w:cs="仿宋"/>
          <w:b/>
          <w:bCs/>
          <w:sz w:val="32"/>
          <w:szCs w:val="32"/>
        </w:rPr>
        <w:t>1.2.测评范围</w:t>
      </w:r>
      <w:bookmarkEnd w:id="5"/>
    </w:p>
    <w:p w14:paraId="1E20B6D5">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（1）新医技楼和办公楼数据中心机房 （包括其环境、设备和设施等）、以及院内所有楼宇各楼层弱电井；</w:t>
      </w:r>
    </w:p>
    <w:p w14:paraId="473B9DF6">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（2）存储被测系统重要数据的介质的存放环境；</w:t>
      </w:r>
      <w:r>
        <w:rPr>
          <w:rFonts w:hint="eastAsia" w:ascii="仿宋" w:hAnsi="仿宋" w:eastAsia="仿宋"/>
          <w:sz w:val="32"/>
          <w:szCs w:val="32"/>
        </w:rPr>
        <w:tab/>
      </w:r>
    </w:p>
    <w:p w14:paraId="778E8919">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（3）办公场地；</w:t>
      </w:r>
    </w:p>
    <w:p w14:paraId="684113A7">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（4）整个系统的网络拓扑结构；</w:t>
      </w:r>
    </w:p>
    <w:p w14:paraId="33AA5B5A">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（5）安全设备，包括防火墙、入侵检测设备和防病毒网关等；</w:t>
      </w:r>
    </w:p>
    <w:p w14:paraId="0FDE8BAA">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（6）边界网络设备，包括路由器、防火墙、认证网关和边界接入设备（如楼层交换机）等；</w:t>
      </w:r>
    </w:p>
    <w:p w14:paraId="61E0E1D1">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（7）对整个信息系统或其局部的安全性起作用的网络互联设备，如核心交换机、汇聚层交换机、路由器等；</w:t>
      </w:r>
    </w:p>
    <w:p w14:paraId="501F52E5">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（8）承载业务处理系统主要业务或数据的服务器（包括其操作系统和数据库）；</w:t>
      </w:r>
    </w:p>
    <w:p w14:paraId="2E36CE06">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（8）管理终端和主要应用系统终端；</w:t>
      </w:r>
    </w:p>
    <w:p w14:paraId="243E0288">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（9）能够完成不同业务的各个应用系统；</w:t>
      </w:r>
    </w:p>
    <w:p w14:paraId="2E84D61E">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（10）业务备份系统；</w:t>
      </w:r>
    </w:p>
    <w:p w14:paraId="24731EFC">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（11）信息安全主管人员、各方面的负责人员、具体负责安全管理的当事人、业务负责人；</w:t>
      </w:r>
    </w:p>
    <w:p w14:paraId="0ACFE2E9">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（12）涉及到信息系统安全的所有管理制度和记录。</w:t>
      </w:r>
    </w:p>
    <w:p w14:paraId="0D848D66">
      <w:pPr>
        <w:tabs>
          <w:tab w:val="left" w:pos="840"/>
          <w:tab w:val="left" w:pos="1080"/>
        </w:tabs>
        <w:autoSpaceDE w:val="0"/>
        <w:autoSpaceDN w:val="0"/>
        <w:adjustRightInd w:val="0"/>
        <w:spacing w:line="597"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1.3.测评内容</w:t>
      </w:r>
    </w:p>
    <w:p w14:paraId="1193A961">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计划完成医院4个重要业务信息系统的三级等级保护测评。</w:t>
      </w:r>
    </w:p>
    <w:p w14:paraId="506B448A">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等级测评的现场实施过程由单元测试和整体测评两部分构成。对应《基本要求》各安全控制点的测评称为单元测试，具体可分为安全物理环境、安全通信网络、安全区域边界、安全计算环境、安全管理中心、安全管理制度、安全管理机构、安全管理人员、安全建设管理和安全运维管理十项测试任务。</w:t>
      </w:r>
    </w:p>
    <w:p w14:paraId="530D3332">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整体测评是在单元测评的基础上，通过进一步的分析信息系统安全保护功能的整体相关性，对信息系统实施的综合安全测评。</w:t>
      </w:r>
    </w:p>
    <w:p w14:paraId="62E18E0C">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测评的内容包括但不限于以下内容：</w:t>
      </w:r>
    </w:p>
    <w:p w14:paraId="34C3ABD6">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安全技术测评：包括安全物理环境、安全通信网络、安全区域边界、安全计算环境、安全管理中心等五个方面的安全测评；</w:t>
      </w:r>
    </w:p>
    <w:p w14:paraId="3094E38D">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安全管理测评：安全管理机构、安全管理制度、安全管理人员、安全建设管理和安全运维管理等五个方面的安全测评。</w:t>
      </w:r>
    </w:p>
    <w:p w14:paraId="6FAEDBFB">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基础环境安全测评</w:t>
      </w:r>
    </w:p>
    <w:p w14:paraId="343161A0">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把测评指标和测评方式结合到信息系统的具体测评对象上，就构成了可以具体测评的工作单元。具体分为安全物理环境、安全通信网络、安全区域边界、安全计算环境、安全管理中心、安全管理制度、安全管理机构、安全管理人员、安全建设管理、安全运维管理等方面。</w:t>
      </w:r>
    </w:p>
    <w:p w14:paraId="3B6919CF">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本次等级保护测评服务，主要依据《GB/T 22239-2019 信息安全技术 网络安全等级保护基本要求》展开，具体情况如下：</w:t>
      </w:r>
    </w:p>
    <w:p w14:paraId="40676E13">
      <w:pPr>
        <w:widowControl/>
        <w:spacing w:line="597" w:lineRule="exact"/>
        <w:ind w:firstLine="643" w:firstLineChars="200"/>
        <w:jc w:val="left"/>
        <w:outlineLvl w:val="4"/>
        <w:rPr>
          <w:rFonts w:ascii="仿宋" w:hAnsi="仿宋" w:eastAsia="仿宋"/>
          <w:b/>
          <w:bCs/>
          <w:sz w:val="32"/>
          <w:szCs w:val="32"/>
        </w:rPr>
      </w:pPr>
      <w:r>
        <w:rPr>
          <w:rFonts w:hint="eastAsia" w:ascii="仿宋" w:hAnsi="仿宋" w:eastAsia="仿宋"/>
          <w:b/>
          <w:bCs/>
          <w:sz w:val="32"/>
          <w:szCs w:val="32"/>
        </w:rPr>
        <w:t>安全物理环境测评</w:t>
      </w:r>
    </w:p>
    <w:p w14:paraId="3746E594">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安全物理环境测评中，测评人员将以文档查阅与分析和现场观测等检查方法为主，访谈为辅来获取测评证据（如机房的温湿度情况），用于评测机房的安全保护能力。</w:t>
      </w:r>
    </w:p>
    <w:p w14:paraId="09FB8A7C">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安全物理环境测评涉及的测评对象主要为机房和相关的安全文档。</w:t>
      </w:r>
    </w:p>
    <w:p w14:paraId="720A9534">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安全物理环境测评实施过程涉及10个方面的安全保护能力，具体测评指标描述如下表所示：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27"/>
        <w:gridCol w:w="1500"/>
        <w:gridCol w:w="6349"/>
      </w:tblGrid>
      <w:tr w14:paraId="6328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70" w:type="pct"/>
            <w:tcBorders>
              <w:top w:val="single" w:color="auto" w:sz="4" w:space="0"/>
              <w:left w:val="single" w:color="auto" w:sz="4" w:space="0"/>
              <w:bottom w:val="single" w:color="auto" w:sz="4" w:space="0"/>
              <w:right w:val="single" w:color="auto" w:sz="4" w:space="0"/>
            </w:tcBorders>
            <w:shd w:val="clear" w:color="auto" w:fill="A6A6A6"/>
            <w:vAlign w:val="center"/>
          </w:tcPr>
          <w:p w14:paraId="0074E997">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序号</w:t>
            </w:r>
          </w:p>
        </w:tc>
        <w:tc>
          <w:tcPr>
            <w:tcW w:w="885" w:type="pct"/>
            <w:tcBorders>
              <w:top w:val="single" w:color="auto" w:sz="4" w:space="0"/>
              <w:left w:val="single" w:color="auto" w:sz="4" w:space="0"/>
              <w:bottom w:val="single" w:color="auto" w:sz="4" w:space="0"/>
              <w:right w:val="single" w:color="auto" w:sz="4" w:space="0"/>
            </w:tcBorders>
            <w:shd w:val="clear" w:color="auto" w:fill="A6A6A6"/>
            <w:vAlign w:val="center"/>
          </w:tcPr>
          <w:p w14:paraId="7626C1CD">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安全子类</w:t>
            </w:r>
          </w:p>
        </w:tc>
        <w:tc>
          <w:tcPr>
            <w:tcW w:w="3745" w:type="pct"/>
            <w:tcBorders>
              <w:top w:val="single" w:color="auto" w:sz="4" w:space="0"/>
              <w:left w:val="single" w:color="auto" w:sz="4" w:space="0"/>
              <w:bottom w:val="single" w:color="auto" w:sz="4" w:space="0"/>
              <w:right w:val="single" w:color="auto" w:sz="4" w:space="0"/>
            </w:tcBorders>
            <w:shd w:val="clear" w:color="auto" w:fill="A6A6A6"/>
            <w:vAlign w:val="center"/>
          </w:tcPr>
          <w:p w14:paraId="1A2099EE">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测评指标描述</w:t>
            </w:r>
          </w:p>
        </w:tc>
      </w:tr>
      <w:tr w14:paraId="2B51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1F6191BE">
            <w:pPr>
              <w:pStyle w:val="17"/>
              <w:widowControl/>
              <w:numPr>
                <w:ilvl w:val="0"/>
                <w:numId w:val="1"/>
              </w:numPr>
              <w:ind w:firstLineChars="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5ADD0DC6">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物理位置选择</w:t>
            </w:r>
          </w:p>
        </w:tc>
        <w:tc>
          <w:tcPr>
            <w:tcW w:w="3745" w:type="pct"/>
            <w:tcBorders>
              <w:top w:val="single" w:color="auto" w:sz="4" w:space="0"/>
              <w:left w:val="single" w:color="auto" w:sz="4" w:space="0"/>
              <w:bottom w:val="single" w:color="auto" w:sz="4" w:space="0"/>
              <w:right w:val="single" w:color="auto" w:sz="4" w:space="0"/>
            </w:tcBorders>
            <w:vAlign w:val="center"/>
          </w:tcPr>
          <w:p w14:paraId="06C4BBDC">
            <w:pPr>
              <w:widowControl/>
              <w:rPr>
                <w:rFonts w:ascii="仿宋" w:hAnsi="仿宋" w:eastAsia="仿宋" w:cs="仿宋"/>
                <w:color w:val="000000"/>
                <w:sz w:val="20"/>
                <w:szCs w:val="20"/>
              </w:rPr>
            </w:pPr>
            <w:r>
              <w:rPr>
                <w:rFonts w:hint="eastAsia" w:ascii="仿宋" w:hAnsi="仿宋" w:eastAsia="仿宋" w:cs="仿宋"/>
                <w:color w:val="000000"/>
                <w:sz w:val="20"/>
                <w:szCs w:val="20"/>
              </w:rPr>
              <w:t>通过访谈物理安全负责人，检查机房，测评机房物理场所在位置上是否具有防震、防风和防雨等多方面的安全防范能力。</w:t>
            </w:r>
          </w:p>
        </w:tc>
      </w:tr>
      <w:tr w14:paraId="720D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656A04AA">
            <w:pPr>
              <w:pStyle w:val="17"/>
              <w:widowControl/>
              <w:numPr>
                <w:ilvl w:val="0"/>
                <w:numId w:val="1"/>
              </w:numPr>
              <w:ind w:firstLineChars="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4E0DBC39">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物理访问控制</w:t>
            </w:r>
          </w:p>
        </w:tc>
        <w:tc>
          <w:tcPr>
            <w:tcW w:w="3745" w:type="pct"/>
            <w:tcBorders>
              <w:top w:val="single" w:color="auto" w:sz="4" w:space="0"/>
              <w:left w:val="single" w:color="auto" w:sz="4" w:space="0"/>
              <w:bottom w:val="single" w:color="auto" w:sz="4" w:space="0"/>
              <w:right w:val="single" w:color="auto" w:sz="4" w:space="0"/>
            </w:tcBorders>
            <w:vAlign w:val="center"/>
          </w:tcPr>
          <w:p w14:paraId="10B1E551">
            <w:pPr>
              <w:widowControl/>
              <w:rPr>
                <w:rFonts w:ascii="仿宋" w:hAnsi="仿宋" w:eastAsia="仿宋" w:cs="仿宋"/>
                <w:color w:val="000000"/>
                <w:sz w:val="20"/>
                <w:szCs w:val="20"/>
              </w:rPr>
            </w:pPr>
            <w:r>
              <w:rPr>
                <w:rFonts w:hint="eastAsia" w:ascii="仿宋" w:hAnsi="仿宋" w:eastAsia="仿宋" w:cs="仿宋"/>
                <w:color w:val="000000"/>
                <w:sz w:val="20"/>
                <w:szCs w:val="20"/>
              </w:rPr>
              <w:t>通过访谈物理安全负责人，检查机房出入口等过程，测评信息系统在物理访问控制方面的安全防范能力。</w:t>
            </w:r>
          </w:p>
        </w:tc>
      </w:tr>
      <w:tr w14:paraId="547B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5A4D7E25">
            <w:pPr>
              <w:pStyle w:val="17"/>
              <w:widowControl/>
              <w:numPr>
                <w:ilvl w:val="0"/>
                <w:numId w:val="1"/>
              </w:numPr>
              <w:ind w:firstLineChars="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5E9EA766">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防盗窃和防破坏</w:t>
            </w:r>
          </w:p>
        </w:tc>
        <w:tc>
          <w:tcPr>
            <w:tcW w:w="3745" w:type="pct"/>
            <w:tcBorders>
              <w:top w:val="single" w:color="auto" w:sz="4" w:space="0"/>
              <w:left w:val="single" w:color="auto" w:sz="4" w:space="0"/>
              <w:bottom w:val="single" w:color="auto" w:sz="4" w:space="0"/>
              <w:right w:val="single" w:color="auto" w:sz="4" w:space="0"/>
            </w:tcBorders>
            <w:vAlign w:val="center"/>
          </w:tcPr>
          <w:p w14:paraId="17A58F0A">
            <w:pPr>
              <w:widowControl/>
              <w:rPr>
                <w:rFonts w:ascii="仿宋" w:hAnsi="仿宋" w:eastAsia="仿宋" w:cs="仿宋"/>
                <w:color w:val="000000"/>
                <w:sz w:val="20"/>
                <w:szCs w:val="20"/>
              </w:rPr>
            </w:pPr>
            <w:r>
              <w:rPr>
                <w:rFonts w:hint="eastAsia" w:ascii="仿宋" w:hAnsi="仿宋" w:eastAsia="仿宋" w:cs="仿宋"/>
                <w:color w:val="000000"/>
                <w:sz w:val="20"/>
                <w:szCs w:val="20"/>
              </w:rPr>
              <w:t>通过访谈物理安全负责人，检查机房内的主要设备、介质和防盗报警设施等过程，测评信息系统是否采取必要的措施预防设备、介质等丢失和被破坏。</w:t>
            </w:r>
          </w:p>
        </w:tc>
      </w:tr>
      <w:tr w14:paraId="2D89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0FDE9264">
            <w:pPr>
              <w:pStyle w:val="17"/>
              <w:widowControl/>
              <w:numPr>
                <w:ilvl w:val="0"/>
                <w:numId w:val="1"/>
              </w:numPr>
              <w:ind w:firstLineChars="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35725FA6">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防雷击</w:t>
            </w:r>
          </w:p>
        </w:tc>
        <w:tc>
          <w:tcPr>
            <w:tcW w:w="3745" w:type="pct"/>
            <w:tcBorders>
              <w:top w:val="single" w:color="auto" w:sz="4" w:space="0"/>
              <w:left w:val="single" w:color="auto" w:sz="4" w:space="0"/>
              <w:bottom w:val="single" w:color="auto" w:sz="4" w:space="0"/>
              <w:right w:val="single" w:color="auto" w:sz="4" w:space="0"/>
            </w:tcBorders>
            <w:vAlign w:val="center"/>
          </w:tcPr>
          <w:p w14:paraId="31F7333C">
            <w:pPr>
              <w:widowControl/>
              <w:rPr>
                <w:rFonts w:ascii="仿宋" w:hAnsi="仿宋" w:eastAsia="仿宋" w:cs="仿宋"/>
                <w:color w:val="000000"/>
                <w:sz w:val="20"/>
                <w:szCs w:val="20"/>
              </w:rPr>
            </w:pPr>
            <w:r>
              <w:rPr>
                <w:rFonts w:hint="eastAsia" w:ascii="仿宋" w:hAnsi="仿宋" w:eastAsia="仿宋" w:cs="仿宋"/>
                <w:color w:val="000000"/>
                <w:sz w:val="20"/>
                <w:szCs w:val="20"/>
              </w:rPr>
              <w:t>通过访谈物理安全负责人，检查机房设计/验收文档，测评信息系统是否采取相应的措施预防雷击。</w:t>
            </w:r>
          </w:p>
        </w:tc>
      </w:tr>
      <w:tr w14:paraId="226E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6515EBA6">
            <w:pPr>
              <w:pStyle w:val="17"/>
              <w:widowControl/>
              <w:numPr>
                <w:ilvl w:val="0"/>
                <w:numId w:val="1"/>
              </w:numPr>
              <w:ind w:firstLineChars="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061094EE">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防火</w:t>
            </w:r>
          </w:p>
        </w:tc>
        <w:tc>
          <w:tcPr>
            <w:tcW w:w="3745" w:type="pct"/>
            <w:tcBorders>
              <w:top w:val="single" w:color="auto" w:sz="4" w:space="0"/>
              <w:left w:val="single" w:color="auto" w:sz="4" w:space="0"/>
              <w:bottom w:val="single" w:color="auto" w:sz="4" w:space="0"/>
              <w:right w:val="single" w:color="auto" w:sz="4" w:space="0"/>
            </w:tcBorders>
            <w:vAlign w:val="center"/>
          </w:tcPr>
          <w:p w14:paraId="25D8AD24">
            <w:pPr>
              <w:widowControl/>
              <w:rPr>
                <w:rFonts w:ascii="仿宋" w:hAnsi="仿宋" w:eastAsia="仿宋" w:cs="仿宋"/>
                <w:color w:val="000000"/>
                <w:sz w:val="20"/>
                <w:szCs w:val="20"/>
              </w:rPr>
            </w:pPr>
            <w:r>
              <w:rPr>
                <w:rFonts w:hint="eastAsia" w:ascii="仿宋" w:hAnsi="仿宋" w:eastAsia="仿宋" w:cs="仿宋"/>
                <w:color w:val="000000"/>
                <w:sz w:val="20"/>
                <w:szCs w:val="20"/>
              </w:rPr>
              <w:t>通过访谈物理安全负责人，检查机房防火方面的安全管理制度，检查机房防火设备等过程，测评信息系统是否采取必要的措施防止火灾的发生。</w:t>
            </w:r>
          </w:p>
        </w:tc>
      </w:tr>
      <w:tr w14:paraId="2F0F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10BD3B60">
            <w:pPr>
              <w:pStyle w:val="17"/>
              <w:widowControl/>
              <w:numPr>
                <w:ilvl w:val="0"/>
                <w:numId w:val="1"/>
              </w:numPr>
              <w:ind w:firstLineChars="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31DDF4C0">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防水和防潮</w:t>
            </w:r>
          </w:p>
        </w:tc>
        <w:tc>
          <w:tcPr>
            <w:tcW w:w="3745" w:type="pct"/>
            <w:tcBorders>
              <w:top w:val="single" w:color="auto" w:sz="4" w:space="0"/>
              <w:left w:val="single" w:color="auto" w:sz="4" w:space="0"/>
              <w:bottom w:val="single" w:color="auto" w:sz="4" w:space="0"/>
              <w:right w:val="single" w:color="auto" w:sz="4" w:space="0"/>
            </w:tcBorders>
            <w:vAlign w:val="center"/>
          </w:tcPr>
          <w:p w14:paraId="5C3C1964">
            <w:pPr>
              <w:widowControl/>
              <w:rPr>
                <w:rFonts w:ascii="仿宋" w:hAnsi="仿宋" w:eastAsia="仿宋" w:cs="仿宋"/>
                <w:color w:val="000000"/>
                <w:sz w:val="20"/>
                <w:szCs w:val="20"/>
              </w:rPr>
            </w:pPr>
            <w:r>
              <w:rPr>
                <w:rFonts w:hint="eastAsia" w:ascii="仿宋" w:hAnsi="仿宋" w:eastAsia="仿宋" w:cs="仿宋"/>
                <w:color w:val="000000"/>
                <w:sz w:val="20"/>
                <w:szCs w:val="20"/>
              </w:rPr>
              <w:t>通过访谈物理安全负责人，检查机房及其除潮设备等过程，测评信息系统是否采取必要措施来防止水灾和机房潮湿。</w:t>
            </w:r>
          </w:p>
        </w:tc>
      </w:tr>
      <w:tr w14:paraId="597D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40BC468F">
            <w:pPr>
              <w:pStyle w:val="17"/>
              <w:widowControl/>
              <w:numPr>
                <w:ilvl w:val="0"/>
                <w:numId w:val="1"/>
              </w:numPr>
              <w:ind w:firstLineChars="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44BC2B53">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防静电</w:t>
            </w:r>
          </w:p>
        </w:tc>
        <w:tc>
          <w:tcPr>
            <w:tcW w:w="3745" w:type="pct"/>
            <w:tcBorders>
              <w:top w:val="single" w:color="auto" w:sz="4" w:space="0"/>
              <w:left w:val="single" w:color="auto" w:sz="4" w:space="0"/>
              <w:bottom w:val="single" w:color="auto" w:sz="4" w:space="0"/>
              <w:right w:val="single" w:color="auto" w:sz="4" w:space="0"/>
            </w:tcBorders>
            <w:vAlign w:val="center"/>
          </w:tcPr>
          <w:p w14:paraId="089C1392">
            <w:pPr>
              <w:widowControl/>
              <w:rPr>
                <w:rFonts w:ascii="仿宋" w:hAnsi="仿宋" w:eastAsia="仿宋" w:cs="仿宋"/>
                <w:color w:val="000000"/>
                <w:sz w:val="20"/>
                <w:szCs w:val="20"/>
              </w:rPr>
            </w:pPr>
            <w:r>
              <w:rPr>
                <w:rFonts w:hint="eastAsia" w:ascii="仿宋" w:hAnsi="仿宋" w:eastAsia="仿宋" w:cs="仿宋"/>
                <w:color w:val="000000"/>
                <w:sz w:val="20"/>
                <w:szCs w:val="20"/>
              </w:rPr>
              <w:t>通过访谈物理安全负责人，检查机房等过程，测评信息系统是否采取必要措施防止静电的产生。</w:t>
            </w:r>
          </w:p>
        </w:tc>
      </w:tr>
      <w:tr w14:paraId="10EA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5A7420DC">
            <w:pPr>
              <w:pStyle w:val="17"/>
              <w:widowControl/>
              <w:numPr>
                <w:ilvl w:val="0"/>
                <w:numId w:val="1"/>
              </w:numPr>
              <w:ind w:firstLineChars="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1C12CAC3">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温湿度控制</w:t>
            </w:r>
          </w:p>
        </w:tc>
        <w:tc>
          <w:tcPr>
            <w:tcW w:w="3745" w:type="pct"/>
            <w:tcBorders>
              <w:top w:val="single" w:color="auto" w:sz="4" w:space="0"/>
              <w:left w:val="single" w:color="auto" w:sz="4" w:space="0"/>
              <w:bottom w:val="single" w:color="auto" w:sz="4" w:space="0"/>
              <w:right w:val="single" w:color="auto" w:sz="4" w:space="0"/>
            </w:tcBorders>
            <w:vAlign w:val="center"/>
          </w:tcPr>
          <w:p w14:paraId="35E7CCE6">
            <w:pPr>
              <w:widowControl/>
              <w:rPr>
                <w:rFonts w:ascii="仿宋" w:hAnsi="仿宋" w:eastAsia="仿宋" w:cs="仿宋"/>
                <w:color w:val="000000"/>
                <w:sz w:val="20"/>
                <w:szCs w:val="20"/>
              </w:rPr>
            </w:pPr>
            <w:r>
              <w:rPr>
                <w:rFonts w:hint="eastAsia" w:ascii="仿宋" w:hAnsi="仿宋" w:eastAsia="仿宋" w:cs="仿宋"/>
                <w:color w:val="000000"/>
                <w:sz w:val="20"/>
                <w:szCs w:val="20"/>
              </w:rPr>
              <w:t>通过访谈物理安全负责人，检查机房的温湿度自动调节系统，测评信息系统是否采取必要措施对机房内的温湿度进行控制。</w:t>
            </w:r>
          </w:p>
        </w:tc>
      </w:tr>
      <w:tr w14:paraId="2210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147CE291">
            <w:pPr>
              <w:pStyle w:val="17"/>
              <w:widowControl/>
              <w:numPr>
                <w:ilvl w:val="0"/>
                <w:numId w:val="1"/>
              </w:numPr>
              <w:ind w:firstLineChars="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73B19A8D">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电力供应</w:t>
            </w:r>
          </w:p>
        </w:tc>
        <w:tc>
          <w:tcPr>
            <w:tcW w:w="3745" w:type="pct"/>
            <w:tcBorders>
              <w:top w:val="single" w:color="auto" w:sz="4" w:space="0"/>
              <w:left w:val="single" w:color="auto" w:sz="4" w:space="0"/>
              <w:bottom w:val="single" w:color="auto" w:sz="4" w:space="0"/>
              <w:right w:val="single" w:color="auto" w:sz="4" w:space="0"/>
            </w:tcBorders>
            <w:vAlign w:val="center"/>
          </w:tcPr>
          <w:p w14:paraId="53E7C122">
            <w:pPr>
              <w:widowControl/>
              <w:rPr>
                <w:rFonts w:ascii="仿宋" w:hAnsi="仿宋" w:eastAsia="仿宋" w:cs="仿宋"/>
                <w:color w:val="000000"/>
                <w:sz w:val="20"/>
                <w:szCs w:val="20"/>
              </w:rPr>
            </w:pPr>
            <w:r>
              <w:rPr>
                <w:rFonts w:hint="eastAsia" w:ascii="仿宋" w:hAnsi="仿宋" w:eastAsia="仿宋" w:cs="仿宋"/>
                <w:color w:val="000000"/>
                <w:sz w:val="20"/>
                <w:szCs w:val="20"/>
              </w:rPr>
              <w:t>通过访谈物理安全负责人，检查机房供电线路、设备等过程，测评是否具备为信息系统提供一定电力供应的能力。</w:t>
            </w:r>
          </w:p>
        </w:tc>
      </w:tr>
      <w:tr w14:paraId="0A2B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1B81D4B8">
            <w:pPr>
              <w:pStyle w:val="17"/>
              <w:widowControl/>
              <w:numPr>
                <w:ilvl w:val="0"/>
                <w:numId w:val="1"/>
              </w:numPr>
              <w:ind w:firstLineChars="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43BA292A">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电磁防护</w:t>
            </w:r>
          </w:p>
        </w:tc>
        <w:tc>
          <w:tcPr>
            <w:tcW w:w="3745" w:type="pct"/>
            <w:tcBorders>
              <w:top w:val="single" w:color="auto" w:sz="4" w:space="0"/>
              <w:left w:val="single" w:color="auto" w:sz="4" w:space="0"/>
              <w:bottom w:val="single" w:color="auto" w:sz="4" w:space="0"/>
              <w:right w:val="single" w:color="auto" w:sz="4" w:space="0"/>
            </w:tcBorders>
            <w:vAlign w:val="center"/>
          </w:tcPr>
          <w:p w14:paraId="46AB5D0C">
            <w:pPr>
              <w:widowControl/>
              <w:rPr>
                <w:rFonts w:ascii="仿宋" w:hAnsi="仿宋" w:eastAsia="仿宋" w:cs="仿宋"/>
                <w:color w:val="000000"/>
                <w:sz w:val="20"/>
                <w:szCs w:val="20"/>
              </w:rPr>
            </w:pPr>
            <w:r>
              <w:rPr>
                <w:rFonts w:hint="eastAsia" w:ascii="仿宋" w:hAnsi="仿宋" w:eastAsia="仿宋" w:cs="仿宋"/>
                <w:color w:val="000000"/>
                <w:sz w:val="20"/>
                <w:szCs w:val="20"/>
              </w:rPr>
              <w:t>通过访谈物理安全负责人，检查主要设备等过程，测评信息系统是否具备一定的电磁防护能力。</w:t>
            </w:r>
          </w:p>
        </w:tc>
      </w:tr>
    </w:tbl>
    <w:p w14:paraId="155D79AC">
      <w:pPr>
        <w:pStyle w:val="16"/>
        <w:widowControl/>
        <w:ind w:firstLine="0" w:firstLineChars="0"/>
        <w:jc w:val="center"/>
        <w:rPr>
          <w:rFonts w:ascii="仿宋" w:hAnsi="仿宋" w:eastAsia="仿宋" w:cs="仿宋"/>
          <w:b/>
          <w:bCs/>
          <w:sz w:val="32"/>
          <w:szCs w:val="32"/>
        </w:rPr>
      </w:pPr>
      <w:r>
        <w:rPr>
          <w:rFonts w:hint="eastAsia" w:ascii="仿宋" w:hAnsi="仿宋" w:eastAsia="仿宋" w:cs="仿宋"/>
          <w:b/>
          <w:bCs/>
          <w:sz w:val="20"/>
          <w:szCs w:val="20"/>
        </w:rPr>
        <w:t>表</w:t>
      </w:r>
      <w:r>
        <w:rPr>
          <w:rFonts w:hint="eastAsia" w:ascii="仿宋" w:hAnsi="仿宋" w:eastAsia="仿宋" w:cs="仿宋"/>
          <w:b/>
          <w:bCs/>
          <w:sz w:val="20"/>
          <w:szCs w:val="20"/>
        </w:rPr>
        <w:fldChar w:fldCharType="begin"/>
      </w:r>
      <w:r>
        <w:rPr>
          <w:rFonts w:hint="eastAsia" w:ascii="仿宋" w:hAnsi="仿宋" w:eastAsia="仿宋" w:cs="仿宋"/>
          <w:b/>
          <w:bCs/>
          <w:sz w:val="20"/>
          <w:szCs w:val="20"/>
        </w:rPr>
        <w:instrText xml:space="preserve"> SEQ 表 \* ARABIC \s 1 </w:instrText>
      </w:r>
      <w:r>
        <w:rPr>
          <w:rFonts w:hint="eastAsia" w:ascii="仿宋" w:hAnsi="仿宋" w:eastAsia="仿宋" w:cs="仿宋"/>
          <w:b/>
          <w:bCs/>
          <w:sz w:val="20"/>
          <w:szCs w:val="20"/>
        </w:rPr>
        <w:fldChar w:fldCharType="separate"/>
      </w:r>
      <w:r>
        <w:rPr>
          <w:rFonts w:hint="eastAsia" w:ascii="仿宋" w:hAnsi="仿宋" w:eastAsia="仿宋" w:cs="仿宋"/>
          <w:b/>
          <w:bCs/>
          <w:sz w:val="20"/>
          <w:szCs w:val="20"/>
        </w:rPr>
        <w:t>1</w:t>
      </w:r>
      <w:r>
        <w:rPr>
          <w:rFonts w:hint="eastAsia" w:ascii="仿宋" w:hAnsi="仿宋" w:eastAsia="仿宋" w:cs="仿宋"/>
          <w:b/>
          <w:bCs/>
          <w:sz w:val="20"/>
          <w:szCs w:val="20"/>
        </w:rPr>
        <w:fldChar w:fldCharType="end"/>
      </w:r>
      <w:r>
        <w:rPr>
          <w:rFonts w:hint="eastAsia" w:ascii="仿宋" w:hAnsi="仿宋" w:eastAsia="仿宋" w:cs="仿宋"/>
          <w:b/>
          <w:bCs/>
          <w:sz w:val="20"/>
          <w:szCs w:val="20"/>
        </w:rPr>
        <w:t>-1安全物理环境测评指标描述</w:t>
      </w:r>
    </w:p>
    <w:p w14:paraId="6EFC0E47">
      <w:pPr>
        <w:widowControl/>
        <w:spacing w:line="597" w:lineRule="exact"/>
        <w:ind w:firstLine="643" w:firstLineChars="200"/>
        <w:jc w:val="left"/>
        <w:outlineLvl w:val="4"/>
        <w:rPr>
          <w:rFonts w:ascii="仿宋" w:hAnsi="仿宋" w:eastAsia="仿宋"/>
          <w:b/>
          <w:bCs/>
          <w:sz w:val="32"/>
          <w:szCs w:val="32"/>
        </w:rPr>
      </w:pPr>
      <w:r>
        <w:rPr>
          <w:rFonts w:hint="eastAsia" w:ascii="仿宋" w:hAnsi="仿宋" w:eastAsia="仿宋"/>
          <w:b/>
          <w:bCs/>
          <w:sz w:val="32"/>
          <w:szCs w:val="32"/>
        </w:rPr>
        <w:t>安全通信网络测评</w:t>
      </w:r>
    </w:p>
    <w:p w14:paraId="048DCB0F">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安全通信网络测评中，测评人员将以配置核查和文档查阅为主，访谈和分析为辅来获取证据（如相关措施的部署和配置情况），用于测评信息系统的网络安全保护。</w:t>
      </w:r>
    </w:p>
    <w:p w14:paraId="040620C8">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安全通信网络测评涉及的测评对象主要为网络设备和安全。</w:t>
      </w:r>
    </w:p>
    <w:p w14:paraId="6853BA92">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安全通信网络测评实施过程涉及3个方面的安全保护能力，具体测评指标描述如下表所示：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27"/>
        <w:gridCol w:w="1500"/>
        <w:gridCol w:w="6349"/>
      </w:tblGrid>
      <w:tr w14:paraId="0820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70" w:type="pct"/>
            <w:tcBorders>
              <w:top w:val="single" w:color="auto" w:sz="4" w:space="0"/>
              <w:left w:val="single" w:color="auto" w:sz="4" w:space="0"/>
              <w:bottom w:val="single" w:color="auto" w:sz="4" w:space="0"/>
              <w:right w:val="single" w:color="auto" w:sz="4" w:space="0"/>
            </w:tcBorders>
            <w:shd w:val="clear" w:color="auto" w:fill="A6A6A6"/>
            <w:vAlign w:val="center"/>
          </w:tcPr>
          <w:p w14:paraId="193EE23D">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序号</w:t>
            </w:r>
          </w:p>
        </w:tc>
        <w:tc>
          <w:tcPr>
            <w:tcW w:w="885" w:type="pct"/>
            <w:tcBorders>
              <w:top w:val="single" w:color="auto" w:sz="4" w:space="0"/>
              <w:left w:val="single" w:color="auto" w:sz="4" w:space="0"/>
              <w:bottom w:val="single" w:color="auto" w:sz="4" w:space="0"/>
              <w:right w:val="single" w:color="auto" w:sz="4" w:space="0"/>
            </w:tcBorders>
            <w:shd w:val="clear" w:color="auto" w:fill="A6A6A6"/>
            <w:vAlign w:val="center"/>
          </w:tcPr>
          <w:p w14:paraId="3B8FB6D4">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安全子类</w:t>
            </w:r>
          </w:p>
        </w:tc>
        <w:tc>
          <w:tcPr>
            <w:tcW w:w="3745" w:type="pct"/>
            <w:tcBorders>
              <w:top w:val="single" w:color="auto" w:sz="4" w:space="0"/>
              <w:left w:val="single" w:color="auto" w:sz="4" w:space="0"/>
              <w:bottom w:val="single" w:color="auto" w:sz="4" w:space="0"/>
              <w:right w:val="single" w:color="auto" w:sz="4" w:space="0"/>
            </w:tcBorders>
            <w:shd w:val="clear" w:color="auto" w:fill="A6A6A6"/>
            <w:vAlign w:val="center"/>
          </w:tcPr>
          <w:p w14:paraId="5D9428DA">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测评指标描述</w:t>
            </w:r>
          </w:p>
        </w:tc>
      </w:tr>
      <w:tr w14:paraId="34B1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0B9BA982">
            <w:pPr>
              <w:pStyle w:val="6"/>
              <w:widowControl w:val="0"/>
              <w:numPr>
                <w:ilvl w:val="0"/>
                <w:numId w:val="2"/>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16B4F8C1">
            <w:pPr>
              <w:widowControl/>
              <w:jc w:val="center"/>
              <w:rPr>
                <w:rFonts w:ascii="仿宋" w:hAnsi="仿宋" w:eastAsia="仿宋" w:cs="仿宋"/>
                <w:sz w:val="20"/>
                <w:szCs w:val="20"/>
              </w:rPr>
            </w:pPr>
            <w:r>
              <w:rPr>
                <w:rFonts w:hint="eastAsia" w:ascii="仿宋" w:hAnsi="仿宋" w:eastAsia="仿宋" w:cs="仿宋"/>
                <w:sz w:val="20"/>
                <w:szCs w:val="20"/>
              </w:rPr>
              <w:t>网络架构</w:t>
            </w:r>
          </w:p>
        </w:tc>
        <w:tc>
          <w:tcPr>
            <w:tcW w:w="3745" w:type="pct"/>
            <w:tcBorders>
              <w:top w:val="single" w:color="auto" w:sz="4" w:space="0"/>
              <w:left w:val="single" w:color="auto" w:sz="4" w:space="0"/>
              <w:bottom w:val="single" w:color="auto" w:sz="4" w:space="0"/>
              <w:right w:val="single" w:color="auto" w:sz="4" w:space="0"/>
            </w:tcBorders>
            <w:vAlign w:val="center"/>
          </w:tcPr>
          <w:p w14:paraId="45511EFE">
            <w:pPr>
              <w:widowControl/>
              <w:rPr>
                <w:rFonts w:ascii="仿宋" w:hAnsi="仿宋" w:eastAsia="仿宋" w:cs="仿宋"/>
                <w:color w:val="000000"/>
                <w:sz w:val="20"/>
                <w:szCs w:val="20"/>
              </w:rPr>
            </w:pPr>
            <w:r>
              <w:rPr>
                <w:rFonts w:hint="eastAsia" w:ascii="仿宋" w:hAnsi="仿宋" w:eastAsia="仿宋" w:cs="仿宋"/>
                <w:color w:val="000000"/>
                <w:sz w:val="20"/>
                <w:szCs w:val="20"/>
              </w:rPr>
              <w:t>测评分析网络架构与网段划分、隔离等情况的合理性和有效性。</w:t>
            </w:r>
          </w:p>
        </w:tc>
      </w:tr>
      <w:tr w14:paraId="3E76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23F21720">
            <w:pPr>
              <w:pStyle w:val="6"/>
              <w:widowControl w:val="0"/>
              <w:numPr>
                <w:ilvl w:val="0"/>
                <w:numId w:val="2"/>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1A296BC4">
            <w:pPr>
              <w:widowControl/>
              <w:jc w:val="center"/>
              <w:rPr>
                <w:rFonts w:ascii="仿宋" w:hAnsi="仿宋" w:eastAsia="仿宋" w:cs="仿宋"/>
                <w:sz w:val="20"/>
                <w:szCs w:val="20"/>
              </w:rPr>
            </w:pPr>
            <w:r>
              <w:rPr>
                <w:rFonts w:hint="eastAsia" w:ascii="仿宋" w:hAnsi="仿宋" w:eastAsia="仿宋" w:cs="仿宋"/>
                <w:sz w:val="20"/>
                <w:szCs w:val="20"/>
              </w:rPr>
              <w:t>通信传输</w:t>
            </w:r>
          </w:p>
        </w:tc>
        <w:tc>
          <w:tcPr>
            <w:tcW w:w="3745" w:type="pct"/>
            <w:tcBorders>
              <w:top w:val="single" w:color="auto" w:sz="4" w:space="0"/>
              <w:left w:val="single" w:color="auto" w:sz="4" w:space="0"/>
              <w:bottom w:val="single" w:color="auto" w:sz="4" w:space="0"/>
              <w:right w:val="single" w:color="auto" w:sz="4" w:space="0"/>
            </w:tcBorders>
            <w:vAlign w:val="center"/>
          </w:tcPr>
          <w:p w14:paraId="6B5FD167">
            <w:pPr>
              <w:widowControl/>
              <w:rPr>
                <w:rFonts w:ascii="仿宋" w:hAnsi="仿宋" w:eastAsia="仿宋" w:cs="仿宋"/>
                <w:color w:val="000000"/>
                <w:sz w:val="20"/>
                <w:szCs w:val="20"/>
              </w:rPr>
            </w:pPr>
            <w:r>
              <w:rPr>
                <w:rFonts w:hint="eastAsia" w:ascii="仿宋" w:hAnsi="仿宋" w:eastAsia="仿宋" w:cs="仿宋"/>
                <w:color w:val="000000"/>
                <w:sz w:val="20"/>
                <w:szCs w:val="20"/>
              </w:rPr>
              <w:t>测评通信过程中的完整性、保密性等。</w:t>
            </w:r>
          </w:p>
        </w:tc>
      </w:tr>
      <w:tr w14:paraId="1EBC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6AFBA16A">
            <w:pPr>
              <w:pStyle w:val="6"/>
              <w:widowControl w:val="0"/>
              <w:numPr>
                <w:ilvl w:val="0"/>
                <w:numId w:val="2"/>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395D810E">
            <w:pPr>
              <w:widowControl/>
              <w:jc w:val="center"/>
              <w:rPr>
                <w:rFonts w:ascii="仿宋" w:hAnsi="仿宋" w:eastAsia="仿宋" w:cs="仿宋"/>
                <w:sz w:val="20"/>
                <w:szCs w:val="20"/>
              </w:rPr>
            </w:pPr>
            <w:r>
              <w:rPr>
                <w:rFonts w:hint="eastAsia" w:ascii="仿宋" w:hAnsi="仿宋" w:eastAsia="仿宋" w:cs="仿宋"/>
                <w:sz w:val="20"/>
                <w:szCs w:val="20"/>
              </w:rPr>
              <w:t>可信验证</w:t>
            </w:r>
          </w:p>
        </w:tc>
        <w:tc>
          <w:tcPr>
            <w:tcW w:w="3745" w:type="pct"/>
            <w:tcBorders>
              <w:top w:val="single" w:color="auto" w:sz="4" w:space="0"/>
              <w:left w:val="single" w:color="auto" w:sz="4" w:space="0"/>
              <w:bottom w:val="single" w:color="auto" w:sz="4" w:space="0"/>
              <w:right w:val="single" w:color="auto" w:sz="4" w:space="0"/>
            </w:tcBorders>
            <w:vAlign w:val="center"/>
          </w:tcPr>
          <w:p w14:paraId="789001B2">
            <w:pPr>
              <w:widowControl/>
              <w:rPr>
                <w:rFonts w:ascii="仿宋" w:hAnsi="仿宋" w:eastAsia="仿宋" w:cs="仿宋"/>
                <w:color w:val="000000"/>
                <w:sz w:val="20"/>
                <w:szCs w:val="20"/>
              </w:rPr>
            </w:pPr>
            <w:r>
              <w:rPr>
                <w:rFonts w:hint="eastAsia" w:ascii="仿宋" w:hAnsi="仿宋" w:eastAsia="仿宋" w:cs="仿宋"/>
                <w:color w:val="000000"/>
                <w:sz w:val="20"/>
                <w:szCs w:val="20"/>
              </w:rPr>
              <w:t>基于可信根对通信设备的系统引导程序、系统程序、重要配置参数和通信应用程序等 进行可信验证，并在应用程序的关键执行环节进行动态可信验证。</w:t>
            </w:r>
          </w:p>
        </w:tc>
      </w:tr>
    </w:tbl>
    <w:p w14:paraId="1B69E3AD">
      <w:pPr>
        <w:pStyle w:val="16"/>
        <w:widowControl/>
        <w:ind w:firstLine="0" w:firstLineChars="0"/>
        <w:jc w:val="center"/>
        <w:rPr>
          <w:rFonts w:ascii="仿宋" w:hAnsi="仿宋" w:eastAsia="仿宋" w:cs="仿宋"/>
          <w:b/>
          <w:bCs/>
          <w:sz w:val="20"/>
          <w:szCs w:val="20"/>
        </w:rPr>
      </w:pPr>
      <w:r>
        <w:rPr>
          <w:rFonts w:hint="eastAsia" w:ascii="仿宋" w:hAnsi="仿宋" w:eastAsia="仿宋" w:cs="仿宋"/>
          <w:b/>
          <w:bCs/>
          <w:sz w:val="20"/>
          <w:szCs w:val="20"/>
        </w:rPr>
        <w:t>表2-1安全通信网络测评指标描述</w:t>
      </w:r>
    </w:p>
    <w:p w14:paraId="18130DB0">
      <w:pPr>
        <w:widowControl/>
        <w:spacing w:line="597" w:lineRule="exact"/>
        <w:ind w:firstLine="643" w:firstLineChars="200"/>
        <w:jc w:val="left"/>
        <w:outlineLvl w:val="4"/>
        <w:rPr>
          <w:rFonts w:ascii="仿宋" w:hAnsi="仿宋" w:eastAsia="仿宋"/>
          <w:b/>
          <w:bCs/>
          <w:sz w:val="32"/>
          <w:szCs w:val="32"/>
        </w:rPr>
      </w:pPr>
      <w:r>
        <w:rPr>
          <w:rFonts w:hint="eastAsia" w:ascii="仿宋" w:hAnsi="仿宋" w:eastAsia="仿宋"/>
          <w:b/>
          <w:bCs/>
          <w:sz w:val="32"/>
          <w:szCs w:val="32"/>
        </w:rPr>
        <w:t>安全区域边界测评</w:t>
      </w:r>
    </w:p>
    <w:p w14:paraId="4909F9CE">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安全区域边界测评主要涉及边界防护、访问控制、入侵防范、恶意代码和垃圾邮件防范、安全审计、可信验证6个方面的安全保护能力，具体测评指标描述如下表所示：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27"/>
        <w:gridCol w:w="1500"/>
        <w:gridCol w:w="6349"/>
      </w:tblGrid>
      <w:tr w14:paraId="5083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70" w:type="pct"/>
            <w:tcBorders>
              <w:top w:val="single" w:color="auto" w:sz="4" w:space="0"/>
              <w:left w:val="single" w:color="auto" w:sz="4" w:space="0"/>
              <w:bottom w:val="single" w:color="auto" w:sz="4" w:space="0"/>
              <w:right w:val="single" w:color="auto" w:sz="4" w:space="0"/>
            </w:tcBorders>
            <w:shd w:val="clear" w:color="auto" w:fill="A6A6A6"/>
            <w:vAlign w:val="center"/>
          </w:tcPr>
          <w:p w14:paraId="7C435347">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序号</w:t>
            </w:r>
          </w:p>
        </w:tc>
        <w:tc>
          <w:tcPr>
            <w:tcW w:w="885" w:type="pct"/>
            <w:tcBorders>
              <w:top w:val="single" w:color="auto" w:sz="4" w:space="0"/>
              <w:left w:val="single" w:color="auto" w:sz="4" w:space="0"/>
              <w:bottom w:val="single" w:color="auto" w:sz="4" w:space="0"/>
              <w:right w:val="single" w:color="auto" w:sz="4" w:space="0"/>
            </w:tcBorders>
            <w:shd w:val="clear" w:color="auto" w:fill="A6A6A6"/>
            <w:vAlign w:val="center"/>
          </w:tcPr>
          <w:p w14:paraId="32D49076">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安全子类</w:t>
            </w:r>
          </w:p>
        </w:tc>
        <w:tc>
          <w:tcPr>
            <w:tcW w:w="3745" w:type="pct"/>
            <w:tcBorders>
              <w:top w:val="single" w:color="auto" w:sz="4" w:space="0"/>
              <w:left w:val="single" w:color="auto" w:sz="4" w:space="0"/>
              <w:bottom w:val="single" w:color="auto" w:sz="4" w:space="0"/>
              <w:right w:val="single" w:color="auto" w:sz="4" w:space="0"/>
            </w:tcBorders>
            <w:shd w:val="clear" w:color="auto" w:fill="A6A6A6"/>
            <w:vAlign w:val="center"/>
          </w:tcPr>
          <w:p w14:paraId="03FE3000">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测评指标描述</w:t>
            </w:r>
          </w:p>
        </w:tc>
      </w:tr>
      <w:tr w14:paraId="7F96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50F271BC">
            <w:pPr>
              <w:pStyle w:val="6"/>
              <w:widowControl w:val="0"/>
              <w:numPr>
                <w:ilvl w:val="0"/>
                <w:numId w:val="3"/>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601B9CC4">
            <w:pPr>
              <w:widowControl/>
              <w:jc w:val="center"/>
              <w:rPr>
                <w:rFonts w:ascii="仿宋" w:hAnsi="仿宋" w:eastAsia="仿宋" w:cs="仿宋"/>
                <w:sz w:val="20"/>
                <w:szCs w:val="20"/>
              </w:rPr>
            </w:pPr>
            <w:r>
              <w:rPr>
                <w:rFonts w:hint="eastAsia" w:ascii="仿宋" w:hAnsi="仿宋" w:eastAsia="仿宋" w:cs="仿宋"/>
                <w:sz w:val="20"/>
                <w:szCs w:val="20"/>
              </w:rPr>
              <w:t>边界防护</w:t>
            </w:r>
          </w:p>
        </w:tc>
        <w:tc>
          <w:tcPr>
            <w:tcW w:w="3745" w:type="pct"/>
            <w:tcBorders>
              <w:top w:val="single" w:color="auto" w:sz="4" w:space="0"/>
              <w:left w:val="single" w:color="auto" w:sz="4" w:space="0"/>
              <w:bottom w:val="single" w:color="auto" w:sz="4" w:space="0"/>
              <w:right w:val="single" w:color="auto" w:sz="4" w:space="0"/>
            </w:tcBorders>
            <w:vAlign w:val="center"/>
          </w:tcPr>
          <w:p w14:paraId="045EB40F">
            <w:pPr>
              <w:widowControl/>
              <w:rPr>
                <w:rFonts w:ascii="仿宋" w:hAnsi="仿宋" w:eastAsia="仿宋" w:cs="仿宋"/>
                <w:color w:val="000000"/>
                <w:sz w:val="20"/>
                <w:szCs w:val="20"/>
              </w:rPr>
            </w:pPr>
            <w:r>
              <w:rPr>
                <w:rFonts w:hint="eastAsia" w:ascii="仿宋" w:hAnsi="仿宋" w:eastAsia="仿宋" w:cs="仿宋"/>
                <w:color w:val="000000"/>
                <w:sz w:val="20"/>
                <w:szCs w:val="20"/>
              </w:rPr>
              <w:t>测评分析信息系统网络边界安全防护的状况。</w:t>
            </w:r>
          </w:p>
        </w:tc>
      </w:tr>
      <w:tr w14:paraId="5C89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5B2A9DE2">
            <w:pPr>
              <w:pStyle w:val="6"/>
              <w:widowControl w:val="0"/>
              <w:numPr>
                <w:ilvl w:val="0"/>
                <w:numId w:val="3"/>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56ACBF37">
            <w:pPr>
              <w:widowControl/>
              <w:jc w:val="center"/>
              <w:rPr>
                <w:rFonts w:ascii="仿宋" w:hAnsi="仿宋" w:eastAsia="仿宋" w:cs="仿宋"/>
                <w:sz w:val="20"/>
                <w:szCs w:val="20"/>
              </w:rPr>
            </w:pPr>
            <w:r>
              <w:rPr>
                <w:rFonts w:hint="eastAsia" w:ascii="仿宋" w:hAnsi="仿宋" w:eastAsia="仿宋" w:cs="仿宋"/>
                <w:sz w:val="20"/>
                <w:szCs w:val="20"/>
              </w:rPr>
              <w:t>访问控制</w:t>
            </w:r>
          </w:p>
        </w:tc>
        <w:tc>
          <w:tcPr>
            <w:tcW w:w="3745" w:type="pct"/>
            <w:tcBorders>
              <w:top w:val="single" w:color="auto" w:sz="4" w:space="0"/>
              <w:left w:val="single" w:color="auto" w:sz="4" w:space="0"/>
              <w:bottom w:val="single" w:color="auto" w:sz="4" w:space="0"/>
              <w:right w:val="single" w:color="auto" w:sz="4" w:space="0"/>
            </w:tcBorders>
            <w:vAlign w:val="center"/>
          </w:tcPr>
          <w:p w14:paraId="0A54B569">
            <w:pPr>
              <w:widowControl/>
              <w:rPr>
                <w:rFonts w:ascii="仿宋" w:hAnsi="仿宋" w:eastAsia="仿宋" w:cs="仿宋"/>
                <w:color w:val="000000"/>
                <w:sz w:val="20"/>
                <w:szCs w:val="20"/>
              </w:rPr>
            </w:pPr>
            <w:r>
              <w:rPr>
                <w:rFonts w:hint="eastAsia" w:ascii="仿宋" w:hAnsi="仿宋" w:eastAsia="仿宋" w:cs="仿宋"/>
                <w:color w:val="000000"/>
                <w:sz w:val="20"/>
                <w:szCs w:val="20"/>
              </w:rPr>
              <w:t>测评分析信息系统对网络区域边界相关的网络隔离与访问控制能力。</w:t>
            </w:r>
          </w:p>
        </w:tc>
      </w:tr>
      <w:tr w14:paraId="60B1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4A3E658D">
            <w:pPr>
              <w:pStyle w:val="6"/>
              <w:widowControl w:val="0"/>
              <w:numPr>
                <w:ilvl w:val="0"/>
                <w:numId w:val="3"/>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78AF0C2A">
            <w:pPr>
              <w:widowControl/>
              <w:jc w:val="center"/>
              <w:rPr>
                <w:rFonts w:ascii="仿宋" w:hAnsi="仿宋" w:eastAsia="仿宋" w:cs="仿宋"/>
                <w:sz w:val="20"/>
                <w:szCs w:val="20"/>
              </w:rPr>
            </w:pPr>
            <w:r>
              <w:rPr>
                <w:rFonts w:hint="eastAsia" w:ascii="仿宋" w:hAnsi="仿宋" w:eastAsia="仿宋" w:cs="仿宋"/>
                <w:sz w:val="20"/>
                <w:szCs w:val="20"/>
              </w:rPr>
              <w:t>入侵防范</w:t>
            </w:r>
          </w:p>
        </w:tc>
        <w:tc>
          <w:tcPr>
            <w:tcW w:w="3745" w:type="pct"/>
            <w:tcBorders>
              <w:top w:val="single" w:color="auto" w:sz="4" w:space="0"/>
              <w:left w:val="single" w:color="auto" w:sz="4" w:space="0"/>
              <w:bottom w:val="single" w:color="auto" w:sz="4" w:space="0"/>
              <w:right w:val="single" w:color="auto" w:sz="4" w:space="0"/>
            </w:tcBorders>
            <w:vAlign w:val="center"/>
          </w:tcPr>
          <w:p w14:paraId="4AD87675">
            <w:pPr>
              <w:widowControl/>
              <w:rPr>
                <w:rFonts w:ascii="仿宋" w:hAnsi="仿宋" w:eastAsia="仿宋" w:cs="仿宋"/>
                <w:color w:val="000000"/>
                <w:sz w:val="20"/>
                <w:szCs w:val="20"/>
              </w:rPr>
            </w:pPr>
            <w:r>
              <w:rPr>
                <w:rFonts w:hint="eastAsia" w:ascii="仿宋" w:hAnsi="仿宋" w:eastAsia="仿宋" w:cs="仿宋"/>
                <w:color w:val="000000"/>
                <w:sz w:val="20"/>
                <w:szCs w:val="20"/>
              </w:rPr>
              <w:t>测评分析信息系统对攻击行为的识别和处理情况。</w:t>
            </w:r>
          </w:p>
        </w:tc>
      </w:tr>
      <w:tr w14:paraId="3F2D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39200344">
            <w:pPr>
              <w:pStyle w:val="6"/>
              <w:widowControl w:val="0"/>
              <w:numPr>
                <w:ilvl w:val="0"/>
                <w:numId w:val="3"/>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1DFF6D1B">
            <w:pPr>
              <w:widowControl/>
              <w:jc w:val="center"/>
              <w:rPr>
                <w:rFonts w:ascii="仿宋" w:hAnsi="仿宋" w:eastAsia="仿宋" w:cs="仿宋"/>
                <w:sz w:val="20"/>
                <w:szCs w:val="20"/>
              </w:rPr>
            </w:pPr>
            <w:r>
              <w:rPr>
                <w:rFonts w:hint="eastAsia" w:ascii="仿宋" w:hAnsi="仿宋" w:eastAsia="仿宋" w:cs="仿宋"/>
                <w:sz w:val="20"/>
                <w:szCs w:val="20"/>
              </w:rPr>
              <w:t>恶意代码和垃圾邮件防范</w:t>
            </w:r>
          </w:p>
        </w:tc>
        <w:tc>
          <w:tcPr>
            <w:tcW w:w="3745" w:type="pct"/>
            <w:tcBorders>
              <w:top w:val="single" w:color="auto" w:sz="4" w:space="0"/>
              <w:left w:val="single" w:color="auto" w:sz="4" w:space="0"/>
              <w:bottom w:val="single" w:color="auto" w:sz="4" w:space="0"/>
              <w:right w:val="single" w:color="auto" w:sz="4" w:space="0"/>
            </w:tcBorders>
            <w:vAlign w:val="center"/>
          </w:tcPr>
          <w:p w14:paraId="56D58B81">
            <w:pPr>
              <w:widowControl/>
              <w:rPr>
                <w:rFonts w:ascii="仿宋" w:hAnsi="仿宋" w:eastAsia="仿宋" w:cs="仿宋"/>
                <w:color w:val="000000"/>
                <w:sz w:val="20"/>
                <w:szCs w:val="20"/>
              </w:rPr>
            </w:pPr>
            <w:r>
              <w:rPr>
                <w:rFonts w:hint="eastAsia" w:ascii="仿宋" w:hAnsi="仿宋" w:eastAsia="仿宋" w:cs="仿宋"/>
                <w:color w:val="000000"/>
                <w:sz w:val="20"/>
                <w:szCs w:val="20"/>
              </w:rPr>
              <w:t>测评分析信息系统网络边界和核心网段对病毒等恶意代码及垃圾邮件的防护情况。</w:t>
            </w:r>
          </w:p>
        </w:tc>
      </w:tr>
      <w:tr w14:paraId="1C84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7AEABEA2">
            <w:pPr>
              <w:pStyle w:val="6"/>
              <w:widowControl w:val="0"/>
              <w:numPr>
                <w:ilvl w:val="0"/>
                <w:numId w:val="3"/>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25DA9AAB">
            <w:pPr>
              <w:widowControl/>
              <w:jc w:val="center"/>
              <w:rPr>
                <w:rFonts w:ascii="仿宋" w:hAnsi="仿宋" w:eastAsia="仿宋" w:cs="仿宋"/>
                <w:sz w:val="20"/>
                <w:szCs w:val="20"/>
              </w:rPr>
            </w:pPr>
            <w:r>
              <w:rPr>
                <w:rFonts w:hint="eastAsia" w:ascii="仿宋" w:hAnsi="仿宋" w:eastAsia="仿宋" w:cs="仿宋"/>
                <w:sz w:val="20"/>
                <w:szCs w:val="20"/>
              </w:rPr>
              <w:t>安全审计</w:t>
            </w:r>
          </w:p>
        </w:tc>
        <w:tc>
          <w:tcPr>
            <w:tcW w:w="3745" w:type="pct"/>
            <w:tcBorders>
              <w:top w:val="single" w:color="auto" w:sz="4" w:space="0"/>
              <w:left w:val="single" w:color="auto" w:sz="4" w:space="0"/>
              <w:bottom w:val="single" w:color="auto" w:sz="4" w:space="0"/>
              <w:right w:val="single" w:color="auto" w:sz="4" w:space="0"/>
            </w:tcBorders>
            <w:vAlign w:val="center"/>
          </w:tcPr>
          <w:p w14:paraId="49280CE0">
            <w:pPr>
              <w:widowControl/>
              <w:rPr>
                <w:rFonts w:ascii="仿宋" w:hAnsi="仿宋" w:eastAsia="仿宋" w:cs="仿宋"/>
                <w:color w:val="000000"/>
                <w:sz w:val="20"/>
                <w:szCs w:val="20"/>
              </w:rPr>
            </w:pPr>
            <w:r>
              <w:rPr>
                <w:rFonts w:hint="eastAsia" w:ascii="仿宋" w:hAnsi="仿宋" w:eastAsia="仿宋" w:cs="仿宋"/>
                <w:color w:val="000000"/>
                <w:sz w:val="20"/>
                <w:szCs w:val="20"/>
              </w:rPr>
              <w:t>测评分析信息系统审计配置和审计记录保护情况。</w:t>
            </w:r>
          </w:p>
        </w:tc>
      </w:tr>
      <w:tr w14:paraId="5120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3B0DD66F">
            <w:pPr>
              <w:pStyle w:val="6"/>
              <w:widowControl w:val="0"/>
              <w:numPr>
                <w:ilvl w:val="0"/>
                <w:numId w:val="3"/>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49093980">
            <w:pPr>
              <w:widowControl/>
              <w:jc w:val="center"/>
              <w:rPr>
                <w:rFonts w:ascii="仿宋" w:hAnsi="仿宋" w:eastAsia="仿宋" w:cs="仿宋"/>
                <w:sz w:val="20"/>
                <w:szCs w:val="20"/>
              </w:rPr>
            </w:pPr>
            <w:r>
              <w:rPr>
                <w:rFonts w:hint="eastAsia" w:ascii="仿宋" w:hAnsi="仿宋" w:eastAsia="仿宋" w:cs="仿宋"/>
                <w:sz w:val="20"/>
                <w:szCs w:val="20"/>
              </w:rPr>
              <w:t>可信验证</w:t>
            </w:r>
          </w:p>
        </w:tc>
        <w:tc>
          <w:tcPr>
            <w:tcW w:w="3745" w:type="pct"/>
            <w:tcBorders>
              <w:top w:val="single" w:color="auto" w:sz="4" w:space="0"/>
              <w:left w:val="single" w:color="auto" w:sz="4" w:space="0"/>
              <w:bottom w:val="single" w:color="auto" w:sz="4" w:space="0"/>
              <w:right w:val="single" w:color="auto" w:sz="4" w:space="0"/>
            </w:tcBorders>
            <w:vAlign w:val="center"/>
          </w:tcPr>
          <w:p w14:paraId="635972B8">
            <w:pPr>
              <w:widowControl/>
              <w:rPr>
                <w:rFonts w:ascii="仿宋" w:hAnsi="仿宋" w:eastAsia="仿宋" w:cs="仿宋"/>
                <w:color w:val="000000"/>
                <w:sz w:val="20"/>
                <w:szCs w:val="20"/>
              </w:rPr>
            </w:pPr>
            <w:r>
              <w:rPr>
                <w:rFonts w:hint="eastAsia" w:ascii="仿宋" w:hAnsi="仿宋" w:eastAsia="仿宋" w:cs="仿宋"/>
                <w:color w:val="000000"/>
                <w:sz w:val="20"/>
                <w:szCs w:val="20"/>
              </w:rPr>
              <w:t>基于可信根对通信设备的系统引导程序、系统程序、重要配置参数和通信应用程序等 进行可信验证，并在应用程序的关键执行环节进行动态可信验证。</w:t>
            </w:r>
          </w:p>
        </w:tc>
      </w:tr>
    </w:tbl>
    <w:p w14:paraId="292FD6A0">
      <w:pPr>
        <w:widowControl/>
        <w:jc w:val="center"/>
        <w:rPr>
          <w:rFonts w:ascii="仿宋" w:hAnsi="仿宋" w:eastAsia="仿宋" w:cs="仿宋"/>
          <w:b/>
          <w:bCs/>
          <w:sz w:val="20"/>
          <w:szCs w:val="20"/>
        </w:rPr>
      </w:pPr>
      <w:r>
        <w:rPr>
          <w:rFonts w:hint="eastAsia" w:ascii="仿宋" w:hAnsi="仿宋" w:eastAsia="仿宋" w:cs="仿宋"/>
          <w:b/>
          <w:bCs/>
          <w:sz w:val="20"/>
          <w:szCs w:val="20"/>
        </w:rPr>
        <w:t>表3-1安全区域边界测评指标描述</w:t>
      </w:r>
    </w:p>
    <w:p w14:paraId="270C0B9D">
      <w:pPr>
        <w:widowControl/>
        <w:spacing w:line="597" w:lineRule="exact"/>
        <w:ind w:firstLine="643" w:firstLineChars="200"/>
        <w:jc w:val="left"/>
        <w:outlineLvl w:val="4"/>
        <w:rPr>
          <w:rFonts w:ascii="仿宋" w:hAnsi="仿宋" w:eastAsia="仿宋"/>
          <w:b/>
          <w:bCs/>
          <w:sz w:val="32"/>
          <w:szCs w:val="32"/>
        </w:rPr>
      </w:pPr>
      <w:r>
        <w:rPr>
          <w:rFonts w:hint="eastAsia" w:ascii="仿宋" w:hAnsi="仿宋" w:eastAsia="仿宋"/>
          <w:b/>
          <w:bCs/>
          <w:sz w:val="32"/>
          <w:szCs w:val="32"/>
        </w:rPr>
        <w:t>安全计算环境测评</w:t>
      </w:r>
    </w:p>
    <w:p w14:paraId="40C38CE9">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计算环境测评主要涉及身份鉴别、访问控制、安全审计、入侵防范、恶意代码防范、可信验证、数据完整性、数据保密性、数据备份恢复、剩余信息保护、个人信息保护11个方面的安全保护能力，具体测评指标描述如下表所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27"/>
        <w:gridCol w:w="1500"/>
        <w:gridCol w:w="6349"/>
      </w:tblGrid>
      <w:tr w14:paraId="5475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70" w:type="pct"/>
            <w:tcBorders>
              <w:top w:val="single" w:color="auto" w:sz="4" w:space="0"/>
              <w:left w:val="single" w:color="auto" w:sz="4" w:space="0"/>
              <w:bottom w:val="single" w:color="auto" w:sz="4" w:space="0"/>
              <w:right w:val="single" w:color="auto" w:sz="4" w:space="0"/>
            </w:tcBorders>
            <w:shd w:val="clear" w:color="auto" w:fill="A6A6A6"/>
            <w:vAlign w:val="center"/>
          </w:tcPr>
          <w:p w14:paraId="5EDFE1A5">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序号</w:t>
            </w:r>
          </w:p>
        </w:tc>
        <w:tc>
          <w:tcPr>
            <w:tcW w:w="885" w:type="pct"/>
            <w:tcBorders>
              <w:top w:val="single" w:color="auto" w:sz="4" w:space="0"/>
              <w:left w:val="single" w:color="auto" w:sz="4" w:space="0"/>
              <w:bottom w:val="single" w:color="auto" w:sz="4" w:space="0"/>
              <w:right w:val="single" w:color="auto" w:sz="4" w:space="0"/>
            </w:tcBorders>
            <w:shd w:val="clear" w:color="auto" w:fill="A6A6A6"/>
            <w:vAlign w:val="center"/>
          </w:tcPr>
          <w:p w14:paraId="5FD5F3D0">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安全子类</w:t>
            </w:r>
          </w:p>
        </w:tc>
        <w:tc>
          <w:tcPr>
            <w:tcW w:w="3745" w:type="pct"/>
            <w:tcBorders>
              <w:top w:val="single" w:color="auto" w:sz="4" w:space="0"/>
              <w:left w:val="single" w:color="auto" w:sz="4" w:space="0"/>
              <w:bottom w:val="single" w:color="auto" w:sz="4" w:space="0"/>
              <w:right w:val="single" w:color="auto" w:sz="4" w:space="0"/>
            </w:tcBorders>
            <w:shd w:val="clear" w:color="auto" w:fill="A6A6A6"/>
            <w:vAlign w:val="center"/>
          </w:tcPr>
          <w:p w14:paraId="407191C7">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测评指标描述</w:t>
            </w:r>
          </w:p>
        </w:tc>
      </w:tr>
      <w:tr w14:paraId="4717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553B3250">
            <w:pPr>
              <w:pStyle w:val="6"/>
              <w:widowControl w:val="0"/>
              <w:numPr>
                <w:ilvl w:val="0"/>
                <w:numId w:val="4"/>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4346B826">
            <w:pPr>
              <w:widowControl/>
              <w:jc w:val="center"/>
              <w:rPr>
                <w:rFonts w:ascii="仿宋" w:hAnsi="仿宋" w:eastAsia="仿宋" w:cs="仿宋"/>
                <w:color w:val="000000"/>
                <w:sz w:val="20"/>
                <w:szCs w:val="20"/>
              </w:rPr>
            </w:pPr>
            <w:r>
              <w:rPr>
                <w:rFonts w:hint="eastAsia" w:ascii="仿宋" w:hAnsi="仿宋" w:eastAsia="仿宋" w:cs="仿宋"/>
                <w:sz w:val="20"/>
                <w:szCs w:val="20"/>
              </w:rPr>
              <w:t>身份鉴别</w:t>
            </w:r>
          </w:p>
        </w:tc>
        <w:tc>
          <w:tcPr>
            <w:tcW w:w="3745" w:type="pct"/>
            <w:tcBorders>
              <w:top w:val="single" w:color="auto" w:sz="4" w:space="0"/>
              <w:left w:val="single" w:color="auto" w:sz="4" w:space="0"/>
              <w:bottom w:val="single" w:color="auto" w:sz="4" w:space="0"/>
              <w:right w:val="single" w:color="auto" w:sz="4" w:space="0"/>
            </w:tcBorders>
            <w:vAlign w:val="center"/>
          </w:tcPr>
          <w:p w14:paraId="7D47B93E">
            <w:pPr>
              <w:widowControl/>
              <w:rPr>
                <w:rFonts w:ascii="仿宋" w:hAnsi="仿宋" w:eastAsia="仿宋" w:cs="仿宋"/>
                <w:color w:val="000000"/>
                <w:sz w:val="20"/>
                <w:szCs w:val="20"/>
              </w:rPr>
            </w:pPr>
            <w:r>
              <w:rPr>
                <w:rFonts w:hint="eastAsia" w:ascii="仿宋" w:hAnsi="仿宋" w:eastAsia="仿宋" w:cs="仿宋"/>
                <w:color w:val="000000"/>
                <w:sz w:val="20"/>
                <w:szCs w:val="20"/>
              </w:rPr>
              <w:t>检查</w:t>
            </w:r>
            <w:r>
              <w:rPr>
                <w:rFonts w:hint="eastAsia" w:ascii="仿宋" w:hAnsi="仿宋" w:eastAsia="仿宋" w:cs="仿宋"/>
                <w:sz w:val="20"/>
                <w:szCs w:val="20"/>
              </w:rPr>
              <w:t>服务器</w:t>
            </w:r>
            <w:r>
              <w:rPr>
                <w:rFonts w:hint="eastAsia" w:ascii="仿宋" w:hAnsi="仿宋" w:eastAsia="仿宋" w:cs="仿宋"/>
                <w:color w:val="000000"/>
                <w:sz w:val="20"/>
                <w:szCs w:val="20"/>
              </w:rPr>
              <w:t>的身份标识与鉴别和用户登录的配置情况。</w:t>
            </w:r>
          </w:p>
        </w:tc>
      </w:tr>
      <w:tr w14:paraId="5773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79B0F0B2">
            <w:pPr>
              <w:pStyle w:val="6"/>
              <w:widowControl w:val="0"/>
              <w:numPr>
                <w:ilvl w:val="0"/>
                <w:numId w:val="4"/>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224721FF">
            <w:pPr>
              <w:widowControl/>
              <w:jc w:val="center"/>
              <w:rPr>
                <w:rFonts w:ascii="仿宋" w:hAnsi="仿宋" w:eastAsia="仿宋" w:cs="仿宋"/>
                <w:color w:val="000000"/>
                <w:sz w:val="20"/>
                <w:szCs w:val="20"/>
              </w:rPr>
            </w:pPr>
            <w:r>
              <w:rPr>
                <w:rFonts w:hint="eastAsia" w:ascii="仿宋" w:hAnsi="仿宋" w:eastAsia="仿宋" w:cs="仿宋"/>
                <w:sz w:val="20"/>
                <w:szCs w:val="20"/>
              </w:rPr>
              <w:t>访问控制</w:t>
            </w:r>
          </w:p>
        </w:tc>
        <w:tc>
          <w:tcPr>
            <w:tcW w:w="3745" w:type="pct"/>
            <w:tcBorders>
              <w:top w:val="single" w:color="auto" w:sz="4" w:space="0"/>
              <w:left w:val="single" w:color="auto" w:sz="4" w:space="0"/>
              <w:bottom w:val="single" w:color="auto" w:sz="4" w:space="0"/>
              <w:right w:val="single" w:color="auto" w:sz="4" w:space="0"/>
            </w:tcBorders>
            <w:vAlign w:val="center"/>
          </w:tcPr>
          <w:p w14:paraId="29074891">
            <w:pPr>
              <w:widowControl/>
              <w:rPr>
                <w:rFonts w:ascii="仿宋" w:hAnsi="仿宋" w:eastAsia="仿宋" w:cs="仿宋"/>
                <w:sz w:val="20"/>
                <w:szCs w:val="20"/>
              </w:rPr>
            </w:pPr>
            <w:r>
              <w:rPr>
                <w:rFonts w:hint="eastAsia" w:ascii="仿宋" w:hAnsi="仿宋" w:eastAsia="仿宋" w:cs="仿宋"/>
                <w:sz w:val="20"/>
                <w:szCs w:val="20"/>
              </w:rPr>
              <w:t>检查服务器的访问控制设置情况，包括安全策略覆盖、控制粒度以及权限设置情况等。</w:t>
            </w:r>
          </w:p>
        </w:tc>
      </w:tr>
      <w:tr w14:paraId="28C3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290FC7DB">
            <w:pPr>
              <w:pStyle w:val="6"/>
              <w:widowControl w:val="0"/>
              <w:numPr>
                <w:ilvl w:val="0"/>
                <w:numId w:val="4"/>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30ED4D05">
            <w:pPr>
              <w:widowControl/>
              <w:jc w:val="center"/>
              <w:rPr>
                <w:rFonts w:ascii="仿宋" w:hAnsi="仿宋" w:eastAsia="仿宋" w:cs="仿宋"/>
                <w:color w:val="000000"/>
                <w:sz w:val="20"/>
                <w:szCs w:val="20"/>
              </w:rPr>
            </w:pPr>
            <w:r>
              <w:rPr>
                <w:rFonts w:hint="eastAsia" w:ascii="仿宋" w:hAnsi="仿宋" w:eastAsia="仿宋" w:cs="仿宋"/>
                <w:sz w:val="20"/>
                <w:szCs w:val="20"/>
              </w:rPr>
              <w:t>安全审计</w:t>
            </w:r>
          </w:p>
        </w:tc>
        <w:tc>
          <w:tcPr>
            <w:tcW w:w="3745" w:type="pct"/>
            <w:tcBorders>
              <w:top w:val="single" w:color="auto" w:sz="4" w:space="0"/>
              <w:left w:val="single" w:color="auto" w:sz="4" w:space="0"/>
              <w:bottom w:val="single" w:color="auto" w:sz="4" w:space="0"/>
              <w:right w:val="single" w:color="auto" w:sz="4" w:space="0"/>
            </w:tcBorders>
            <w:vAlign w:val="center"/>
          </w:tcPr>
          <w:p w14:paraId="17A99492">
            <w:pPr>
              <w:widowControl/>
              <w:rPr>
                <w:rFonts w:ascii="仿宋" w:hAnsi="仿宋" w:eastAsia="仿宋" w:cs="仿宋"/>
                <w:color w:val="000000"/>
                <w:sz w:val="20"/>
                <w:szCs w:val="20"/>
              </w:rPr>
            </w:pPr>
            <w:r>
              <w:rPr>
                <w:rFonts w:hint="eastAsia" w:ascii="仿宋" w:hAnsi="仿宋" w:eastAsia="仿宋" w:cs="仿宋"/>
                <w:sz w:val="20"/>
                <w:szCs w:val="20"/>
              </w:rPr>
              <w:t>检查服务器的安全审计的配置情况，如覆盖范围、记录的项目和内容等；检查安全审计进程和记录的保护情况。</w:t>
            </w:r>
          </w:p>
        </w:tc>
      </w:tr>
      <w:tr w14:paraId="42E6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538A613D">
            <w:pPr>
              <w:pStyle w:val="6"/>
              <w:widowControl w:val="0"/>
              <w:numPr>
                <w:ilvl w:val="0"/>
                <w:numId w:val="4"/>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189198C4">
            <w:pPr>
              <w:widowControl/>
              <w:jc w:val="center"/>
              <w:rPr>
                <w:rFonts w:ascii="仿宋" w:hAnsi="仿宋" w:eastAsia="仿宋" w:cs="仿宋"/>
                <w:sz w:val="20"/>
                <w:szCs w:val="20"/>
              </w:rPr>
            </w:pPr>
            <w:r>
              <w:rPr>
                <w:rFonts w:hint="eastAsia" w:ascii="仿宋" w:hAnsi="仿宋" w:eastAsia="仿宋" w:cs="仿宋"/>
                <w:sz w:val="20"/>
                <w:szCs w:val="20"/>
              </w:rPr>
              <w:t>入侵防范</w:t>
            </w:r>
          </w:p>
        </w:tc>
        <w:tc>
          <w:tcPr>
            <w:tcW w:w="3745" w:type="pct"/>
            <w:tcBorders>
              <w:top w:val="single" w:color="auto" w:sz="4" w:space="0"/>
              <w:left w:val="single" w:color="auto" w:sz="4" w:space="0"/>
              <w:bottom w:val="single" w:color="auto" w:sz="4" w:space="0"/>
              <w:right w:val="single" w:color="auto" w:sz="4" w:space="0"/>
            </w:tcBorders>
            <w:vAlign w:val="center"/>
          </w:tcPr>
          <w:p w14:paraId="46D57BCE">
            <w:pPr>
              <w:widowControl/>
              <w:rPr>
                <w:rFonts w:ascii="仿宋" w:hAnsi="仿宋" w:eastAsia="仿宋" w:cs="仿宋"/>
                <w:sz w:val="20"/>
                <w:szCs w:val="20"/>
              </w:rPr>
            </w:pPr>
            <w:r>
              <w:rPr>
                <w:rFonts w:hint="eastAsia" w:ascii="仿宋" w:hAnsi="仿宋" w:eastAsia="仿宋" w:cs="仿宋"/>
                <w:sz w:val="20"/>
                <w:szCs w:val="20"/>
              </w:rPr>
              <w:t>检查服务器在运行过程中的入侵防范措施，如关闭不需要的端口和服务、最小化安装、部署入侵防范产品等。</w:t>
            </w:r>
          </w:p>
        </w:tc>
      </w:tr>
      <w:tr w14:paraId="2633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14E0BC80">
            <w:pPr>
              <w:pStyle w:val="6"/>
              <w:widowControl w:val="0"/>
              <w:numPr>
                <w:ilvl w:val="0"/>
                <w:numId w:val="4"/>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54FCF35D">
            <w:pPr>
              <w:widowControl/>
              <w:jc w:val="center"/>
              <w:rPr>
                <w:rFonts w:ascii="仿宋" w:hAnsi="仿宋" w:eastAsia="仿宋" w:cs="仿宋"/>
                <w:sz w:val="20"/>
                <w:szCs w:val="20"/>
              </w:rPr>
            </w:pPr>
            <w:r>
              <w:rPr>
                <w:rFonts w:hint="eastAsia" w:ascii="仿宋" w:hAnsi="仿宋" w:eastAsia="仿宋" w:cs="仿宋"/>
                <w:sz w:val="20"/>
                <w:szCs w:val="20"/>
              </w:rPr>
              <w:t>恶意代码防范</w:t>
            </w:r>
          </w:p>
        </w:tc>
        <w:tc>
          <w:tcPr>
            <w:tcW w:w="3745" w:type="pct"/>
            <w:tcBorders>
              <w:top w:val="single" w:color="auto" w:sz="4" w:space="0"/>
              <w:left w:val="single" w:color="auto" w:sz="4" w:space="0"/>
              <w:bottom w:val="single" w:color="auto" w:sz="4" w:space="0"/>
              <w:right w:val="single" w:color="auto" w:sz="4" w:space="0"/>
            </w:tcBorders>
            <w:vAlign w:val="center"/>
          </w:tcPr>
          <w:p w14:paraId="7CFF4611">
            <w:pPr>
              <w:widowControl/>
              <w:rPr>
                <w:rFonts w:ascii="仿宋" w:hAnsi="仿宋" w:eastAsia="仿宋" w:cs="仿宋"/>
                <w:sz w:val="20"/>
                <w:szCs w:val="20"/>
              </w:rPr>
            </w:pPr>
            <w:r>
              <w:rPr>
                <w:rFonts w:hint="eastAsia" w:ascii="仿宋" w:hAnsi="仿宋" w:eastAsia="仿宋" w:cs="仿宋"/>
                <w:sz w:val="20"/>
                <w:szCs w:val="20"/>
              </w:rPr>
              <w:t>检查服务器的恶意代码防范情况，如服务器是否安装统一管理的恶意代码防范软件，是否及时升级病毒库等。</w:t>
            </w:r>
          </w:p>
        </w:tc>
      </w:tr>
      <w:tr w14:paraId="35B3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13F91A44">
            <w:pPr>
              <w:pStyle w:val="6"/>
              <w:widowControl w:val="0"/>
              <w:numPr>
                <w:ilvl w:val="0"/>
                <w:numId w:val="4"/>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7481C288">
            <w:pPr>
              <w:widowControl/>
              <w:jc w:val="center"/>
              <w:rPr>
                <w:rFonts w:ascii="仿宋" w:hAnsi="仿宋" w:eastAsia="仿宋" w:cs="仿宋"/>
                <w:sz w:val="20"/>
                <w:szCs w:val="20"/>
              </w:rPr>
            </w:pPr>
            <w:r>
              <w:rPr>
                <w:rFonts w:hint="eastAsia" w:ascii="仿宋" w:hAnsi="仿宋" w:eastAsia="仿宋" w:cs="仿宋"/>
                <w:sz w:val="20"/>
                <w:szCs w:val="20"/>
              </w:rPr>
              <w:t>可信验证</w:t>
            </w:r>
          </w:p>
        </w:tc>
        <w:tc>
          <w:tcPr>
            <w:tcW w:w="3745" w:type="pct"/>
            <w:tcBorders>
              <w:top w:val="single" w:color="auto" w:sz="4" w:space="0"/>
              <w:left w:val="single" w:color="auto" w:sz="4" w:space="0"/>
              <w:bottom w:val="single" w:color="auto" w:sz="4" w:space="0"/>
              <w:right w:val="single" w:color="auto" w:sz="4" w:space="0"/>
            </w:tcBorders>
            <w:vAlign w:val="center"/>
          </w:tcPr>
          <w:p w14:paraId="3F13E446">
            <w:pPr>
              <w:widowControl/>
              <w:rPr>
                <w:rFonts w:ascii="仿宋" w:hAnsi="仿宋" w:eastAsia="仿宋" w:cs="仿宋"/>
                <w:sz w:val="20"/>
                <w:szCs w:val="20"/>
              </w:rPr>
            </w:pPr>
            <w:r>
              <w:rPr>
                <w:rFonts w:hint="eastAsia" w:ascii="仿宋" w:hAnsi="仿宋" w:eastAsia="仿宋" w:cs="仿宋"/>
                <w:color w:val="000000"/>
                <w:sz w:val="20"/>
                <w:szCs w:val="20"/>
              </w:rPr>
              <w:t>基于可信根对通信设备的系统引导程序、系统程序、重要配置参数和通信应用程序等 进行可信验证，并在应用程序的关键执行环节进行动态可信验证。</w:t>
            </w:r>
          </w:p>
        </w:tc>
      </w:tr>
      <w:tr w14:paraId="4A8D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6743C24B">
            <w:pPr>
              <w:pStyle w:val="6"/>
              <w:widowControl w:val="0"/>
              <w:numPr>
                <w:ilvl w:val="0"/>
                <w:numId w:val="4"/>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5D76A71B">
            <w:pPr>
              <w:widowControl/>
              <w:jc w:val="center"/>
              <w:rPr>
                <w:rFonts w:ascii="仿宋" w:hAnsi="仿宋" w:eastAsia="仿宋" w:cs="仿宋"/>
                <w:sz w:val="20"/>
                <w:szCs w:val="20"/>
              </w:rPr>
            </w:pPr>
            <w:r>
              <w:rPr>
                <w:rFonts w:hint="eastAsia" w:ascii="仿宋" w:hAnsi="仿宋" w:eastAsia="仿宋" w:cs="仿宋"/>
                <w:sz w:val="20"/>
                <w:szCs w:val="20"/>
              </w:rPr>
              <w:t>数据完整性</w:t>
            </w:r>
          </w:p>
        </w:tc>
        <w:tc>
          <w:tcPr>
            <w:tcW w:w="3745" w:type="pct"/>
            <w:tcBorders>
              <w:top w:val="single" w:color="auto" w:sz="4" w:space="0"/>
              <w:left w:val="single" w:color="auto" w:sz="4" w:space="0"/>
              <w:bottom w:val="single" w:color="auto" w:sz="4" w:space="0"/>
              <w:right w:val="single" w:color="auto" w:sz="4" w:space="0"/>
            </w:tcBorders>
            <w:vAlign w:val="center"/>
          </w:tcPr>
          <w:p w14:paraId="0C53B84C">
            <w:pPr>
              <w:widowControl/>
              <w:rPr>
                <w:rFonts w:ascii="仿宋" w:hAnsi="仿宋" w:eastAsia="仿宋" w:cs="仿宋"/>
                <w:color w:val="000000"/>
                <w:sz w:val="20"/>
                <w:szCs w:val="20"/>
              </w:rPr>
            </w:pPr>
            <w:r>
              <w:rPr>
                <w:rFonts w:hint="eastAsia" w:ascii="仿宋" w:hAnsi="仿宋" w:eastAsia="仿宋" w:cs="仿宋"/>
                <w:color w:val="000000"/>
                <w:sz w:val="20"/>
                <w:szCs w:val="20"/>
              </w:rPr>
              <w:t>测评操作系统、数据库管理系统的管理数据、鉴别信息和用户数据在传输和保存过程中的完整性保护情况。</w:t>
            </w:r>
          </w:p>
        </w:tc>
      </w:tr>
      <w:tr w14:paraId="155F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2A7DEDEC">
            <w:pPr>
              <w:pStyle w:val="6"/>
              <w:widowControl w:val="0"/>
              <w:numPr>
                <w:ilvl w:val="0"/>
                <w:numId w:val="4"/>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3BBDFAB1">
            <w:pPr>
              <w:widowControl/>
              <w:jc w:val="center"/>
              <w:rPr>
                <w:rFonts w:ascii="仿宋" w:hAnsi="仿宋" w:eastAsia="仿宋" w:cs="仿宋"/>
                <w:sz w:val="20"/>
                <w:szCs w:val="20"/>
              </w:rPr>
            </w:pPr>
            <w:r>
              <w:rPr>
                <w:rFonts w:hint="eastAsia" w:ascii="仿宋" w:hAnsi="仿宋" w:eastAsia="仿宋" w:cs="仿宋"/>
                <w:sz w:val="20"/>
                <w:szCs w:val="20"/>
              </w:rPr>
              <w:t>数据保密性</w:t>
            </w:r>
          </w:p>
        </w:tc>
        <w:tc>
          <w:tcPr>
            <w:tcW w:w="3745" w:type="pct"/>
            <w:tcBorders>
              <w:top w:val="single" w:color="auto" w:sz="4" w:space="0"/>
              <w:left w:val="single" w:color="auto" w:sz="4" w:space="0"/>
              <w:bottom w:val="single" w:color="auto" w:sz="4" w:space="0"/>
              <w:right w:val="single" w:color="auto" w:sz="4" w:space="0"/>
            </w:tcBorders>
            <w:vAlign w:val="center"/>
          </w:tcPr>
          <w:p w14:paraId="422ED9DA">
            <w:pPr>
              <w:widowControl/>
              <w:rPr>
                <w:rFonts w:ascii="仿宋" w:hAnsi="仿宋" w:eastAsia="仿宋" w:cs="仿宋"/>
                <w:color w:val="000000"/>
                <w:sz w:val="20"/>
                <w:szCs w:val="20"/>
              </w:rPr>
            </w:pPr>
            <w:r>
              <w:rPr>
                <w:rFonts w:hint="eastAsia" w:ascii="仿宋" w:hAnsi="仿宋" w:eastAsia="仿宋" w:cs="仿宋"/>
                <w:color w:val="000000"/>
                <w:sz w:val="20"/>
                <w:szCs w:val="20"/>
              </w:rPr>
              <w:t>测评操作系统和数据库管理系统的管理数据、鉴别信息和用户数据在传输和保存过程中的保密性保护情况。</w:t>
            </w:r>
          </w:p>
        </w:tc>
      </w:tr>
      <w:tr w14:paraId="16D2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25136522">
            <w:pPr>
              <w:pStyle w:val="6"/>
              <w:widowControl w:val="0"/>
              <w:numPr>
                <w:ilvl w:val="0"/>
                <w:numId w:val="4"/>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22C6384B">
            <w:pPr>
              <w:widowControl/>
              <w:jc w:val="center"/>
              <w:rPr>
                <w:rFonts w:ascii="仿宋" w:hAnsi="仿宋" w:eastAsia="仿宋" w:cs="仿宋"/>
                <w:sz w:val="20"/>
                <w:szCs w:val="20"/>
              </w:rPr>
            </w:pPr>
            <w:r>
              <w:rPr>
                <w:rFonts w:hint="eastAsia" w:ascii="仿宋" w:hAnsi="仿宋" w:eastAsia="仿宋" w:cs="仿宋"/>
                <w:sz w:val="20"/>
                <w:szCs w:val="20"/>
              </w:rPr>
              <w:t>数据备份恢复</w:t>
            </w:r>
          </w:p>
        </w:tc>
        <w:tc>
          <w:tcPr>
            <w:tcW w:w="3745" w:type="pct"/>
            <w:tcBorders>
              <w:top w:val="single" w:color="auto" w:sz="4" w:space="0"/>
              <w:left w:val="single" w:color="auto" w:sz="4" w:space="0"/>
              <w:bottom w:val="single" w:color="auto" w:sz="4" w:space="0"/>
              <w:right w:val="single" w:color="auto" w:sz="4" w:space="0"/>
            </w:tcBorders>
            <w:vAlign w:val="center"/>
          </w:tcPr>
          <w:p w14:paraId="255A6CF6">
            <w:pPr>
              <w:widowControl/>
              <w:rPr>
                <w:rFonts w:ascii="仿宋" w:hAnsi="仿宋" w:eastAsia="仿宋" w:cs="仿宋"/>
                <w:color w:val="000000"/>
                <w:sz w:val="20"/>
                <w:szCs w:val="20"/>
              </w:rPr>
            </w:pPr>
            <w:r>
              <w:rPr>
                <w:rFonts w:hint="eastAsia" w:ascii="仿宋" w:hAnsi="仿宋" w:eastAsia="仿宋" w:cs="仿宋"/>
                <w:color w:val="000000"/>
                <w:sz w:val="20"/>
                <w:szCs w:val="20"/>
              </w:rPr>
              <w:t>测评信息系统的安全备份情况，如重要信息的备份、硬件和线路的冗余等。</w:t>
            </w:r>
          </w:p>
        </w:tc>
      </w:tr>
      <w:tr w14:paraId="0383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4716608A">
            <w:pPr>
              <w:pStyle w:val="6"/>
              <w:widowControl w:val="0"/>
              <w:numPr>
                <w:ilvl w:val="0"/>
                <w:numId w:val="4"/>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4E756814">
            <w:pPr>
              <w:widowControl/>
              <w:jc w:val="center"/>
              <w:rPr>
                <w:rFonts w:ascii="仿宋" w:hAnsi="仿宋" w:eastAsia="仿宋" w:cs="仿宋"/>
                <w:sz w:val="20"/>
                <w:szCs w:val="20"/>
              </w:rPr>
            </w:pPr>
            <w:r>
              <w:rPr>
                <w:rFonts w:hint="eastAsia" w:ascii="仿宋" w:hAnsi="仿宋" w:eastAsia="仿宋" w:cs="仿宋"/>
                <w:sz w:val="20"/>
                <w:szCs w:val="20"/>
              </w:rPr>
              <w:t>剩余信息保护</w:t>
            </w:r>
          </w:p>
        </w:tc>
        <w:tc>
          <w:tcPr>
            <w:tcW w:w="3745" w:type="pct"/>
            <w:tcBorders>
              <w:top w:val="single" w:color="auto" w:sz="4" w:space="0"/>
              <w:left w:val="single" w:color="auto" w:sz="4" w:space="0"/>
              <w:bottom w:val="single" w:color="auto" w:sz="4" w:space="0"/>
              <w:right w:val="single" w:color="auto" w:sz="4" w:space="0"/>
            </w:tcBorders>
            <w:vAlign w:val="center"/>
          </w:tcPr>
          <w:p w14:paraId="6586AC0E">
            <w:pPr>
              <w:rPr>
                <w:rFonts w:ascii="仿宋" w:hAnsi="仿宋" w:eastAsia="仿宋" w:cs="仿宋"/>
                <w:color w:val="000000"/>
                <w:sz w:val="20"/>
                <w:szCs w:val="20"/>
              </w:rPr>
            </w:pPr>
            <w:r>
              <w:rPr>
                <w:rFonts w:hint="eastAsia" w:ascii="仿宋" w:hAnsi="仿宋" w:eastAsia="仿宋" w:cs="仿宋"/>
                <w:color w:val="000000"/>
                <w:sz w:val="20"/>
                <w:szCs w:val="20"/>
              </w:rPr>
              <w:t>测评鉴别信息所在的存储空间被释放或重新分配前是否得到完全清除。</w:t>
            </w:r>
          </w:p>
        </w:tc>
      </w:tr>
      <w:tr w14:paraId="05B7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707FF89F">
            <w:pPr>
              <w:pStyle w:val="6"/>
              <w:widowControl w:val="0"/>
              <w:numPr>
                <w:ilvl w:val="0"/>
                <w:numId w:val="4"/>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4BFDCC9C">
            <w:pPr>
              <w:widowControl/>
              <w:jc w:val="center"/>
              <w:rPr>
                <w:rFonts w:ascii="仿宋" w:hAnsi="仿宋" w:eastAsia="仿宋" w:cs="仿宋"/>
                <w:sz w:val="20"/>
                <w:szCs w:val="20"/>
              </w:rPr>
            </w:pPr>
            <w:r>
              <w:rPr>
                <w:rFonts w:hint="eastAsia" w:ascii="仿宋" w:hAnsi="仿宋" w:eastAsia="仿宋" w:cs="仿宋"/>
                <w:sz w:val="20"/>
                <w:szCs w:val="20"/>
              </w:rPr>
              <w:t>个人信息保护</w:t>
            </w:r>
          </w:p>
        </w:tc>
        <w:tc>
          <w:tcPr>
            <w:tcW w:w="3745" w:type="pct"/>
            <w:tcBorders>
              <w:top w:val="single" w:color="auto" w:sz="4" w:space="0"/>
              <w:left w:val="single" w:color="auto" w:sz="4" w:space="0"/>
              <w:bottom w:val="single" w:color="auto" w:sz="4" w:space="0"/>
              <w:right w:val="single" w:color="auto" w:sz="4" w:space="0"/>
            </w:tcBorders>
            <w:vAlign w:val="center"/>
          </w:tcPr>
          <w:p w14:paraId="736633EB">
            <w:pPr>
              <w:tabs>
                <w:tab w:val="left" w:pos="840"/>
              </w:tabs>
              <w:rPr>
                <w:rFonts w:ascii="仿宋" w:hAnsi="仿宋" w:eastAsia="仿宋" w:cs="仿宋"/>
                <w:color w:val="000000"/>
                <w:sz w:val="20"/>
                <w:szCs w:val="20"/>
              </w:rPr>
            </w:pPr>
            <w:r>
              <w:rPr>
                <w:rFonts w:hint="eastAsia" w:ascii="仿宋" w:hAnsi="仿宋" w:eastAsia="仿宋" w:cs="仿宋"/>
                <w:color w:val="000000"/>
                <w:sz w:val="20"/>
                <w:szCs w:val="20"/>
              </w:rPr>
              <w:t>测评是否仅采集和保存业务必需的用户个人信息；是否禁止未授权访问和使用用户个人信息。</w:t>
            </w:r>
          </w:p>
        </w:tc>
      </w:tr>
    </w:tbl>
    <w:p w14:paraId="00CFC58B">
      <w:pPr>
        <w:widowControl/>
        <w:ind w:firstLine="402" w:firstLineChars="200"/>
        <w:jc w:val="center"/>
        <w:rPr>
          <w:rFonts w:ascii="仿宋" w:hAnsi="仿宋" w:eastAsia="仿宋" w:cs="仿宋"/>
          <w:b/>
          <w:bCs/>
          <w:sz w:val="20"/>
          <w:szCs w:val="20"/>
        </w:rPr>
      </w:pPr>
      <w:r>
        <w:rPr>
          <w:rFonts w:hint="eastAsia" w:ascii="仿宋" w:hAnsi="仿宋" w:eastAsia="仿宋" w:cs="仿宋"/>
          <w:b/>
          <w:bCs/>
          <w:sz w:val="20"/>
          <w:szCs w:val="20"/>
        </w:rPr>
        <w:t>表4-1安全计算环境测评指标描述</w:t>
      </w:r>
    </w:p>
    <w:p w14:paraId="4A17BCFB">
      <w:pPr>
        <w:widowControl/>
        <w:spacing w:line="597" w:lineRule="exact"/>
        <w:ind w:firstLine="643" w:firstLineChars="200"/>
        <w:jc w:val="left"/>
        <w:outlineLvl w:val="4"/>
        <w:rPr>
          <w:rFonts w:ascii="仿宋" w:hAnsi="仿宋" w:eastAsia="仿宋"/>
          <w:b/>
          <w:bCs/>
          <w:sz w:val="32"/>
          <w:szCs w:val="32"/>
        </w:rPr>
      </w:pPr>
      <w:r>
        <w:rPr>
          <w:rFonts w:hint="eastAsia" w:ascii="仿宋" w:hAnsi="仿宋" w:eastAsia="仿宋"/>
          <w:b/>
          <w:bCs/>
          <w:sz w:val="32"/>
          <w:szCs w:val="32"/>
        </w:rPr>
        <w:t>安全管理中心测评</w:t>
      </w:r>
    </w:p>
    <w:p w14:paraId="32D2090B">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安全管理中心测评主要涉及系统管理、审计管理、安全管理、集中管控4个方面的安全保护能力，具体测评指标描述如下表所示：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27"/>
        <w:gridCol w:w="1500"/>
        <w:gridCol w:w="6349"/>
      </w:tblGrid>
      <w:tr w14:paraId="02B9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70" w:type="pct"/>
            <w:tcBorders>
              <w:top w:val="single" w:color="auto" w:sz="4" w:space="0"/>
              <w:left w:val="single" w:color="auto" w:sz="4" w:space="0"/>
              <w:bottom w:val="single" w:color="auto" w:sz="4" w:space="0"/>
              <w:right w:val="single" w:color="auto" w:sz="4" w:space="0"/>
            </w:tcBorders>
            <w:shd w:val="clear" w:color="auto" w:fill="A6A6A6"/>
            <w:vAlign w:val="center"/>
          </w:tcPr>
          <w:p w14:paraId="1718E0F1">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序号</w:t>
            </w:r>
          </w:p>
        </w:tc>
        <w:tc>
          <w:tcPr>
            <w:tcW w:w="885" w:type="pct"/>
            <w:tcBorders>
              <w:top w:val="single" w:color="auto" w:sz="4" w:space="0"/>
              <w:left w:val="single" w:color="auto" w:sz="4" w:space="0"/>
              <w:bottom w:val="single" w:color="auto" w:sz="4" w:space="0"/>
              <w:right w:val="single" w:color="auto" w:sz="4" w:space="0"/>
            </w:tcBorders>
            <w:shd w:val="clear" w:color="auto" w:fill="A6A6A6"/>
            <w:vAlign w:val="center"/>
          </w:tcPr>
          <w:p w14:paraId="7B7D4396">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安全子类</w:t>
            </w:r>
          </w:p>
        </w:tc>
        <w:tc>
          <w:tcPr>
            <w:tcW w:w="3745" w:type="pct"/>
            <w:tcBorders>
              <w:top w:val="single" w:color="auto" w:sz="4" w:space="0"/>
              <w:left w:val="single" w:color="auto" w:sz="4" w:space="0"/>
              <w:bottom w:val="single" w:color="auto" w:sz="4" w:space="0"/>
              <w:right w:val="single" w:color="auto" w:sz="4" w:space="0"/>
            </w:tcBorders>
            <w:shd w:val="clear" w:color="auto" w:fill="A6A6A6"/>
            <w:vAlign w:val="center"/>
          </w:tcPr>
          <w:p w14:paraId="3036BA22">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测评指标描述</w:t>
            </w:r>
          </w:p>
        </w:tc>
      </w:tr>
      <w:tr w14:paraId="6FA3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7232053C">
            <w:pPr>
              <w:pStyle w:val="6"/>
              <w:widowControl w:val="0"/>
              <w:numPr>
                <w:ilvl w:val="0"/>
                <w:numId w:val="5"/>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1D4BCD70">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系统管理</w:t>
            </w:r>
          </w:p>
        </w:tc>
        <w:tc>
          <w:tcPr>
            <w:tcW w:w="3745" w:type="pct"/>
            <w:tcBorders>
              <w:top w:val="single" w:color="auto" w:sz="4" w:space="0"/>
              <w:left w:val="single" w:color="auto" w:sz="4" w:space="0"/>
              <w:bottom w:val="single" w:color="auto" w:sz="4" w:space="0"/>
              <w:right w:val="single" w:color="auto" w:sz="4" w:space="0"/>
            </w:tcBorders>
            <w:vAlign w:val="center"/>
          </w:tcPr>
          <w:p w14:paraId="1FB597FB">
            <w:pPr>
              <w:widowControl/>
              <w:rPr>
                <w:rFonts w:ascii="仿宋" w:hAnsi="仿宋" w:eastAsia="仿宋" w:cs="仿宋"/>
                <w:color w:val="000000"/>
                <w:sz w:val="20"/>
                <w:szCs w:val="20"/>
              </w:rPr>
            </w:pPr>
            <w:r>
              <w:rPr>
                <w:rFonts w:hint="eastAsia" w:ascii="仿宋" w:hAnsi="仿宋" w:eastAsia="仿宋" w:cs="仿宋"/>
                <w:color w:val="000000"/>
                <w:sz w:val="20"/>
                <w:szCs w:val="20"/>
              </w:rPr>
              <w:t>测评信息系统的系统管理员对系统的管理情况。</w:t>
            </w:r>
          </w:p>
        </w:tc>
      </w:tr>
      <w:tr w14:paraId="71C0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28225282">
            <w:pPr>
              <w:pStyle w:val="6"/>
              <w:widowControl w:val="0"/>
              <w:numPr>
                <w:ilvl w:val="0"/>
                <w:numId w:val="5"/>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4911A025">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审计管理</w:t>
            </w:r>
          </w:p>
        </w:tc>
        <w:tc>
          <w:tcPr>
            <w:tcW w:w="3745" w:type="pct"/>
            <w:tcBorders>
              <w:top w:val="single" w:color="auto" w:sz="4" w:space="0"/>
              <w:left w:val="single" w:color="auto" w:sz="4" w:space="0"/>
              <w:bottom w:val="single" w:color="auto" w:sz="4" w:space="0"/>
              <w:right w:val="single" w:color="auto" w:sz="4" w:space="0"/>
            </w:tcBorders>
            <w:vAlign w:val="center"/>
          </w:tcPr>
          <w:p w14:paraId="71B5DCF2">
            <w:pPr>
              <w:widowControl/>
              <w:rPr>
                <w:rFonts w:ascii="仿宋" w:hAnsi="仿宋" w:eastAsia="仿宋" w:cs="仿宋"/>
                <w:sz w:val="20"/>
                <w:szCs w:val="20"/>
              </w:rPr>
            </w:pPr>
            <w:r>
              <w:rPr>
                <w:rFonts w:hint="eastAsia" w:ascii="仿宋" w:hAnsi="仿宋" w:eastAsia="仿宋" w:cs="仿宋"/>
                <w:sz w:val="20"/>
                <w:szCs w:val="20"/>
              </w:rPr>
              <w:t>测评信息系统的安全审计员对系统的审计情况。</w:t>
            </w:r>
          </w:p>
        </w:tc>
      </w:tr>
      <w:tr w14:paraId="21AD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28B06AB5">
            <w:pPr>
              <w:pStyle w:val="6"/>
              <w:widowControl w:val="0"/>
              <w:numPr>
                <w:ilvl w:val="0"/>
                <w:numId w:val="5"/>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20BF7932">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安全管理</w:t>
            </w:r>
          </w:p>
        </w:tc>
        <w:tc>
          <w:tcPr>
            <w:tcW w:w="3745" w:type="pct"/>
            <w:tcBorders>
              <w:top w:val="single" w:color="auto" w:sz="4" w:space="0"/>
              <w:left w:val="single" w:color="auto" w:sz="4" w:space="0"/>
              <w:bottom w:val="single" w:color="auto" w:sz="4" w:space="0"/>
              <w:right w:val="single" w:color="auto" w:sz="4" w:space="0"/>
            </w:tcBorders>
            <w:vAlign w:val="center"/>
          </w:tcPr>
          <w:p w14:paraId="48B6B233">
            <w:pPr>
              <w:widowControl/>
              <w:rPr>
                <w:rFonts w:ascii="仿宋" w:hAnsi="仿宋" w:eastAsia="仿宋" w:cs="仿宋"/>
                <w:color w:val="000000"/>
                <w:sz w:val="20"/>
                <w:szCs w:val="20"/>
              </w:rPr>
            </w:pPr>
            <w:r>
              <w:rPr>
                <w:rFonts w:hint="eastAsia" w:ascii="仿宋" w:hAnsi="仿宋" w:eastAsia="仿宋" w:cs="仿宋"/>
                <w:color w:val="000000"/>
                <w:sz w:val="20"/>
                <w:szCs w:val="20"/>
              </w:rPr>
              <w:t>测评信息系统的安全管理员对系统的安全策略的配置情况。</w:t>
            </w:r>
          </w:p>
        </w:tc>
      </w:tr>
      <w:tr w14:paraId="55E4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74E74F1C">
            <w:pPr>
              <w:pStyle w:val="6"/>
              <w:widowControl w:val="0"/>
              <w:numPr>
                <w:ilvl w:val="0"/>
                <w:numId w:val="5"/>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20C932A7">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集中管控</w:t>
            </w:r>
          </w:p>
        </w:tc>
        <w:tc>
          <w:tcPr>
            <w:tcW w:w="3745" w:type="pct"/>
            <w:tcBorders>
              <w:top w:val="single" w:color="auto" w:sz="4" w:space="0"/>
              <w:left w:val="single" w:color="auto" w:sz="4" w:space="0"/>
              <w:bottom w:val="single" w:color="auto" w:sz="4" w:space="0"/>
              <w:right w:val="single" w:color="auto" w:sz="4" w:space="0"/>
            </w:tcBorders>
            <w:vAlign w:val="center"/>
          </w:tcPr>
          <w:p w14:paraId="6636B950">
            <w:pPr>
              <w:widowControl/>
              <w:rPr>
                <w:rFonts w:ascii="仿宋" w:hAnsi="仿宋" w:eastAsia="仿宋" w:cs="仿宋"/>
                <w:sz w:val="20"/>
                <w:szCs w:val="20"/>
              </w:rPr>
            </w:pPr>
            <w:r>
              <w:rPr>
                <w:rFonts w:hint="eastAsia" w:ascii="仿宋" w:hAnsi="仿宋" w:eastAsia="仿宋" w:cs="仿宋"/>
                <w:color w:val="000000"/>
                <w:sz w:val="20"/>
                <w:szCs w:val="20"/>
              </w:rPr>
              <w:t>测评网络链路、安全设备、网络设备和服务器等设备的运行状况的集中监测、分析、报警等。</w:t>
            </w:r>
          </w:p>
        </w:tc>
      </w:tr>
    </w:tbl>
    <w:p w14:paraId="1754F01F">
      <w:pPr>
        <w:widowControl/>
        <w:ind w:firstLine="402" w:firstLineChars="200"/>
        <w:jc w:val="center"/>
        <w:rPr>
          <w:rFonts w:ascii="仿宋" w:hAnsi="仿宋" w:eastAsia="仿宋" w:cs="仿宋"/>
          <w:b/>
          <w:bCs/>
          <w:sz w:val="20"/>
          <w:szCs w:val="20"/>
        </w:rPr>
      </w:pPr>
      <w:r>
        <w:rPr>
          <w:rFonts w:hint="eastAsia" w:ascii="仿宋" w:hAnsi="仿宋" w:eastAsia="仿宋" w:cs="仿宋"/>
          <w:b/>
          <w:bCs/>
          <w:sz w:val="20"/>
          <w:szCs w:val="20"/>
        </w:rPr>
        <w:t>表5-1安全管理中心测评指标描述</w:t>
      </w:r>
    </w:p>
    <w:p w14:paraId="0AFEA652">
      <w:pPr>
        <w:widowControl/>
        <w:spacing w:line="597" w:lineRule="exact"/>
        <w:ind w:firstLine="643" w:firstLineChars="200"/>
        <w:jc w:val="left"/>
        <w:outlineLvl w:val="4"/>
        <w:rPr>
          <w:rFonts w:ascii="仿宋" w:hAnsi="仿宋" w:eastAsia="仿宋"/>
          <w:b/>
          <w:bCs/>
          <w:sz w:val="32"/>
          <w:szCs w:val="32"/>
        </w:rPr>
      </w:pPr>
      <w:r>
        <w:rPr>
          <w:rFonts w:hint="eastAsia" w:ascii="仿宋" w:hAnsi="仿宋" w:eastAsia="仿宋"/>
          <w:b/>
          <w:bCs/>
          <w:sz w:val="32"/>
          <w:szCs w:val="32"/>
        </w:rPr>
        <w:t>安全管理制度测评</w:t>
      </w:r>
    </w:p>
    <w:p w14:paraId="36C0B719">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安全管理制度测评主要涉及安全策略、管理制度、制定和发布、评审和修订4个方面的安全保护能力，具体测评指标描述如下表所示：</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25"/>
        <w:gridCol w:w="1502"/>
        <w:gridCol w:w="6349"/>
      </w:tblGrid>
      <w:tr w14:paraId="3F06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trPr>
        <w:tc>
          <w:tcPr>
            <w:tcW w:w="369" w:type="pct"/>
            <w:tcBorders>
              <w:top w:val="single" w:color="auto" w:sz="4" w:space="0"/>
              <w:left w:val="single" w:color="auto" w:sz="4" w:space="0"/>
              <w:bottom w:val="single" w:color="auto" w:sz="4" w:space="0"/>
              <w:right w:val="single" w:color="auto" w:sz="4" w:space="0"/>
            </w:tcBorders>
            <w:shd w:val="clear" w:color="auto" w:fill="A6A6A6"/>
            <w:vAlign w:val="center"/>
          </w:tcPr>
          <w:p w14:paraId="0AFADCDF">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序号</w:t>
            </w:r>
          </w:p>
        </w:tc>
        <w:tc>
          <w:tcPr>
            <w:tcW w:w="886" w:type="pct"/>
            <w:tcBorders>
              <w:top w:val="single" w:color="auto" w:sz="4" w:space="0"/>
              <w:left w:val="single" w:color="auto" w:sz="4" w:space="0"/>
              <w:bottom w:val="single" w:color="auto" w:sz="4" w:space="0"/>
              <w:right w:val="single" w:color="auto" w:sz="4" w:space="0"/>
            </w:tcBorders>
            <w:shd w:val="clear" w:color="auto" w:fill="A6A6A6"/>
            <w:vAlign w:val="center"/>
          </w:tcPr>
          <w:p w14:paraId="009598C1">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安全子类</w:t>
            </w:r>
          </w:p>
        </w:tc>
        <w:tc>
          <w:tcPr>
            <w:tcW w:w="3745" w:type="pct"/>
            <w:tcBorders>
              <w:top w:val="single" w:color="auto" w:sz="4" w:space="0"/>
              <w:left w:val="single" w:color="auto" w:sz="4" w:space="0"/>
              <w:bottom w:val="single" w:color="auto" w:sz="4" w:space="0"/>
              <w:right w:val="single" w:color="auto" w:sz="4" w:space="0"/>
            </w:tcBorders>
            <w:shd w:val="clear" w:color="auto" w:fill="A6A6A6"/>
            <w:vAlign w:val="center"/>
          </w:tcPr>
          <w:p w14:paraId="79F902C1">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测评指标描述</w:t>
            </w:r>
          </w:p>
        </w:tc>
      </w:tr>
      <w:tr w14:paraId="322B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369" w:type="pct"/>
            <w:tcBorders>
              <w:top w:val="single" w:color="auto" w:sz="4" w:space="0"/>
              <w:left w:val="single" w:color="auto" w:sz="4" w:space="0"/>
              <w:bottom w:val="single" w:color="auto" w:sz="4" w:space="0"/>
              <w:right w:val="single" w:color="auto" w:sz="4" w:space="0"/>
            </w:tcBorders>
            <w:vAlign w:val="center"/>
          </w:tcPr>
          <w:p w14:paraId="7556D121">
            <w:pPr>
              <w:pStyle w:val="6"/>
              <w:widowControl w:val="0"/>
              <w:numPr>
                <w:ilvl w:val="0"/>
                <w:numId w:val="6"/>
              </w:numPr>
              <w:spacing w:before="0" w:beforeAutospacing="0" w:after="0" w:afterAutospacing="0"/>
              <w:jc w:val="center"/>
              <w:textAlignment w:val="center"/>
              <w:rPr>
                <w:rFonts w:ascii="仿宋" w:hAnsi="仿宋" w:eastAsia="仿宋" w:cs="仿宋"/>
                <w:sz w:val="20"/>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63976F6E">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安全策略</w:t>
            </w:r>
          </w:p>
        </w:tc>
        <w:tc>
          <w:tcPr>
            <w:tcW w:w="3745" w:type="pct"/>
            <w:tcBorders>
              <w:top w:val="single" w:color="auto" w:sz="4" w:space="0"/>
              <w:left w:val="single" w:color="auto" w:sz="4" w:space="0"/>
              <w:bottom w:val="single" w:color="auto" w:sz="4" w:space="0"/>
              <w:right w:val="single" w:color="auto" w:sz="4" w:space="0"/>
            </w:tcBorders>
            <w:vAlign w:val="center"/>
          </w:tcPr>
          <w:p w14:paraId="64C0590A">
            <w:pPr>
              <w:widowControl/>
              <w:rPr>
                <w:rFonts w:ascii="仿宋" w:hAnsi="仿宋" w:eastAsia="仿宋" w:cs="仿宋"/>
                <w:color w:val="000000"/>
                <w:sz w:val="20"/>
                <w:szCs w:val="20"/>
              </w:rPr>
            </w:pPr>
            <w:r>
              <w:rPr>
                <w:rFonts w:hint="eastAsia" w:ascii="仿宋" w:hAnsi="仿宋" w:eastAsia="仿宋" w:cs="仿宋"/>
                <w:color w:val="000000"/>
                <w:sz w:val="20"/>
                <w:szCs w:val="20"/>
              </w:rPr>
              <w:t>测评信息安全工作的总体方针、安全策略，总体目标、范围、原则和安全框架等。</w:t>
            </w:r>
          </w:p>
        </w:tc>
      </w:tr>
      <w:tr w14:paraId="3E91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369" w:type="pct"/>
            <w:tcBorders>
              <w:top w:val="single" w:color="auto" w:sz="4" w:space="0"/>
              <w:left w:val="single" w:color="auto" w:sz="4" w:space="0"/>
              <w:bottom w:val="single" w:color="auto" w:sz="4" w:space="0"/>
              <w:right w:val="single" w:color="auto" w:sz="4" w:space="0"/>
            </w:tcBorders>
            <w:vAlign w:val="center"/>
          </w:tcPr>
          <w:p w14:paraId="021753D4">
            <w:pPr>
              <w:pStyle w:val="6"/>
              <w:widowControl w:val="0"/>
              <w:numPr>
                <w:ilvl w:val="0"/>
                <w:numId w:val="6"/>
              </w:numPr>
              <w:spacing w:before="0" w:beforeAutospacing="0" w:after="0" w:afterAutospacing="0"/>
              <w:jc w:val="center"/>
              <w:textAlignment w:val="center"/>
              <w:rPr>
                <w:rFonts w:ascii="仿宋" w:hAnsi="仿宋" w:eastAsia="仿宋" w:cs="仿宋"/>
                <w:sz w:val="20"/>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5546F977">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管理制度</w:t>
            </w:r>
          </w:p>
        </w:tc>
        <w:tc>
          <w:tcPr>
            <w:tcW w:w="3745" w:type="pct"/>
            <w:tcBorders>
              <w:top w:val="single" w:color="auto" w:sz="4" w:space="0"/>
              <w:left w:val="single" w:color="auto" w:sz="4" w:space="0"/>
              <w:bottom w:val="single" w:color="auto" w:sz="4" w:space="0"/>
              <w:right w:val="single" w:color="auto" w:sz="4" w:space="0"/>
            </w:tcBorders>
            <w:vAlign w:val="center"/>
          </w:tcPr>
          <w:p w14:paraId="1570740F">
            <w:pPr>
              <w:rPr>
                <w:rFonts w:ascii="仿宋" w:hAnsi="仿宋" w:eastAsia="仿宋" w:cs="仿宋"/>
                <w:color w:val="000000"/>
                <w:sz w:val="20"/>
                <w:szCs w:val="20"/>
              </w:rPr>
            </w:pPr>
            <w:r>
              <w:rPr>
                <w:rFonts w:hint="eastAsia" w:ascii="仿宋" w:hAnsi="仿宋" w:eastAsia="仿宋" w:cs="仿宋"/>
                <w:color w:val="000000"/>
                <w:sz w:val="20"/>
                <w:szCs w:val="20"/>
              </w:rPr>
              <w:t>测评信息系统管理制度在内容覆盖上是否全面、完善。</w:t>
            </w:r>
          </w:p>
        </w:tc>
      </w:tr>
      <w:tr w14:paraId="1435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369" w:type="pct"/>
            <w:tcBorders>
              <w:top w:val="single" w:color="auto" w:sz="4" w:space="0"/>
              <w:left w:val="single" w:color="auto" w:sz="4" w:space="0"/>
              <w:bottom w:val="single" w:color="auto" w:sz="4" w:space="0"/>
              <w:right w:val="single" w:color="auto" w:sz="4" w:space="0"/>
            </w:tcBorders>
            <w:vAlign w:val="center"/>
          </w:tcPr>
          <w:p w14:paraId="10E07B07">
            <w:pPr>
              <w:pStyle w:val="6"/>
              <w:widowControl w:val="0"/>
              <w:numPr>
                <w:ilvl w:val="0"/>
                <w:numId w:val="6"/>
              </w:numPr>
              <w:spacing w:before="0" w:beforeAutospacing="0" w:after="0" w:afterAutospacing="0"/>
              <w:jc w:val="center"/>
              <w:textAlignment w:val="center"/>
              <w:rPr>
                <w:rFonts w:ascii="仿宋" w:hAnsi="仿宋" w:eastAsia="仿宋" w:cs="仿宋"/>
                <w:sz w:val="20"/>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2B47112B">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制定和发布</w:t>
            </w:r>
          </w:p>
        </w:tc>
        <w:tc>
          <w:tcPr>
            <w:tcW w:w="3745" w:type="pct"/>
            <w:tcBorders>
              <w:top w:val="single" w:color="auto" w:sz="4" w:space="0"/>
              <w:left w:val="single" w:color="auto" w:sz="4" w:space="0"/>
              <w:bottom w:val="single" w:color="auto" w:sz="4" w:space="0"/>
              <w:right w:val="single" w:color="auto" w:sz="4" w:space="0"/>
            </w:tcBorders>
            <w:vAlign w:val="center"/>
          </w:tcPr>
          <w:p w14:paraId="068D203E">
            <w:pPr>
              <w:rPr>
                <w:rFonts w:ascii="仿宋" w:hAnsi="仿宋" w:eastAsia="仿宋" w:cs="仿宋"/>
                <w:color w:val="000000"/>
                <w:sz w:val="20"/>
                <w:szCs w:val="20"/>
              </w:rPr>
            </w:pPr>
            <w:r>
              <w:rPr>
                <w:rFonts w:hint="eastAsia" w:ascii="仿宋" w:hAnsi="仿宋" w:eastAsia="仿宋" w:cs="仿宋"/>
                <w:color w:val="000000"/>
                <w:sz w:val="20"/>
                <w:szCs w:val="20"/>
              </w:rPr>
              <w:t>测评信息系统管理制度的制定和发布过程是否遵循一定的流程。</w:t>
            </w:r>
          </w:p>
        </w:tc>
      </w:tr>
      <w:tr w14:paraId="12E5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369" w:type="pct"/>
            <w:tcBorders>
              <w:top w:val="single" w:color="auto" w:sz="4" w:space="0"/>
              <w:left w:val="single" w:color="auto" w:sz="4" w:space="0"/>
              <w:bottom w:val="single" w:color="auto" w:sz="4" w:space="0"/>
              <w:right w:val="single" w:color="auto" w:sz="4" w:space="0"/>
            </w:tcBorders>
            <w:vAlign w:val="center"/>
          </w:tcPr>
          <w:p w14:paraId="025A457C">
            <w:pPr>
              <w:pStyle w:val="6"/>
              <w:widowControl w:val="0"/>
              <w:numPr>
                <w:ilvl w:val="0"/>
                <w:numId w:val="6"/>
              </w:numPr>
              <w:spacing w:before="0" w:beforeAutospacing="0" w:after="0" w:afterAutospacing="0"/>
              <w:jc w:val="center"/>
              <w:textAlignment w:val="center"/>
              <w:rPr>
                <w:rFonts w:ascii="仿宋" w:hAnsi="仿宋" w:eastAsia="仿宋" w:cs="仿宋"/>
                <w:sz w:val="20"/>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64C1A4B7">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评审和修订</w:t>
            </w:r>
          </w:p>
        </w:tc>
        <w:tc>
          <w:tcPr>
            <w:tcW w:w="3745" w:type="pct"/>
            <w:tcBorders>
              <w:top w:val="single" w:color="auto" w:sz="4" w:space="0"/>
              <w:left w:val="single" w:color="auto" w:sz="4" w:space="0"/>
              <w:bottom w:val="single" w:color="auto" w:sz="4" w:space="0"/>
              <w:right w:val="single" w:color="auto" w:sz="4" w:space="0"/>
            </w:tcBorders>
            <w:vAlign w:val="center"/>
          </w:tcPr>
          <w:p w14:paraId="6EA5F194">
            <w:pPr>
              <w:rPr>
                <w:rFonts w:ascii="仿宋" w:hAnsi="仿宋" w:eastAsia="仿宋" w:cs="仿宋"/>
                <w:color w:val="000000"/>
                <w:sz w:val="20"/>
                <w:szCs w:val="20"/>
              </w:rPr>
            </w:pPr>
            <w:r>
              <w:rPr>
                <w:rFonts w:hint="eastAsia" w:ascii="仿宋" w:hAnsi="仿宋" w:eastAsia="仿宋" w:cs="仿宋"/>
                <w:color w:val="000000"/>
                <w:sz w:val="20"/>
                <w:szCs w:val="20"/>
              </w:rPr>
              <w:t>测评信息系统管理制度定期评审和修订情况。</w:t>
            </w:r>
          </w:p>
        </w:tc>
      </w:tr>
    </w:tbl>
    <w:p w14:paraId="138EA4D9">
      <w:pPr>
        <w:widowControl/>
        <w:jc w:val="center"/>
        <w:rPr>
          <w:rFonts w:ascii="仿宋" w:hAnsi="仿宋" w:eastAsia="仿宋" w:cs="仿宋"/>
          <w:b/>
          <w:bCs/>
          <w:sz w:val="20"/>
          <w:szCs w:val="20"/>
        </w:rPr>
      </w:pPr>
      <w:r>
        <w:rPr>
          <w:rFonts w:hint="eastAsia" w:ascii="仿宋" w:hAnsi="仿宋" w:eastAsia="仿宋" w:cs="仿宋"/>
          <w:b/>
          <w:bCs/>
          <w:sz w:val="20"/>
          <w:szCs w:val="20"/>
        </w:rPr>
        <w:t>表6-1安全管理制度测评指标描述</w:t>
      </w:r>
    </w:p>
    <w:p w14:paraId="4B3ED066">
      <w:pPr>
        <w:widowControl/>
        <w:spacing w:line="597" w:lineRule="exact"/>
        <w:ind w:firstLine="643" w:firstLineChars="200"/>
        <w:jc w:val="left"/>
        <w:outlineLvl w:val="4"/>
        <w:rPr>
          <w:rFonts w:ascii="仿宋" w:hAnsi="仿宋" w:eastAsia="仿宋"/>
          <w:b/>
          <w:bCs/>
          <w:sz w:val="32"/>
          <w:szCs w:val="32"/>
        </w:rPr>
      </w:pPr>
      <w:r>
        <w:rPr>
          <w:rFonts w:hint="eastAsia" w:ascii="仿宋" w:hAnsi="仿宋" w:eastAsia="仿宋"/>
          <w:b/>
          <w:bCs/>
          <w:sz w:val="32"/>
          <w:szCs w:val="32"/>
        </w:rPr>
        <w:t>安全管理机构测评</w:t>
      </w:r>
    </w:p>
    <w:p w14:paraId="67272092">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安全管理制度测评主要涉及岗位设置、人员配备、授权和审批、沟通和合作、审核和检查5个方面的安全保护能力，具体测评指标描述如下表所示：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27"/>
        <w:gridCol w:w="1500"/>
        <w:gridCol w:w="6349"/>
      </w:tblGrid>
      <w:tr w14:paraId="3C1D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70" w:type="pct"/>
            <w:tcBorders>
              <w:top w:val="single" w:color="auto" w:sz="4" w:space="0"/>
              <w:left w:val="single" w:color="auto" w:sz="4" w:space="0"/>
              <w:bottom w:val="single" w:color="auto" w:sz="4" w:space="0"/>
              <w:right w:val="single" w:color="auto" w:sz="4" w:space="0"/>
            </w:tcBorders>
            <w:shd w:val="clear" w:color="auto" w:fill="A6A6A6"/>
            <w:vAlign w:val="center"/>
          </w:tcPr>
          <w:p w14:paraId="31E30AE4">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序号</w:t>
            </w:r>
          </w:p>
        </w:tc>
        <w:tc>
          <w:tcPr>
            <w:tcW w:w="885" w:type="pct"/>
            <w:tcBorders>
              <w:top w:val="single" w:color="auto" w:sz="4" w:space="0"/>
              <w:left w:val="single" w:color="auto" w:sz="4" w:space="0"/>
              <w:bottom w:val="single" w:color="auto" w:sz="4" w:space="0"/>
              <w:right w:val="single" w:color="auto" w:sz="4" w:space="0"/>
            </w:tcBorders>
            <w:shd w:val="clear" w:color="auto" w:fill="A6A6A6"/>
            <w:vAlign w:val="center"/>
          </w:tcPr>
          <w:p w14:paraId="30D8E15A">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安全子类</w:t>
            </w:r>
          </w:p>
        </w:tc>
        <w:tc>
          <w:tcPr>
            <w:tcW w:w="3745" w:type="pct"/>
            <w:tcBorders>
              <w:top w:val="single" w:color="auto" w:sz="4" w:space="0"/>
              <w:left w:val="single" w:color="auto" w:sz="4" w:space="0"/>
              <w:bottom w:val="single" w:color="auto" w:sz="4" w:space="0"/>
              <w:right w:val="single" w:color="auto" w:sz="4" w:space="0"/>
            </w:tcBorders>
            <w:shd w:val="clear" w:color="auto" w:fill="A6A6A6"/>
            <w:vAlign w:val="center"/>
          </w:tcPr>
          <w:p w14:paraId="35DBAD2E">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测评指标描述</w:t>
            </w:r>
          </w:p>
        </w:tc>
      </w:tr>
      <w:tr w14:paraId="79B7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46EEB071">
            <w:pPr>
              <w:pStyle w:val="6"/>
              <w:widowControl w:val="0"/>
              <w:numPr>
                <w:ilvl w:val="0"/>
                <w:numId w:val="7"/>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7F6BB099">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岗位设置</w:t>
            </w:r>
          </w:p>
        </w:tc>
        <w:tc>
          <w:tcPr>
            <w:tcW w:w="3745" w:type="pct"/>
            <w:tcBorders>
              <w:top w:val="single" w:color="auto" w:sz="4" w:space="0"/>
              <w:left w:val="single" w:color="auto" w:sz="4" w:space="0"/>
              <w:bottom w:val="single" w:color="auto" w:sz="4" w:space="0"/>
              <w:right w:val="single" w:color="auto" w:sz="4" w:space="0"/>
            </w:tcBorders>
            <w:vAlign w:val="center"/>
          </w:tcPr>
          <w:p w14:paraId="4A54D5AC">
            <w:pPr>
              <w:rPr>
                <w:rFonts w:ascii="仿宋" w:hAnsi="仿宋" w:eastAsia="仿宋" w:cs="仿宋"/>
                <w:color w:val="000000"/>
                <w:sz w:val="20"/>
                <w:szCs w:val="20"/>
              </w:rPr>
            </w:pPr>
            <w:r>
              <w:rPr>
                <w:rFonts w:hint="eastAsia" w:ascii="仿宋" w:hAnsi="仿宋" w:eastAsia="仿宋" w:cs="仿宋"/>
                <w:color w:val="000000"/>
                <w:sz w:val="20"/>
                <w:szCs w:val="20"/>
              </w:rPr>
              <w:t>测评信息系统安全主管部门设置情况以及各岗位设置和岗位职责情况。</w:t>
            </w:r>
          </w:p>
        </w:tc>
      </w:tr>
      <w:tr w14:paraId="28D2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2A233D8A">
            <w:pPr>
              <w:pStyle w:val="6"/>
              <w:widowControl w:val="0"/>
              <w:numPr>
                <w:ilvl w:val="0"/>
                <w:numId w:val="7"/>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2A791E08">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人员配备</w:t>
            </w:r>
          </w:p>
        </w:tc>
        <w:tc>
          <w:tcPr>
            <w:tcW w:w="3745" w:type="pct"/>
            <w:tcBorders>
              <w:top w:val="single" w:color="auto" w:sz="4" w:space="0"/>
              <w:left w:val="single" w:color="auto" w:sz="4" w:space="0"/>
              <w:bottom w:val="single" w:color="auto" w:sz="4" w:space="0"/>
              <w:right w:val="single" w:color="auto" w:sz="4" w:space="0"/>
            </w:tcBorders>
            <w:vAlign w:val="center"/>
          </w:tcPr>
          <w:p w14:paraId="7A79A7FE">
            <w:pPr>
              <w:rPr>
                <w:rFonts w:ascii="仿宋" w:hAnsi="仿宋" w:eastAsia="仿宋" w:cs="仿宋"/>
                <w:color w:val="000000"/>
                <w:sz w:val="20"/>
                <w:szCs w:val="20"/>
              </w:rPr>
            </w:pPr>
            <w:r>
              <w:rPr>
                <w:rFonts w:hint="eastAsia" w:ascii="仿宋" w:hAnsi="仿宋" w:eastAsia="仿宋" w:cs="仿宋"/>
                <w:color w:val="000000"/>
                <w:sz w:val="20"/>
                <w:szCs w:val="20"/>
              </w:rPr>
              <w:t>测评信息系统各个岗位人员配备情况。</w:t>
            </w:r>
          </w:p>
        </w:tc>
      </w:tr>
      <w:tr w14:paraId="60A8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070DA336">
            <w:pPr>
              <w:pStyle w:val="6"/>
              <w:widowControl w:val="0"/>
              <w:numPr>
                <w:ilvl w:val="0"/>
                <w:numId w:val="7"/>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0CE3BC2A">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授权和审批</w:t>
            </w:r>
          </w:p>
        </w:tc>
        <w:tc>
          <w:tcPr>
            <w:tcW w:w="3745" w:type="pct"/>
            <w:tcBorders>
              <w:top w:val="single" w:color="auto" w:sz="4" w:space="0"/>
              <w:left w:val="single" w:color="auto" w:sz="4" w:space="0"/>
              <w:bottom w:val="single" w:color="auto" w:sz="4" w:space="0"/>
              <w:right w:val="single" w:color="auto" w:sz="4" w:space="0"/>
            </w:tcBorders>
            <w:vAlign w:val="center"/>
          </w:tcPr>
          <w:p w14:paraId="161650CC">
            <w:pPr>
              <w:rPr>
                <w:rFonts w:ascii="仿宋" w:hAnsi="仿宋" w:eastAsia="仿宋" w:cs="仿宋"/>
                <w:color w:val="000000"/>
                <w:sz w:val="20"/>
                <w:szCs w:val="20"/>
              </w:rPr>
            </w:pPr>
            <w:r>
              <w:rPr>
                <w:rFonts w:hint="eastAsia" w:ascii="仿宋" w:hAnsi="仿宋" w:eastAsia="仿宋" w:cs="仿宋"/>
                <w:color w:val="000000"/>
                <w:sz w:val="20"/>
                <w:szCs w:val="20"/>
              </w:rPr>
              <w:t>测评信息系统对关键活动的授权和审批情况。</w:t>
            </w:r>
          </w:p>
        </w:tc>
      </w:tr>
      <w:tr w14:paraId="4D6D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6EAF43AC">
            <w:pPr>
              <w:pStyle w:val="6"/>
              <w:widowControl w:val="0"/>
              <w:numPr>
                <w:ilvl w:val="0"/>
                <w:numId w:val="7"/>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1AB3A75C">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沟通与合作</w:t>
            </w:r>
          </w:p>
        </w:tc>
        <w:tc>
          <w:tcPr>
            <w:tcW w:w="3745" w:type="pct"/>
            <w:tcBorders>
              <w:top w:val="single" w:color="auto" w:sz="4" w:space="0"/>
              <w:left w:val="single" w:color="auto" w:sz="4" w:space="0"/>
              <w:bottom w:val="single" w:color="auto" w:sz="4" w:space="0"/>
              <w:right w:val="single" w:color="auto" w:sz="4" w:space="0"/>
            </w:tcBorders>
            <w:vAlign w:val="center"/>
          </w:tcPr>
          <w:p w14:paraId="4F30FDC5">
            <w:pPr>
              <w:rPr>
                <w:rFonts w:ascii="仿宋" w:hAnsi="仿宋" w:eastAsia="仿宋" w:cs="仿宋"/>
                <w:color w:val="000000"/>
                <w:sz w:val="20"/>
                <w:szCs w:val="20"/>
              </w:rPr>
            </w:pPr>
            <w:r>
              <w:rPr>
                <w:rFonts w:hint="eastAsia" w:ascii="仿宋" w:hAnsi="仿宋" w:eastAsia="仿宋" w:cs="仿宋"/>
                <w:color w:val="000000"/>
                <w:sz w:val="20"/>
                <w:szCs w:val="20"/>
              </w:rPr>
              <w:t>测评信息系统内部部门间、与外部单位间的沟通与合作情况。</w:t>
            </w:r>
          </w:p>
        </w:tc>
      </w:tr>
      <w:tr w14:paraId="0100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4B8A2B1C">
            <w:pPr>
              <w:pStyle w:val="6"/>
              <w:widowControl w:val="0"/>
              <w:numPr>
                <w:ilvl w:val="0"/>
                <w:numId w:val="7"/>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08DE462D">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审核和检查</w:t>
            </w:r>
          </w:p>
        </w:tc>
        <w:tc>
          <w:tcPr>
            <w:tcW w:w="3745" w:type="pct"/>
            <w:tcBorders>
              <w:top w:val="single" w:color="auto" w:sz="4" w:space="0"/>
              <w:left w:val="single" w:color="auto" w:sz="4" w:space="0"/>
              <w:bottom w:val="single" w:color="auto" w:sz="4" w:space="0"/>
              <w:right w:val="single" w:color="auto" w:sz="4" w:space="0"/>
            </w:tcBorders>
            <w:vAlign w:val="center"/>
          </w:tcPr>
          <w:p w14:paraId="5B122EB6">
            <w:pPr>
              <w:rPr>
                <w:rFonts w:ascii="仿宋" w:hAnsi="仿宋" w:eastAsia="仿宋" w:cs="仿宋"/>
                <w:color w:val="000000"/>
                <w:sz w:val="20"/>
                <w:szCs w:val="20"/>
              </w:rPr>
            </w:pPr>
            <w:r>
              <w:rPr>
                <w:rFonts w:hint="eastAsia" w:ascii="仿宋" w:hAnsi="仿宋" w:eastAsia="仿宋" w:cs="仿宋"/>
                <w:color w:val="000000"/>
                <w:sz w:val="20"/>
                <w:szCs w:val="20"/>
              </w:rPr>
              <w:t>检查信息系统安全工作的审核和测评情况。</w:t>
            </w:r>
          </w:p>
        </w:tc>
      </w:tr>
    </w:tbl>
    <w:p w14:paraId="3D5F836D">
      <w:pPr>
        <w:widowControl/>
        <w:jc w:val="center"/>
        <w:rPr>
          <w:rFonts w:ascii="仿宋" w:hAnsi="仿宋" w:eastAsia="仿宋" w:cs="仿宋"/>
          <w:b/>
          <w:bCs/>
          <w:sz w:val="20"/>
          <w:szCs w:val="20"/>
        </w:rPr>
      </w:pPr>
      <w:r>
        <w:rPr>
          <w:rFonts w:hint="eastAsia" w:ascii="仿宋" w:hAnsi="仿宋" w:eastAsia="仿宋" w:cs="仿宋"/>
          <w:b/>
          <w:bCs/>
          <w:sz w:val="20"/>
          <w:szCs w:val="20"/>
        </w:rPr>
        <w:t>表7-1安全管理机构测评指标描述</w:t>
      </w:r>
    </w:p>
    <w:p w14:paraId="2C0ADAEA">
      <w:pPr>
        <w:widowControl/>
        <w:spacing w:line="597" w:lineRule="exact"/>
        <w:ind w:firstLine="643" w:firstLineChars="200"/>
        <w:jc w:val="left"/>
        <w:outlineLvl w:val="4"/>
        <w:rPr>
          <w:rFonts w:ascii="仿宋" w:hAnsi="仿宋" w:eastAsia="仿宋"/>
          <w:b/>
          <w:bCs/>
          <w:sz w:val="32"/>
          <w:szCs w:val="32"/>
        </w:rPr>
      </w:pPr>
      <w:r>
        <w:rPr>
          <w:rFonts w:hint="eastAsia" w:ascii="仿宋" w:hAnsi="仿宋" w:eastAsia="仿宋"/>
          <w:b/>
          <w:bCs/>
          <w:sz w:val="32"/>
          <w:szCs w:val="32"/>
        </w:rPr>
        <w:t>安全管理人员测评</w:t>
      </w:r>
    </w:p>
    <w:p w14:paraId="14147CDA">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安全管理人员测评主要涉及人员录用、人员离岗、安全意识教育和培训、外部人员访问管理</w:t>
      </w:r>
      <w:r>
        <w:rPr>
          <w:rFonts w:ascii="仿宋" w:hAnsi="仿宋" w:eastAsia="仿宋"/>
          <w:sz w:val="32"/>
          <w:szCs w:val="32"/>
        </w:rPr>
        <w:t>4</w:t>
      </w:r>
      <w:r>
        <w:rPr>
          <w:rFonts w:hint="eastAsia" w:ascii="仿宋" w:hAnsi="仿宋" w:eastAsia="仿宋"/>
          <w:sz w:val="32"/>
          <w:szCs w:val="32"/>
        </w:rPr>
        <w:t>个方面的安全保护能力，具体测评指标描述如下表所示：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25"/>
        <w:gridCol w:w="1502"/>
        <w:gridCol w:w="6349"/>
      </w:tblGrid>
      <w:tr w14:paraId="1A15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69" w:type="pct"/>
            <w:tcBorders>
              <w:top w:val="single" w:color="auto" w:sz="4" w:space="0"/>
              <w:left w:val="single" w:color="auto" w:sz="4" w:space="0"/>
              <w:bottom w:val="single" w:color="auto" w:sz="4" w:space="0"/>
              <w:right w:val="single" w:color="auto" w:sz="4" w:space="0"/>
            </w:tcBorders>
            <w:shd w:val="clear" w:color="auto" w:fill="A6A6A6"/>
            <w:vAlign w:val="center"/>
          </w:tcPr>
          <w:p w14:paraId="5957783B">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序号</w:t>
            </w:r>
          </w:p>
        </w:tc>
        <w:tc>
          <w:tcPr>
            <w:tcW w:w="886" w:type="pct"/>
            <w:tcBorders>
              <w:top w:val="single" w:color="auto" w:sz="4" w:space="0"/>
              <w:left w:val="single" w:color="auto" w:sz="4" w:space="0"/>
              <w:bottom w:val="single" w:color="auto" w:sz="4" w:space="0"/>
              <w:right w:val="single" w:color="auto" w:sz="4" w:space="0"/>
            </w:tcBorders>
            <w:shd w:val="clear" w:color="auto" w:fill="A6A6A6"/>
            <w:vAlign w:val="center"/>
          </w:tcPr>
          <w:p w14:paraId="4002CC84">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安全子类</w:t>
            </w:r>
          </w:p>
        </w:tc>
        <w:tc>
          <w:tcPr>
            <w:tcW w:w="3745" w:type="pct"/>
            <w:tcBorders>
              <w:top w:val="single" w:color="auto" w:sz="4" w:space="0"/>
              <w:left w:val="single" w:color="auto" w:sz="4" w:space="0"/>
              <w:bottom w:val="single" w:color="auto" w:sz="4" w:space="0"/>
              <w:right w:val="single" w:color="auto" w:sz="4" w:space="0"/>
            </w:tcBorders>
            <w:shd w:val="clear" w:color="auto" w:fill="A6A6A6"/>
            <w:vAlign w:val="center"/>
          </w:tcPr>
          <w:p w14:paraId="56D91DD2">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测评指标描述</w:t>
            </w:r>
          </w:p>
        </w:tc>
      </w:tr>
      <w:tr w14:paraId="26F5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69" w:type="pct"/>
            <w:tcBorders>
              <w:top w:val="single" w:color="auto" w:sz="4" w:space="0"/>
              <w:left w:val="single" w:color="auto" w:sz="4" w:space="0"/>
              <w:bottom w:val="single" w:color="auto" w:sz="4" w:space="0"/>
              <w:right w:val="single" w:color="auto" w:sz="4" w:space="0"/>
            </w:tcBorders>
            <w:vAlign w:val="center"/>
          </w:tcPr>
          <w:p w14:paraId="747F0432">
            <w:pPr>
              <w:pStyle w:val="6"/>
              <w:widowControl w:val="0"/>
              <w:numPr>
                <w:ilvl w:val="0"/>
                <w:numId w:val="8"/>
              </w:numPr>
              <w:spacing w:before="0" w:beforeAutospacing="0" w:after="0" w:afterAutospacing="0"/>
              <w:jc w:val="center"/>
              <w:textAlignment w:val="center"/>
              <w:rPr>
                <w:rFonts w:ascii="仿宋" w:hAnsi="仿宋" w:eastAsia="仿宋" w:cs="仿宋"/>
                <w:sz w:val="20"/>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200E2CBE">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人员录用</w:t>
            </w:r>
          </w:p>
        </w:tc>
        <w:tc>
          <w:tcPr>
            <w:tcW w:w="3745" w:type="pct"/>
            <w:tcBorders>
              <w:top w:val="single" w:color="auto" w:sz="4" w:space="0"/>
              <w:left w:val="single" w:color="auto" w:sz="4" w:space="0"/>
              <w:bottom w:val="single" w:color="auto" w:sz="4" w:space="0"/>
              <w:right w:val="single" w:color="auto" w:sz="4" w:space="0"/>
            </w:tcBorders>
            <w:vAlign w:val="center"/>
          </w:tcPr>
          <w:p w14:paraId="0B737104">
            <w:pPr>
              <w:rPr>
                <w:rFonts w:ascii="仿宋" w:hAnsi="仿宋" w:eastAsia="仿宋" w:cs="仿宋"/>
                <w:color w:val="000000"/>
                <w:sz w:val="20"/>
                <w:szCs w:val="20"/>
              </w:rPr>
            </w:pPr>
            <w:r>
              <w:rPr>
                <w:rFonts w:hint="eastAsia" w:ascii="仿宋" w:hAnsi="仿宋" w:eastAsia="仿宋" w:cs="仿宋"/>
                <w:color w:val="000000"/>
                <w:sz w:val="20"/>
                <w:szCs w:val="20"/>
              </w:rPr>
              <w:t>测评信息系统录用人员时是否对人员提出要求以及是否对其进行各种审查和考核。</w:t>
            </w:r>
          </w:p>
        </w:tc>
      </w:tr>
      <w:tr w14:paraId="1E36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69" w:type="pct"/>
            <w:tcBorders>
              <w:top w:val="single" w:color="auto" w:sz="4" w:space="0"/>
              <w:left w:val="single" w:color="auto" w:sz="4" w:space="0"/>
              <w:bottom w:val="single" w:color="auto" w:sz="4" w:space="0"/>
              <w:right w:val="single" w:color="auto" w:sz="4" w:space="0"/>
            </w:tcBorders>
            <w:vAlign w:val="center"/>
          </w:tcPr>
          <w:p w14:paraId="3B41913B">
            <w:pPr>
              <w:pStyle w:val="6"/>
              <w:widowControl w:val="0"/>
              <w:numPr>
                <w:ilvl w:val="0"/>
                <w:numId w:val="8"/>
              </w:numPr>
              <w:spacing w:before="0" w:beforeAutospacing="0" w:after="0" w:afterAutospacing="0"/>
              <w:jc w:val="center"/>
              <w:textAlignment w:val="center"/>
              <w:rPr>
                <w:rFonts w:ascii="仿宋" w:hAnsi="仿宋" w:eastAsia="仿宋" w:cs="仿宋"/>
                <w:sz w:val="20"/>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04037592">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人员离岗</w:t>
            </w:r>
          </w:p>
        </w:tc>
        <w:tc>
          <w:tcPr>
            <w:tcW w:w="3745" w:type="pct"/>
            <w:tcBorders>
              <w:top w:val="single" w:color="auto" w:sz="4" w:space="0"/>
              <w:left w:val="single" w:color="auto" w:sz="4" w:space="0"/>
              <w:bottom w:val="single" w:color="auto" w:sz="4" w:space="0"/>
              <w:right w:val="single" w:color="auto" w:sz="4" w:space="0"/>
            </w:tcBorders>
            <w:vAlign w:val="center"/>
          </w:tcPr>
          <w:p w14:paraId="5F42158B">
            <w:pPr>
              <w:rPr>
                <w:rFonts w:ascii="仿宋" w:hAnsi="仿宋" w:eastAsia="仿宋" w:cs="仿宋"/>
                <w:color w:val="000000"/>
                <w:sz w:val="20"/>
                <w:szCs w:val="20"/>
              </w:rPr>
            </w:pPr>
            <w:r>
              <w:rPr>
                <w:rFonts w:hint="eastAsia" w:ascii="仿宋" w:hAnsi="仿宋" w:eastAsia="仿宋" w:cs="仿宋"/>
                <w:color w:val="000000"/>
                <w:sz w:val="20"/>
                <w:szCs w:val="20"/>
              </w:rPr>
              <w:t>测评信息系统人员离岗时是否按照一定的手续办理。</w:t>
            </w:r>
          </w:p>
        </w:tc>
      </w:tr>
      <w:tr w14:paraId="32D6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69" w:type="pct"/>
            <w:tcBorders>
              <w:top w:val="single" w:color="auto" w:sz="4" w:space="0"/>
              <w:left w:val="single" w:color="auto" w:sz="4" w:space="0"/>
              <w:bottom w:val="single" w:color="auto" w:sz="4" w:space="0"/>
              <w:right w:val="single" w:color="auto" w:sz="4" w:space="0"/>
            </w:tcBorders>
            <w:vAlign w:val="center"/>
          </w:tcPr>
          <w:p w14:paraId="02604737">
            <w:pPr>
              <w:pStyle w:val="6"/>
              <w:widowControl w:val="0"/>
              <w:numPr>
                <w:ilvl w:val="0"/>
                <w:numId w:val="8"/>
              </w:numPr>
              <w:spacing w:before="0" w:beforeAutospacing="0" w:after="0" w:afterAutospacing="0"/>
              <w:jc w:val="center"/>
              <w:textAlignment w:val="center"/>
              <w:rPr>
                <w:rFonts w:ascii="仿宋" w:hAnsi="仿宋" w:eastAsia="仿宋" w:cs="仿宋"/>
                <w:sz w:val="20"/>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73A233A1">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安全意识教育和培训</w:t>
            </w:r>
          </w:p>
        </w:tc>
        <w:tc>
          <w:tcPr>
            <w:tcW w:w="3745" w:type="pct"/>
            <w:tcBorders>
              <w:top w:val="single" w:color="auto" w:sz="4" w:space="0"/>
              <w:left w:val="single" w:color="auto" w:sz="4" w:space="0"/>
              <w:bottom w:val="single" w:color="auto" w:sz="4" w:space="0"/>
              <w:right w:val="single" w:color="auto" w:sz="4" w:space="0"/>
            </w:tcBorders>
            <w:vAlign w:val="center"/>
          </w:tcPr>
          <w:p w14:paraId="1AABA387">
            <w:pPr>
              <w:rPr>
                <w:rFonts w:ascii="仿宋" w:hAnsi="仿宋" w:eastAsia="仿宋" w:cs="仿宋"/>
                <w:color w:val="000000"/>
                <w:sz w:val="20"/>
                <w:szCs w:val="20"/>
              </w:rPr>
            </w:pPr>
            <w:r>
              <w:rPr>
                <w:rFonts w:hint="eastAsia" w:ascii="仿宋" w:hAnsi="仿宋" w:eastAsia="仿宋" w:cs="仿宋"/>
                <w:color w:val="000000"/>
                <w:sz w:val="20"/>
                <w:szCs w:val="20"/>
              </w:rPr>
              <w:t>测评是否对人员进行安全方面的教育和培训。</w:t>
            </w:r>
          </w:p>
        </w:tc>
      </w:tr>
      <w:tr w14:paraId="0DDF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69" w:type="pct"/>
            <w:tcBorders>
              <w:top w:val="single" w:color="auto" w:sz="4" w:space="0"/>
              <w:left w:val="single" w:color="auto" w:sz="4" w:space="0"/>
              <w:bottom w:val="single" w:color="auto" w:sz="4" w:space="0"/>
              <w:right w:val="single" w:color="auto" w:sz="4" w:space="0"/>
            </w:tcBorders>
            <w:vAlign w:val="center"/>
          </w:tcPr>
          <w:p w14:paraId="18A45F97">
            <w:pPr>
              <w:pStyle w:val="6"/>
              <w:widowControl w:val="0"/>
              <w:numPr>
                <w:ilvl w:val="0"/>
                <w:numId w:val="8"/>
              </w:numPr>
              <w:spacing w:before="0" w:beforeAutospacing="0" w:after="0" w:afterAutospacing="0"/>
              <w:jc w:val="center"/>
              <w:textAlignment w:val="center"/>
              <w:rPr>
                <w:rFonts w:ascii="仿宋" w:hAnsi="仿宋" w:eastAsia="仿宋" w:cs="仿宋"/>
                <w:sz w:val="20"/>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139341E2">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外部人员访问管理</w:t>
            </w:r>
          </w:p>
        </w:tc>
        <w:tc>
          <w:tcPr>
            <w:tcW w:w="3745" w:type="pct"/>
            <w:tcBorders>
              <w:top w:val="single" w:color="auto" w:sz="4" w:space="0"/>
              <w:left w:val="single" w:color="auto" w:sz="4" w:space="0"/>
              <w:bottom w:val="single" w:color="auto" w:sz="4" w:space="0"/>
              <w:right w:val="single" w:color="auto" w:sz="4" w:space="0"/>
            </w:tcBorders>
            <w:vAlign w:val="center"/>
          </w:tcPr>
          <w:p w14:paraId="2B31F979">
            <w:pPr>
              <w:rPr>
                <w:rFonts w:ascii="仿宋" w:hAnsi="仿宋" w:eastAsia="仿宋" w:cs="仿宋"/>
                <w:color w:val="000000"/>
                <w:sz w:val="20"/>
                <w:szCs w:val="20"/>
              </w:rPr>
            </w:pPr>
            <w:r>
              <w:rPr>
                <w:rFonts w:hint="eastAsia" w:ascii="仿宋" w:hAnsi="仿宋" w:eastAsia="仿宋" w:cs="仿宋"/>
                <w:color w:val="000000"/>
                <w:sz w:val="20"/>
                <w:szCs w:val="20"/>
              </w:rPr>
              <w:t>测评对第三方人员访问（物理、逻辑）系统是否采取必要控制措施。</w:t>
            </w:r>
          </w:p>
        </w:tc>
      </w:tr>
    </w:tbl>
    <w:p w14:paraId="6E5C3069">
      <w:pPr>
        <w:widowControl/>
        <w:jc w:val="center"/>
        <w:rPr>
          <w:rFonts w:ascii="仿宋" w:hAnsi="仿宋" w:eastAsia="仿宋" w:cs="仿宋"/>
          <w:b/>
          <w:bCs/>
          <w:sz w:val="20"/>
          <w:szCs w:val="20"/>
        </w:rPr>
      </w:pPr>
      <w:r>
        <w:rPr>
          <w:rFonts w:hint="eastAsia" w:ascii="仿宋" w:hAnsi="仿宋" w:eastAsia="仿宋" w:cs="仿宋"/>
          <w:b/>
          <w:bCs/>
          <w:sz w:val="20"/>
          <w:szCs w:val="20"/>
        </w:rPr>
        <w:t>表8-1安全管理人员测评指标描述</w:t>
      </w:r>
    </w:p>
    <w:p w14:paraId="65040D85">
      <w:pPr>
        <w:widowControl/>
        <w:spacing w:line="597" w:lineRule="exact"/>
        <w:ind w:firstLine="643" w:firstLineChars="200"/>
        <w:jc w:val="left"/>
        <w:outlineLvl w:val="4"/>
        <w:rPr>
          <w:rFonts w:ascii="仿宋" w:hAnsi="仿宋" w:eastAsia="仿宋"/>
          <w:sz w:val="32"/>
          <w:szCs w:val="32"/>
        </w:rPr>
      </w:pPr>
      <w:r>
        <w:rPr>
          <w:rFonts w:hint="eastAsia" w:ascii="仿宋" w:hAnsi="仿宋" w:eastAsia="仿宋"/>
          <w:b/>
          <w:bCs/>
          <w:sz w:val="32"/>
          <w:szCs w:val="32"/>
        </w:rPr>
        <w:t>安全建设管理测评</w:t>
      </w:r>
    </w:p>
    <w:p w14:paraId="38AC7513">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建设管理测评主要涉及定级和备案、安全方案设计、产品采购和使用、自行软件开发、外包软件开发、工程实施、测试验收、系统交付、等级测评、服务供应商选择10个方面的安全保护能力，具体测评指标描述如下表所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27"/>
        <w:gridCol w:w="1500"/>
        <w:gridCol w:w="6349"/>
      </w:tblGrid>
      <w:tr w14:paraId="32A7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70" w:type="pct"/>
            <w:tcBorders>
              <w:top w:val="single" w:color="auto" w:sz="4" w:space="0"/>
              <w:left w:val="single" w:color="auto" w:sz="4" w:space="0"/>
              <w:bottom w:val="single" w:color="auto" w:sz="4" w:space="0"/>
              <w:right w:val="single" w:color="auto" w:sz="4" w:space="0"/>
            </w:tcBorders>
            <w:shd w:val="clear" w:color="auto" w:fill="A6A6A6"/>
            <w:vAlign w:val="center"/>
          </w:tcPr>
          <w:p w14:paraId="41B93135">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序号</w:t>
            </w:r>
          </w:p>
        </w:tc>
        <w:tc>
          <w:tcPr>
            <w:tcW w:w="885" w:type="pct"/>
            <w:tcBorders>
              <w:top w:val="single" w:color="auto" w:sz="4" w:space="0"/>
              <w:left w:val="single" w:color="auto" w:sz="4" w:space="0"/>
              <w:bottom w:val="single" w:color="auto" w:sz="4" w:space="0"/>
              <w:right w:val="single" w:color="auto" w:sz="4" w:space="0"/>
            </w:tcBorders>
            <w:shd w:val="clear" w:color="auto" w:fill="A6A6A6"/>
            <w:vAlign w:val="center"/>
          </w:tcPr>
          <w:p w14:paraId="1A42F8F7">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安全子类</w:t>
            </w:r>
          </w:p>
        </w:tc>
        <w:tc>
          <w:tcPr>
            <w:tcW w:w="3745" w:type="pct"/>
            <w:tcBorders>
              <w:top w:val="single" w:color="auto" w:sz="4" w:space="0"/>
              <w:left w:val="single" w:color="auto" w:sz="4" w:space="0"/>
              <w:bottom w:val="single" w:color="auto" w:sz="4" w:space="0"/>
              <w:right w:val="single" w:color="auto" w:sz="4" w:space="0"/>
            </w:tcBorders>
            <w:shd w:val="clear" w:color="auto" w:fill="A6A6A6"/>
            <w:vAlign w:val="center"/>
          </w:tcPr>
          <w:p w14:paraId="4C75ACEC">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测评指标描述</w:t>
            </w:r>
          </w:p>
        </w:tc>
      </w:tr>
      <w:tr w14:paraId="2C4E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26A14931">
            <w:pPr>
              <w:pStyle w:val="6"/>
              <w:widowControl w:val="0"/>
              <w:numPr>
                <w:ilvl w:val="0"/>
                <w:numId w:val="9"/>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661C4EF5">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定级和备案</w:t>
            </w:r>
          </w:p>
        </w:tc>
        <w:tc>
          <w:tcPr>
            <w:tcW w:w="3745" w:type="pct"/>
            <w:tcBorders>
              <w:top w:val="single" w:color="auto" w:sz="4" w:space="0"/>
              <w:left w:val="single" w:color="auto" w:sz="4" w:space="0"/>
              <w:bottom w:val="single" w:color="auto" w:sz="4" w:space="0"/>
              <w:right w:val="single" w:color="auto" w:sz="4" w:space="0"/>
            </w:tcBorders>
            <w:vAlign w:val="center"/>
          </w:tcPr>
          <w:p w14:paraId="794896CC">
            <w:pPr>
              <w:jc w:val="left"/>
              <w:rPr>
                <w:rFonts w:ascii="仿宋" w:hAnsi="仿宋" w:eastAsia="仿宋" w:cs="仿宋"/>
                <w:color w:val="000000"/>
                <w:sz w:val="20"/>
                <w:szCs w:val="20"/>
              </w:rPr>
            </w:pPr>
            <w:r>
              <w:rPr>
                <w:rFonts w:hint="eastAsia" w:ascii="仿宋" w:hAnsi="仿宋" w:eastAsia="仿宋" w:cs="仿宋"/>
                <w:color w:val="000000"/>
                <w:sz w:val="20"/>
                <w:szCs w:val="20"/>
              </w:rPr>
              <w:t>测评是否按照一定要求确定系统的安全等级并完成备案工作。</w:t>
            </w:r>
          </w:p>
        </w:tc>
      </w:tr>
      <w:tr w14:paraId="4D7F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3C88624A">
            <w:pPr>
              <w:pStyle w:val="6"/>
              <w:widowControl w:val="0"/>
              <w:numPr>
                <w:ilvl w:val="0"/>
                <w:numId w:val="9"/>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1A391BE2">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安全方案设计</w:t>
            </w:r>
          </w:p>
        </w:tc>
        <w:tc>
          <w:tcPr>
            <w:tcW w:w="3745" w:type="pct"/>
            <w:tcBorders>
              <w:top w:val="single" w:color="auto" w:sz="4" w:space="0"/>
              <w:left w:val="single" w:color="auto" w:sz="4" w:space="0"/>
              <w:bottom w:val="single" w:color="auto" w:sz="4" w:space="0"/>
              <w:right w:val="single" w:color="auto" w:sz="4" w:space="0"/>
            </w:tcBorders>
            <w:vAlign w:val="center"/>
          </w:tcPr>
          <w:p w14:paraId="676C34C7">
            <w:pPr>
              <w:jc w:val="left"/>
              <w:rPr>
                <w:rFonts w:ascii="仿宋" w:hAnsi="仿宋" w:eastAsia="仿宋" w:cs="仿宋"/>
                <w:color w:val="000000"/>
                <w:sz w:val="20"/>
                <w:szCs w:val="20"/>
              </w:rPr>
            </w:pPr>
            <w:r>
              <w:rPr>
                <w:rFonts w:hint="eastAsia" w:ascii="仿宋" w:hAnsi="仿宋" w:eastAsia="仿宋" w:cs="仿宋"/>
                <w:color w:val="000000"/>
                <w:sz w:val="20"/>
                <w:szCs w:val="20"/>
              </w:rPr>
              <w:t>测评系统整体的安全规划设计是否按照一定流程进行。</w:t>
            </w:r>
          </w:p>
        </w:tc>
      </w:tr>
      <w:tr w14:paraId="6AB9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54EDD75C">
            <w:pPr>
              <w:pStyle w:val="6"/>
              <w:widowControl w:val="0"/>
              <w:numPr>
                <w:ilvl w:val="0"/>
                <w:numId w:val="9"/>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2E9924BE">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产品采购和使用</w:t>
            </w:r>
          </w:p>
        </w:tc>
        <w:tc>
          <w:tcPr>
            <w:tcW w:w="3745" w:type="pct"/>
            <w:tcBorders>
              <w:top w:val="single" w:color="auto" w:sz="4" w:space="0"/>
              <w:left w:val="single" w:color="auto" w:sz="4" w:space="0"/>
              <w:bottom w:val="single" w:color="auto" w:sz="4" w:space="0"/>
              <w:right w:val="single" w:color="auto" w:sz="4" w:space="0"/>
            </w:tcBorders>
            <w:vAlign w:val="center"/>
          </w:tcPr>
          <w:p w14:paraId="12EE8FD7">
            <w:pPr>
              <w:jc w:val="left"/>
              <w:rPr>
                <w:rFonts w:ascii="仿宋" w:hAnsi="仿宋" w:eastAsia="仿宋" w:cs="仿宋"/>
                <w:color w:val="000000"/>
                <w:sz w:val="20"/>
                <w:szCs w:val="20"/>
              </w:rPr>
            </w:pPr>
            <w:r>
              <w:rPr>
                <w:rFonts w:hint="eastAsia" w:ascii="仿宋" w:hAnsi="仿宋" w:eastAsia="仿宋" w:cs="仿宋"/>
                <w:color w:val="000000"/>
                <w:sz w:val="20"/>
                <w:szCs w:val="20"/>
              </w:rPr>
              <w:t>测评是否按照一定的要求进行系统的产品采购。</w:t>
            </w:r>
          </w:p>
        </w:tc>
      </w:tr>
      <w:tr w14:paraId="4B39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491AB722">
            <w:pPr>
              <w:pStyle w:val="6"/>
              <w:widowControl w:val="0"/>
              <w:numPr>
                <w:ilvl w:val="0"/>
                <w:numId w:val="9"/>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2838F980">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自行软件开发</w:t>
            </w:r>
          </w:p>
        </w:tc>
        <w:tc>
          <w:tcPr>
            <w:tcW w:w="3745" w:type="pct"/>
            <w:tcBorders>
              <w:top w:val="single" w:color="auto" w:sz="4" w:space="0"/>
              <w:left w:val="single" w:color="auto" w:sz="4" w:space="0"/>
              <w:bottom w:val="single" w:color="auto" w:sz="4" w:space="0"/>
              <w:right w:val="single" w:color="auto" w:sz="4" w:space="0"/>
            </w:tcBorders>
            <w:vAlign w:val="center"/>
          </w:tcPr>
          <w:p w14:paraId="19152FDC">
            <w:pPr>
              <w:jc w:val="left"/>
              <w:rPr>
                <w:rFonts w:ascii="仿宋" w:hAnsi="仿宋" w:eastAsia="仿宋" w:cs="仿宋"/>
                <w:color w:val="000000"/>
                <w:sz w:val="20"/>
                <w:szCs w:val="20"/>
              </w:rPr>
            </w:pPr>
            <w:r>
              <w:rPr>
                <w:rFonts w:hint="eastAsia" w:ascii="仿宋" w:hAnsi="仿宋" w:eastAsia="仿宋" w:cs="仿宋"/>
                <w:color w:val="000000"/>
                <w:sz w:val="20"/>
                <w:szCs w:val="20"/>
              </w:rPr>
              <w:t>测评自行开发的软件是否采取必要的措施保证开发过程的安全性。</w:t>
            </w:r>
          </w:p>
        </w:tc>
      </w:tr>
      <w:tr w14:paraId="7190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58C2A726">
            <w:pPr>
              <w:pStyle w:val="6"/>
              <w:widowControl w:val="0"/>
              <w:numPr>
                <w:ilvl w:val="0"/>
                <w:numId w:val="9"/>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7E84BFCB">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外包软件开发</w:t>
            </w:r>
          </w:p>
        </w:tc>
        <w:tc>
          <w:tcPr>
            <w:tcW w:w="3745" w:type="pct"/>
            <w:tcBorders>
              <w:top w:val="single" w:color="auto" w:sz="4" w:space="0"/>
              <w:left w:val="single" w:color="auto" w:sz="4" w:space="0"/>
              <w:bottom w:val="single" w:color="auto" w:sz="4" w:space="0"/>
              <w:right w:val="single" w:color="auto" w:sz="4" w:space="0"/>
            </w:tcBorders>
            <w:vAlign w:val="center"/>
          </w:tcPr>
          <w:p w14:paraId="361A3C4F">
            <w:pPr>
              <w:jc w:val="left"/>
              <w:rPr>
                <w:rFonts w:ascii="仿宋" w:hAnsi="仿宋" w:eastAsia="仿宋" w:cs="仿宋"/>
                <w:color w:val="000000"/>
                <w:sz w:val="20"/>
                <w:szCs w:val="20"/>
              </w:rPr>
            </w:pPr>
            <w:r>
              <w:rPr>
                <w:rFonts w:hint="eastAsia" w:ascii="仿宋" w:hAnsi="仿宋" w:eastAsia="仿宋" w:cs="仿宋"/>
                <w:color w:val="000000"/>
                <w:sz w:val="20"/>
                <w:szCs w:val="20"/>
              </w:rPr>
              <w:t>测评外包开发的软件是否采取必要的措施保证开发过程的安全性和日后的维护工作能够正常开展。</w:t>
            </w:r>
          </w:p>
        </w:tc>
      </w:tr>
      <w:tr w14:paraId="14D8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4A7ED4B0">
            <w:pPr>
              <w:pStyle w:val="6"/>
              <w:widowControl w:val="0"/>
              <w:numPr>
                <w:ilvl w:val="0"/>
                <w:numId w:val="9"/>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23EA5073">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工程实施</w:t>
            </w:r>
          </w:p>
        </w:tc>
        <w:tc>
          <w:tcPr>
            <w:tcW w:w="3745" w:type="pct"/>
            <w:tcBorders>
              <w:top w:val="single" w:color="auto" w:sz="4" w:space="0"/>
              <w:left w:val="single" w:color="auto" w:sz="4" w:space="0"/>
              <w:bottom w:val="single" w:color="auto" w:sz="4" w:space="0"/>
              <w:right w:val="single" w:color="auto" w:sz="4" w:space="0"/>
            </w:tcBorders>
            <w:vAlign w:val="center"/>
          </w:tcPr>
          <w:p w14:paraId="2827D4A0">
            <w:pPr>
              <w:jc w:val="left"/>
              <w:rPr>
                <w:rFonts w:ascii="仿宋" w:hAnsi="仿宋" w:eastAsia="仿宋" w:cs="仿宋"/>
                <w:color w:val="000000"/>
                <w:sz w:val="20"/>
                <w:szCs w:val="20"/>
              </w:rPr>
            </w:pPr>
            <w:r>
              <w:rPr>
                <w:rFonts w:hint="eastAsia" w:ascii="仿宋" w:hAnsi="仿宋" w:eastAsia="仿宋" w:cs="仿宋"/>
                <w:color w:val="000000"/>
                <w:sz w:val="20"/>
                <w:szCs w:val="20"/>
              </w:rPr>
              <w:t>测评系统建设的实施过程是否采取必要的措施使其在机构可控的范围内进行。</w:t>
            </w:r>
          </w:p>
        </w:tc>
      </w:tr>
      <w:tr w14:paraId="0E16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1585BF31">
            <w:pPr>
              <w:pStyle w:val="6"/>
              <w:widowControl w:val="0"/>
              <w:numPr>
                <w:ilvl w:val="0"/>
                <w:numId w:val="9"/>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1F1D6959">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测试验收</w:t>
            </w:r>
          </w:p>
        </w:tc>
        <w:tc>
          <w:tcPr>
            <w:tcW w:w="3745" w:type="pct"/>
            <w:tcBorders>
              <w:top w:val="single" w:color="auto" w:sz="4" w:space="0"/>
              <w:left w:val="single" w:color="auto" w:sz="4" w:space="0"/>
              <w:bottom w:val="single" w:color="auto" w:sz="4" w:space="0"/>
              <w:right w:val="single" w:color="auto" w:sz="4" w:space="0"/>
            </w:tcBorders>
            <w:vAlign w:val="center"/>
          </w:tcPr>
          <w:p w14:paraId="6A3EB1AC">
            <w:pPr>
              <w:jc w:val="left"/>
              <w:rPr>
                <w:rFonts w:ascii="仿宋" w:hAnsi="仿宋" w:eastAsia="仿宋" w:cs="仿宋"/>
                <w:color w:val="000000"/>
                <w:sz w:val="20"/>
                <w:szCs w:val="20"/>
              </w:rPr>
            </w:pPr>
            <w:r>
              <w:rPr>
                <w:rFonts w:hint="eastAsia" w:ascii="仿宋" w:hAnsi="仿宋" w:eastAsia="仿宋" w:cs="仿宋"/>
                <w:color w:val="000000"/>
                <w:sz w:val="20"/>
                <w:szCs w:val="20"/>
              </w:rPr>
              <w:t>测评系统运行前是否对其进行测试验收工作。</w:t>
            </w:r>
          </w:p>
        </w:tc>
      </w:tr>
      <w:tr w14:paraId="0164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58C35CC4">
            <w:pPr>
              <w:pStyle w:val="6"/>
              <w:widowControl w:val="0"/>
              <w:numPr>
                <w:ilvl w:val="0"/>
                <w:numId w:val="9"/>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36502E5C">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系统交付</w:t>
            </w:r>
          </w:p>
        </w:tc>
        <w:tc>
          <w:tcPr>
            <w:tcW w:w="3745" w:type="pct"/>
            <w:tcBorders>
              <w:top w:val="single" w:color="auto" w:sz="4" w:space="0"/>
              <w:left w:val="single" w:color="auto" w:sz="4" w:space="0"/>
              <w:bottom w:val="single" w:color="auto" w:sz="4" w:space="0"/>
              <w:right w:val="single" w:color="auto" w:sz="4" w:space="0"/>
            </w:tcBorders>
            <w:vAlign w:val="center"/>
          </w:tcPr>
          <w:p w14:paraId="073319FA">
            <w:pPr>
              <w:jc w:val="left"/>
              <w:rPr>
                <w:rFonts w:ascii="仿宋" w:hAnsi="仿宋" w:eastAsia="仿宋" w:cs="仿宋"/>
                <w:color w:val="000000"/>
                <w:sz w:val="20"/>
                <w:szCs w:val="20"/>
              </w:rPr>
            </w:pPr>
            <w:r>
              <w:rPr>
                <w:rFonts w:hint="eastAsia" w:ascii="仿宋" w:hAnsi="仿宋" w:eastAsia="仿宋" w:cs="仿宋"/>
                <w:color w:val="000000"/>
                <w:sz w:val="20"/>
                <w:szCs w:val="20"/>
              </w:rPr>
              <w:t>测评是否采取必要的措施对系统交付过程进行有效控制。</w:t>
            </w:r>
          </w:p>
        </w:tc>
      </w:tr>
      <w:tr w14:paraId="3432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346F2AC5">
            <w:pPr>
              <w:pStyle w:val="6"/>
              <w:widowControl w:val="0"/>
              <w:numPr>
                <w:ilvl w:val="0"/>
                <w:numId w:val="9"/>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2A10236B">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等级测评</w:t>
            </w:r>
          </w:p>
        </w:tc>
        <w:tc>
          <w:tcPr>
            <w:tcW w:w="3745" w:type="pct"/>
            <w:tcBorders>
              <w:top w:val="single" w:color="auto" w:sz="4" w:space="0"/>
              <w:left w:val="single" w:color="auto" w:sz="4" w:space="0"/>
              <w:bottom w:val="single" w:color="auto" w:sz="4" w:space="0"/>
              <w:right w:val="single" w:color="auto" w:sz="4" w:space="0"/>
            </w:tcBorders>
            <w:vAlign w:val="center"/>
          </w:tcPr>
          <w:p w14:paraId="0AF249E7">
            <w:pPr>
              <w:jc w:val="left"/>
              <w:rPr>
                <w:rFonts w:ascii="仿宋" w:hAnsi="仿宋" w:eastAsia="仿宋" w:cs="仿宋"/>
                <w:color w:val="000000"/>
                <w:sz w:val="20"/>
                <w:szCs w:val="20"/>
              </w:rPr>
            </w:pPr>
            <w:r>
              <w:rPr>
                <w:rFonts w:hint="eastAsia" w:ascii="仿宋" w:hAnsi="仿宋" w:eastAsia="仿宋" w:cs="仿宋"/>
                <w:color w:val="000000"/>
                <w:sz w:val="20"/>
                <w:szCs w:val="20"/>
              </w:rPr>
              <w:t>测评是否依据国家要求完成等级测评和整改工作。</w:t>
            </w:r>
          </w:p>
        </w:tc>
      </w:tr>
      <w:tr w14:paraId="791B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05842C90">
            <w:pPr>
              <w:pStyle w:val="6"/>
              <w:widowControl w:val="0"/>
              <w:numPr>
                <w:ilvl w:val="0"/>
                <w:numId w:val="9"/>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378A9C57">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服务供应商选择</w:t>
            </w:r>
          </w:p>
        </w:tc>
        <w:tc>
          <w:tcPr>
            <w:tcW w:w="3745" w:type="pct"/>
            <w:tcBorders>
              <w:top w:val="single" w:color="auto" w:sz="4" w:space="0"/>
              <w:left w:val="single" w:color="auto" w:sz="4" w:space="0"/>
              <w:bottom w:val="single" w:color="auto" w:sz="4" w:space="0"/>
              <w:right w:val="single" w:color="auto" w:sz="4" w:space="0"/>
            </w:tcBorders>
            <w:vAlign w:val="center"/>
          </w:tcPr>
          <w:p w14:paraId="4E3355C3">
            <w:pPr>
              <w:jc w:val="left"/>
              <w:rPr>
                <w:rFonts w:ascii="仿宋" w:hAnsi="仿宋" w:eastAsia="仿宋" w:cs="仿宋"/>
                <w:color w:val="000000"/>
                <w:sz w:val="20"/>
                <w:szCs w:val="20"/>
              </w:rPr>
            </w:pPr>
            <w:r>
              <w:rPr>
                <w:rFonts w:hint="eastAsia" w:ascii="仿宋" w:hAnsi="仿宋" w:eastAsia="仿宋" w:cs="仿宋"/>
                <w:color w:val="000000"/>
                <w:sz w:val="20"/>
                <w:szCs w:val="20"/>
              </w:rPr>
              <w:t>测评是否选择符合国家有关规定的安全服务单位进行相关的安全服务工作。</w:t>
            </w:r>
          </w:p>
        </w:tc>
      </w:tr>
    </w:tbl>
    <w:p w14:paraId="28F2A467">
      <w:pPr>
        <w:widowControl/>
        <w:jc w:val="center"/>
        <w:rPr>
          <w:rFonts w:ascii="仿宋" w:hAnsi="仿宋" w:eastAsia="仿宋" w:cs="仿宋"/>
          <w:b/>
          <w:bCs/>
          <w:sz w:val="20"/>
          <w:szCs w:val="20"/>
        </w:rPr>
      </w:pPr>
      <w:r>
        <w:rPr>
          <w:rFonts w:hint="eastAsia" w:ascii="仿宋" w:hAnsi="仿宋" w:eastAsia="仿宋" w:cs="仿宋"/>
          <w:b/>
          <w:bCs/>
          <w:sz w:val="20"/>
          <w:szCs w:val="20"/>
        </w:rPr>
        <w:t>表9-1安全建设管理测评指标描述</w:t>
      </w:r>
    </w:p>
    <w:p w14:paraId="425E85FC">
      <w:pPr>
        <w:widowControl/>
        <w:spacing w:line="597" w:lineRule="exact"/>
        <w:ind w:firstLine="643" w:firstLineChars="200"/>
        <w:jc w:val="left"/>
        <w:outlineLvl w:val="4"/>
        <w:rPr>
          <w:rFonts w:ascii="仿宋" w:hAnsi="仿宋" w:eastAsia="仿宋"/>
          <w:b/>
          <w:bCs/>
          <w:sz w:val="32"/>
          <w:szCs w:val="32"/>
        </w:rPr>
      </w:pPr>
      <w:r>
        <w:rPr>
          <w:rFonts w:hint="eastAsia" w:ascii="仿宋" w:hAnsi="仿宋" w:eastAsia="仿宋"/>
          <w:b/>
          <w:bCs/>
          <w:sz w:val="32"/>
          <w:szCs w:val="32"/>
        </w:rPr>
        <w:t>安全运维管理测评</w:t>
      </w:r>
    </w:p>
    <w:p w14:paraId="58B44B05">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管理人员测评主要涉及环境管理、资产管理、介质管理、设备维护管理、漏洞和风险管理、网络和系统安全管理、恶意代码防范管理、配置管理、密码管理、变更管理、备份与恢复管理、安全事件处置、应急预案管理、外包运维管理14个方面的安全保护能力，具体测评指标描述如下表所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27"/>
        <w:gridCol w:w="1500"/>
        <w:gridCol w:w="6349"/>
      </w:tblGrid>
      <w:tr w14:paraId="054F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70" w:type="pct"/>
            <w:tcBorders>
              <w:top w:val="single" w:color="auto" w:sz="4" w:space="0"/>
              <w:left w:val="single" w:color="auto" w:sz="4" w:space="0"/>
              <w:bottom w:val="single" w:color="auto" w:sz="4" w:space="0"/>
              <w:right w:val="single" w:color="auto" w:sz="4" w:space="0"/>
            </w:tcBorders>
            <w:shd w:val="clear" w:color="auto" w:fill="A6A6A6"/>
            <w:vAlign w:val="center"/>
          </w:tcPr>
          <w:p w14:paraId="508B0FC8">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序号</w:t>
            </w:r>
          </w:p>
        </w:tc>
        <w:tc>
          <w:tcPr>
            <w:tcW w:w="885" w:type="pct"/>
            <w:tcBorders>
              <w:top w:val="single" w:color="auto" w:sz="4" w:space="0"/>
              <w:left w:val="single" w:color="auto" w:sz="4" w:space="0"/>
              <w:bottom w:val="single" w:color="auto" w:sz="4" w:space="0"/>
              <w:right w:val="single" w:color="auto" w:sz="4" w:space="0"/>
            </w:tcBorders>
            <w:shd w:val="clear" w:color="auto" w:fill="A6A6A6"/>
            <w:vAlign w:val="center"/>
          </w:tcPr>
          <w:p w14:paraId="501EF569">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安全子类</w:t>
            </w:r>
          </w:p>
        </w:tc>
        <w:tc>
          <w:tcPr>
            <w:tcW w:w="3745" w:type="pct"/>
            <w:tcBorders>
              <w:top w:val="single" w:color="auto" w:sz="4" w:space="0"/>
              <w:left w:val="single" w:color="auto" w:sz="4" w:space="0"/>
              <w:bottom w:val="single" w:color="auto" w:sz="4" w:space="0"/>
              <w:right w:val="single" w:color="auto" w:sz="4" w:space="0"/>
            </w:tcBorders>
            <w:shd w:val="clear" w:color="auto" w:fill="A6A6A6"/>
            <w:vAlign w:val="center"/>
          </w:tcPr>
          <w:p w14:paraId="6843B1D7">
            <w:pPr>
              <w:keepNext/>
              <w:widowControl/>
              <w:jc w:val="center"/>
              <w:rPr>
                <w:rFonts w:ascii="仿宋" w:hAnsi="仿宋" w:eastAsia="仿宋" w:cs="仿宋"/>
                <w:b/>
                <w:color w:val="000000"/>
                <w:sz w:val="20"/>
                <w:szCs w:val="20"/>
              </w:rPr>
            </w:pPr>
            <w:r>
              <w:rPr>
                <w:rFonts w:hint="eastAsia" w:ascii="仿宋" w:hAnsi="仿宋" w:eastAsia="仿宋" w:cs="仿宋"/>
                <w:b/>
                <w:color w:val="000000"/>
                <w:sz w:val="20"/>
                <w:szCs w:val="20"/>
              </w:rPr>
              <w:t>测评指标描述</w:t>
            </w:r>
          </w:p>
        </w:tc>
      </w:tr>
      <w:tr w14:paraId="287E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17740359">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54F92D3C">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环境管理</w:t>
            </w:r>
          </w:p>
        </w:tc>
        <w:tc>
          <w:tcPr>
            <w:tcW w:w="3745" w:type="pct"/>
            <w:tcBorders>
              <w:top w:val="single" w:color="auto" w:sz="4" w:space="0"/>
              <w:left w:val="single" w:color="auto" w:sz="4" w:space="0"/>
              <w:bottom w:val="single" w:color="auto" w:sz="4" w:space="0"/>
              <w:right w:val="single" w:color="auto" w:sz="4" w:space="0"/>
            </w:tcBorders>
            <w:vAlign w:val="center"/>
          </w:tcPr>
          <w:p w14:paraId="3ADDF410">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测评是否采取必要的措施对机房的出入控制以及办公环境的人员行为等方面进行安全管理。</w:t>
            </w:r>
          </w:p>
        </w:tc>
      </w:tr>
      <w:tr w14:paraId="072E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60B46BD4">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73ADFA7E">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资产管理</w:t>
            </w:r>
          </w:p>
        </w:tc>
        <w:tc>
          <w:tcPr>
            <w:tcW w:w="3745" w:type="pct"/>
            <w:tcBorders>
              <w:top w:val="single" w:color="auto" w:sz="4" w:space="0"/>
              <w:left w:val="single" w:color="auto" w:sz="4" w:space="0"/>
              <w:bottom w:val="single" w:color="auto" w:sz="4" w:space="0"/>
              <w:right w:val="single" w:color="auto" w:sz="4" w:space="0"/>
            </w:tcBorders>
            <w:vAlign w:val="center"/>
          </w:tcPr>
          <w:p w14:paraId="4FEA3208">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测评是否采取必要的措施对系统的资产进行分类标识管理。</w:t>
            </w:r>
          </w:p>
        </w:tc>
      </w:tr>
      <w:tr w14:paraId="7EC7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4236B4F9">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5564F6A9">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介质管理</w:t>
            </w:r>
          </w:p>
        </w:tc>
        <w:tc>
          <w:tcPr>
            <w:tcW w:w="3745" w:type="pct"/>
            <w:tcBorders>
              <w:top w:val="single" w:color="auto" w:sz="4" w:space="0"/>
              <w:left w:val="single" w:color="auto" w:sz="4" w:space="0"/>
              <w:bottom w:val="single" w:color="auto" w:sz="4" w:space="0"/>
              <w:right w:val="single" w:color="auto" w:sz="4" w:space="0"/>
            </w:tcBorders>
            <w:vAlign w:val="center"/>
          </w:tcPr>
          <w:p w14:paraId="4E8B3C11">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测评是否采取必要的措施对介质存放环境、使用、维护和销毁等方面进行管理。</w:t>
            </w:r>
          </w:p>
        </w:tc>
      </w:tr>
      <w:tr w14:paraId="09EC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42DFAE04">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0E05DF71">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设备维护管理</w:t>
            </w:r>
          </w:p>
        </w:tc>
        <w:tc>
          <w:tcPr>
            <w:tcW w:w="3745" w:type="pct"/>
            <w:tcBorders>
              <w:top w:val="single" w:color="auto" w:sz="4" w:space="0"/>
              <w:left w:val="single" w:color="auto" w:sz="4" w:space="0"/>
              <w:bottom w:val="single" w:color="auto" w:sz="4" w:space="0"/>
              <w:right w:val="single" w:color="auto" w:sz="4" w:space="0"/>
            </w:tcBorders>
            <w:vAlign w:val="center"/>
          </w:tcPr>
          <w:p w14:paraId="4F114F16">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测评是否采取必要的措施确保设备在使用、维护和销毁等过程安全。</w:t>
            </w:r>
          </w:p>
        </w:tc>
      </w:tr>
      <w:tr w14:paraId="08FF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77DE2A04">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1A79FAD1">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漏洞和风险管理</w:t>
            </w:r>
          </w:p>
        </w:tc>
        <w:tc>
          <w:tcPr>
            <w:tcW w:w="3745" w:type="pct"/>
            <w:tcBorders>
              <w:top w:val="single" w:color="auto" w:sz="4" w:space="0"/>
              <w:left w:val="single" w:color="auto" w:sz="4" w:space="0"/>
              <w:bottom w:val="single" w:color="auto" w:sz="4" w:space="0"/>
              <w:right w:val="single" w:color="auto" w:sz="4" w:space="0"/>
            </w:tcBorders>
            <w:vAlign w:val="center"/>
          </w:tcPr>
          <w:p w14:paraId="5624DB64">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测评是否采取必要的措施识别安全漏洞和隐患，对发现的安全漏洞和隐患及时进行修补。测评是否定期开展安全测评。</w:t>
            </w:r>
          </w:p>
        </w:tc>
      </w:tr>
      <w:tr w14:paraId="075F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791303FB">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73DAD3AA">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网络和系统安全管理</w:t>
            </w:r>
          </w:p>
        </w:tc>
        <w:tc>
          <w:tcPr>
            <w:tcW w:w="3745" w:type="pct"/>
            <w:tcBorders>
              <w:top w:val="single" w:color="auto" w:sz="4" w:space="0"/>
              <w:left w:val="single" w:color="auto" w:sz="4" w:space="0"/>
              <w:bottom w:val="single" w:color="auto" w:sz="4" w:space="0"/>
              <w:right w:val="single" w:color="auto" w:sz="4" w:space="0"/>
            </w:tcBorders>
            <w:vAlign w:val="center"/>
          </w:tcPr>
          <w:p w14:paraId="455164C9">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测评是否采取必要的措施对网络和系统的安全配置、系统账户、漏洞扫描和审计日志等方面进行有效的管理。</w:t>
            </w:r>
          </w:p>
        </w:tc>
      </w:tr>
      <w:tr w14:paraId="3BA1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40A805C9">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363432C1">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恶意代码防范管理</w:t>
            </w:r>
          </w:p>
        </w:tc>
        <w:tc>
          <w:tcPr>
            <w:tcW w:w="3745" w:type="pct"/>
            <w:tcBorders>
              <w:top w:val="single" w:color="auto" w:sz="4" w:space="0"/>
              <w:left w:val="single" w:color="auto" w:sz="4" w:space="0"/>
              <w:bottom w:val="single" w:color="auto" w:sz="4" w:space="0"/>
              <w:right w:val="single" w:color="auto" w:sz="4" w:space="0"/>
            </w:tcBorders>
            <w:vAlign w:val="center"/>
          </w:tcPr>
          <w:p w14:paraId="470F9A25">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测评是否采取必要的措施对恶意代码进行有效管理，确保系统具有恶意代码防范能力。</w:t>
            </w:r>
          </w:p>
        </w:tc>
      </w:tr>
      <w:tr w14:paraId="750B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143E60AD">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6DD3F1CA">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配置管理</w:t>
            </w:r>
          </w:p>
        </w:tc>
        <w:tc>
          <w:tcPr>
            <w:tcW w:w="3745" w:type="pct"/>
            <w:tcBorders>
              <w:top w:val="single" w:color="auto" w:sz="4" w:space="0"/>
              <w:left w:val="single" w:color="auto" w:sz="4" w:space="0"/>
              <w:bottom w:val="single" w:color="auto" w:sz="4" w:space="0"/>
              <w:right w:val="single" w:color="auto" w:sz="4" w:space="0"/>
            </w:tcBorders>
            <w:vAlign w:val="center"/>
          </w:tcPr>
          <w:p w14:paraId="53D1E86F">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测评是否记录和保存系统的基本配置信息</w:t>
            </w:r>
          </w:p>
        </w:tc>
      </w:tr>
      <w:tr w14:paraId="754A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37163877">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6BB4EC06">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密码管理</w:t>
            </w:r>
          </w:p>
        </w:tc>
        <w:tc>
          <w:tcPr>
            <w:tcW w:w="3745" w:type="pct"/>
            <w:tcBorders>
              <w:top w:val="single" w:color="auto" w:sz="4" w:space="0"/>
              <w:left w:val="single" w:color="auto" w:sz="4" w:space="0"/>
              <w:bottom w:val="single" w:color="auto" w:sz="4" w:space="0"/>
              <w:right w:val="single" w:color="auto" w:sz="4" w:space="0"/>
            </w:tcBorders>
            <w:vAlign w:val="center"/>
          </w:tcPr>
          <w:p w14:paraId="0B4506A5">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测评是否能够确保信息系统中密码算法和密钥的使用符合国家密码管理规定。</w:t>
            </w:r>
          </w:p>
        </w:tc>
      </w:tr>
      <w:tr w14:paraId="7FCD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4CCFC5DA">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76758A7C">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变更管理</w:t>
            </w:r>
          </w:p>
        </w:tc>
        <w:tc>
          <w:tcPr>
            <w:tcW w:w="3745" w:type="pct"/>
            <w:tcBorders>
              <w:top w:val="single" w:color="auto" w:sz="4" w:space="0"/>
              <w:left w:val="single" w:color="auto" w:sz="4" w:space="0"/>
              <w:bottom w:val="single" w:color="auto" w:sz="4" w:space="0"/>
              <w:right w:val="single" w:color="auto" w:sz="4" w:space="0"/>
            </w:tcBorders>
            <w:vAlign w:val="center"/>
          </w:tcPr>
          <w:p w14:paraId="09EA3B28">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测评是否采取必要的措施对系统发生的变更进行有效管理。</w:t>
            </w:r>
          </w:p>
        </w:tc>
      </w:tr>
      <w:tr w14:paraId="51A2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322A98B2">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4062AB30">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备份与恢复管理</w:t>
            </w:r>
          </w:p>
        </w:tc>
        <w:tc>
          <w:tcPr>
            <w:tcW w:w="3745" w:type="pct"/>
            <w:tcBorders>
              <w:top w:val="single" w:color="auto" w:sz="4" w:space="0"/>
              <w:left w:val="single" w:color="auto" w:sz="4" w:space="0"/>
              <w:bottom w:val="single" w:color="auto" w:sz="4" w:space="0"/>
              <w:right w:val="single" w:color="auto" w:sz="4" w:space="0"/>
            </w:tcBorders>
            <w:vAlign w:val="center"/>
          </w:tcPr>
          <w:p w14:paraId="69233104">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测评是否采取必要的措施对重要业务信息，系统数据和系统软件进行备份，并确保必要时能够对这些数据有效地恢复。</w:t>
            </w:r>
          </w:p>
        </w:tc>
      </w:tr>
      <w:tr w14:paraId="3221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64DE025C">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3F5EF2D2">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安全事件处置</w:t>
            </w:r>
          </w:p>
        </w:tc>
        <w:tc>
          <w:tcPr>
            <w:tcW w:w="3745" w:type="pct"/>
            <w:tcBorders>
              <w:top w:val="single" w:color="auto" w:sz="4" w:space="0"/>
              <w:left w:val="single" w:color="auto" w:sz="4" w:space="0"/>
              <w:bottom w:val="single" w:color="auto" w:sz="4" w:space="0"/>
              <w:right w:val="single" w:color="auto" w:sz="4" w:space="0"/>
            </w:tcBorders>
            <w:vAlign w:val="center"/>
          </w:tcPr>
          <w:p w14:paraId="317D174C">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测评是否采取必要的措施对安全事件进行等级划分和对安全事件的报告、处理过程进行有效的管理。</w:t>
            </w:r>
          </w:p>
        </w:tc>
      </w:tr>
      <w:tr w14:paraId="70D1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151EBF7D">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2B48950E">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应急预案管理</w:t>
            </w:r>
          </w:p>
        </w:tc>
        <w:tc>
          <w:tcPr>
            <w:tcW w:w="3745" w:type="pct"/>
            <w:tcBorders>
              <w:top w:val="single" w:color="auto" w:sz="4" w:space="0"/>
              <w:left w:val="single" w:color="auto" w:sz="4" w:space="0"/>
              <w:bottom w:val="single" w:color="auto" w:sz="4" w:space="0"/>
              <w:right w:val="single" w:color="auto" w:sz="4" w:space="0"/>
            </w:tcBorders>
            <w:vAlign w:val="center"/>
          </w:tcPr>
          <w:p w14:paraId="7FD360EE">
            <w:pPr>
              <w:widowControl/>
              <w:rPr>
                <w:rFonts w:ascii="仿宋" w:hAnsi="仿宋" w:eastAsia="仿宋" w:cs="仿宋"/>
                <w:color w:val="000000"/>
                <w:sz w:val="20"/>
                <w:szCs w:val="20"/>
              </w:rPr>
            </w:pPr>
            <w:r>
              <w:rPr>
                <w:rFonts w:hint="eastAsia" w:ascii="仿宋" w:hAnsi="仿宋" w:eastAsia="仿宋" w:cs="仿宋"/>
                <w:color w:val="000000"/>
                <w:sz w:val="20"/>
                <w:szCs w:val="20"/>
              </w:rPr>
              <w:t>测评是否针对不同安全事件制定相应的应急预案，是否对应急预案展开培训、演练和审查等。</w:t>
            </w:r>
          </w:p>
        </w:tc>
      </w:tr>
      <w:tr w14:paraId="5270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6"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64432680">
            <w:pPr>
              <w:pStyle w:val="6"/>
              <w:widowControl w:val="0"/>
              <w:numPr>
                <w:ilvl w:val="0"/>
                <w:numId w:val="10"/>
              </w:numPr>
              <w:spacing w:before="0" w:beforeAutospacing="0" w:after="0" w:afterAutospacing="0"/>
              <w:jc w:val="center"/>
              <w:textAlignment w:val="center"/>
              <w:rPr>
                <w:rFonts w:ascii="仿宋" w:hAnsi="仿宋" w:eastAsia="仿宋" w:cs="仿宋"/>
                <w:sz w:val="20"/>
                <w:szCs w:val="20"/>
              </w:rPr>
            </w:pPr>
          </w:p>
        </w:tc>
        <w:tc>
          <w:tcPr>
            <w:tcW w:w="885" w:type="pct"/>
            <w:tcBorders>
              <w:top w:val="single" w:color="auto" w:sz="4" w:space="0"/>
              <w:left w:val="single" w:color="auto" w:sz="4" w:space="0"/>
              <w:bottom w:val="single" w:color="auto" w:sz="4" w:space="0"/>
              <w:right w:val="single" w:color="auto" w:sz="4" w:space="0"/>
            </w:tcBorders>
            <w:vAlign w:val="center"/>
          </w:tcPr>
          <w:p w14:paraId="785F609A">
            <w:pPr>
              <w:widowControl/>
              <w:jc w:val="center"/>
              <w:rPr>
                <w:rFonts w:ascii="仿宋" w:hAnsi="仿宋" w:eastAsia="仿宋" w:cs="仿宋"/>
                <w:color w:val="000000"/>
                <w:sz w:val="20"/>
                <w:szCs w:val="20"/>
              </w:rPr>
            </w:pPr>
            <w:r>
              <w:rPr>
                <w:rFonts w:hint="eastAsia" w:ascii="仿宋" w:hAnsi="仿宋" w:eastAsia="仿宋" w:cs="仿宋"/>
                <w:color w:val="000000"/>
                <w:sz w:val="20"/>
                <w:szCs w:val="20"/>
              </w:rPr>
              <w:t>外包运维管理</w:t>
            </w:r>
          </w:p>
        </w:tc>
        <w:tc>
          <w:tcPr>
            <w:tcW w:w="3745" w:type="pct"/>
            <w:tcBorders>
              <w:top w:val="single" w:color="auto" w:sz="4" w:space="0"/>
              <w:left w:val="single" w:color="auto" w:sz="4" w:space="0"/>
              <w:bottom w:val="single" w:color="auto" w:sz="4" w:space="0"/>
              <w:right w:val="single" w:color="auto" w:sz="4" w:space="0"/>
            </w:tcBorders>
            <w:vAlign w:val="center"/>
          </w:tcPr>
          <w:p w14:paraId="5FED2E8A">
            <w:pPr>
              <w:widowControl/>
              <w:rPr>
                <w:rFonts w:ascii="仿宋" w:hAnsi="仿宋" w:eastAsia="仿宋" w:cs="仿宋"/>
                <w:color w:val="000000"/>
                <w:sz w:val="20"/>
                <w:szCs w:val="20"/>
              </w:rPr>
            </w:pPr>
            <w:r>
              <w:rPr>
                <w:rFonts w:hint="eastAsia" w:ascii="仿宋" w:hAnsi="仿宋" w:eastAsia="仿宋" w:cs="仿宋"/>
                <w:color w:val="000000"/>
                <w:sz w:val="20"/>
                <w:szCs w:val="20"/>
              </w:rPr>
              <w:t>测评外包运维服务商的选择是否符合国家的有关规定并签订相关协议。</w:t>
            </w:r>
          </w:p>
        </w:tc>
      </w:tr>
    </w:tbl>
    <w:p w14:paraId="57CD05C7">
      <w:pPr>
        <w:widowControl/>
        <w:ind w:firstLine="402" w:firstLineChars="200"/>
        <w:jc w:val="center"/>
        <w:rPr>
          <w:rFonts w:ascii="仿宋" w:hAnsi="仿宋" w:eastAsia="仿宋" w:cs="仿宋"/>
          <w:b/>
          <w:bCs/>
          <w:sz w:val="20"/>
          <w:szCs w:val="20"/>
        </w:rPr>
      </w:pPr>
      <w:r>
        <w:rPr>
          <w:rFonts w:hint="eastAsia" w:ascii="仿宋" w:hAnsi="仿宋" w:eastAsia="仿宋" w:cs="仿宋"/>
          <w:b/>
          <w:bCs/>
          <w:sz w:val="20"/>
          <w:szCs w:val="20"/>
        </w:rPr>
        <w:t>表10-1安全运维管理测评指标描述</w:t>
      </w:r>
    </w:p>
    <w:p w14:paraId="163980B0">
      <w:pPr>
        <w:pStyle w:val="16"/>
        <w:widowControl/>
        <w:spacing w:line="597" w:lineRule="exact"/>
        <w:ind w:firstLine="640"/>
        <w:jc w:val="left"/>
        <w:outlineLvl w:val="2"/>
        <w:rPr>
          <w:rFonts w:ascii="仿宋" w:hAnsi="仿宋" w:eastAsia="仿宋" w:cs="仿宋"/>
          <w:b/>
          <w:bCs/>
          <w:sz w:val="32"/>
          <w:szCs w:val="32"/>
        </w:rPr>
      </w:pPr>
      <w:bookmarkStart w:id="6" w:name="_Toc16001"/>
      <w:bookmarkStart w:id="7" w:name="_Toc196840725"/>
      <w:bookmarkStart w:id="8" w:name="_Toc190696870"/>
      <w:r>
        <w:rPr>
          <w:rFonts w:hint="eastAsia" w:ascii="仿宋" w:hAnsi="仿宋" w:eastAsia="仿宋" w:cs="仿宋"/>
          <w:b/>
          <w:bCs/>
          <w:sz w:val="32"/>
          <w:szCs w:val="32"/>
        </w:rPr>
        <w:t>2.攻防演习防守服务</w:t>
      </w:r>
      <w:bookmarkEnd w:id="6"/>
      <w:bookmarkEnd w:id="7"/>
      <w:bookmarkEnd w:id="8"/>
    </w:p>
    <w:p w14:paraId="159C5914">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 xml:space="preserve">自查阶段：通过资产与风险暴露面梳理、安全扫描、渗透测试等手段为重保提供基础数据和攻击面总体安全态势，为后续重大活动提供决策依据，保证医疗秩序有序进行。 </w:t>
      </w:r>
    </w:p>
    <w:p w14:paraId="7264543B">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 xml:space="preserve">加固阶段：通过标准化的检查复核和协助清除已发现风险。主要包括一轮或多轮的专项安全检查工作进行反复的风险识别与加固工作。 </w:t>
      </w:r>
    </w:p>
    <w:p w14:paraId="67E825E3">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 xml:space="preserve">进阶阶段：推进实战工作部署，包括确认应急预案与演练各应急场景，可能的情况下组织开展实战攻防演习等工作，来检验前期工作成效，查缺补漏。 </w:t>
      </w:r>
    </w:p>
    <w:p w14:paraId="66DA7750">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保障阶段：安排技术人员现场监测值守，并配备应急响应队伍应急处突，防止对重大活动造成影响，同步提供总结与报告等服务。</w:t>
      </w:r>
    </w:p>
    <w:p w14:paraId="22605E1D">
      <w:pPr>
        <w:pStyle w:val="16"/>
        <w:widowControl/>
        <w:spacing w:line="597" w:lineRule="exact"/>
        <w:ind w:firstLine="640"/>
        <w:jc w:val="left"/>
        <w:outlineLvl w:val="2"/>
        <w:rPr>
          <w:rFonts w:ascii="仿宋" w:hAnsi="仿宋" w:eastAsia="仿宋" w:cs="仿宋"/>
          <w:b/>
          <w:bCs/>
          <w:sz w:val="32"/>
          <w:szCs w:val="32"/>
        </w:rPr>
      </w:pPr>
      <w:bookmarkStart w:id="9" w:name="_Toc190696879"/>
      <w:bookmarkStart w:id="10" w:name="_Toc196840727"/>
      <w:bookmarkStart w:id="11" w:name="_Toc4005"/>
      <w:r>
        <w:rPr>
          <w:rFonts w:hint="eastAsia" w:ascii="仿宋" w:hAnsi="仿宋" w:eastAsia="仿宋" w:cs="仿宋"/>
          <w:b/>
          <w:bCs/>
          <w:sz w:val="32"/>
          <w:szCs w:val="32"/>
        </w:rPr>
        <w:t>3.安全培训服务</w:t>
      </w:r>
      <w:bookmarkEnd w:id="9"/>
      <w:bookmarkEnd w:id="10"/>
      <w:bookmarkEnd w:id="11"/>
    </w:p>
    <w:p w14:paraId="6034E136">
      <w:pPr>
        <w:pStyle w:val="16"/>
        <w:widowControl/>
        <w:spacing w:line="597" w:lineRule="exact"/>
        <w:ind w:firstLine="640"/>
        <w:jc w:val="left"/>
        <w:outlineLvl w:val="2"/>
        <w:rPr>
          <w:rFonts w:ascii="仿宋" w:hAnsi="仿宋" w:eastAsia="仿宋" w:cs="仿宋"/>
          <w:b/>
          <w:bCs/>
          <w:sz w:val="32"/>
          <w:szCs w:val="32"/>
        </w:rPr>
      </w:pPr>
      <w:bookmarkStart w:id="12" w:name="_Toc190696881"/>
      <w:r>
        <w:rPr>
          <w:rFonts w:hint="eastAsia" w:ascii="仿宋" w:hAnsi="仿宋" w:eastAsia="仿宋" w:cs="仿宋"/>
          <w:b/>
          <w:bCs/>
          <w:sz w:val="32"/>
          <w:szCs w:val="32"/>
        </w:rPr>
        <w:t>3.1.安全意识培训</w:t>
      </w:r>
      <w:bookmarkEnd w:id="12"/>
    </w:p>
    <w:p w14:paraId="2B8E8D3E">
      <w:pPr>
        <w:widowControl/>
        <w:spacing w:line="597" w:lineRule="exact"/>
        <w:ind w:firstLine="643" w:firstLineChars="200"/>
        <w:jc w:val="left"/>
        <w:rPr>
          <w:rFonts w:ascii="仿宋" w:hAnsi="仿宋" w:eastAsia="仿宋"/>
          <w:b/>
          <w:bCs/>
          <w:sz w:val="32"/>
          <w:szCs w:val="32"/>
        </w:rPr>
      </w:pPr>
      <w:r>
        <w:rPr>
          <w:rFonts w:hint="eastAsia" w:ascii="仿宋" w:hAnsi="仿宋" w:eastAsia="仿宋"/>
          <w:b/>
          <w:bCs/>
          <w:sz w:val="32"/>
          <w:szCs w:val="32"/>
        </w:rPr>
        <w:t>（1）法律法规解读</w:t>
      </w:r>
    </w:p>
    <w:p w14:paraId="5D737748">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安全意识培训的首要环节是对相关法律法规的深入解读。所提供的培训内容涵盖了国家和地方关于安全的最新法律法规，包括但不限于《中华人民共和国网络安全法》、《中华人民共和国数据安全法》等。通过专业的安全服务专家，对法律法规进行详细解读，确保参训人员能够准确理解并遵守相关法律法规，从而在日常工作中避免触犯法律红线，降低法律风险。</w:t>
      </w:r>
    </w:p>
    <w:p w14:paraId="4144F051">
      <w:pPr>
        <w:widowControl/>
        <w:spacing w:line="597" w:lineRule="exact"/>
        <w:ind w:firstLine="643" w:firstLineChars="200"/>
        <w:jc w:val="left"/>
        <w:rPr>
          <w:rFonts w:ascii="仿宋" w:hAnsi="仿宋" w:eastAsia="仿宋"/>
          <w:b/>
          <w:bCs/>
          <w:sz w:val="32"/>
          <w:szCs w:val="32"/>
        </w:rPr>
      </w:pPr>
      <w:r>
        <w:rPr>
          <w:rFonts w:hint="eastAsia" w:ascii="仿宋" w:hAnsi="仿宋" w:eastAsia="仿宋"/>
          <w:b/>
          <w:bCs/>
          <w:sz w:val="32"/>
          <w:szCs w:val="32"/>
        </w:rPr>
        <w:t>（2）安全事件案例分析</w:t>
      </w:r>
    </w:p>
    <w:p w14:paraId="3B15F043">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通过分析安全事件案例，帮助参训人员从真实的事件中吸取教训，理解安全事件发生的背景、原因、过程以及造成的后果。通过案例学习，参训人员能够更加直观地认识到安全意识的重要性，从而在实际工作中时刻保持警惕，预防类似事件的发生。</w:t>
      </w:r>
    </w:p>
    <w:p w14:paraId="1F427701">
      <w:pPr>
        <w:pStyle w:val="16"/>
        <w:widowControl/>
        <w:spacing w:line="597" w:lineRule="exact"/>
        <w:ind w:firstLine="640"/>
        <w:jc w:val="left"/>
        <w:outlineLvl w:val="2"/>
        <w:rPr>
          <w:rFonts w:ascii="仿宋" w:hAnsi="仿宋" w:eastAsia="仿宋" w:cs="仿宋"/>
          <w:b/>
          <w:bCs/>
          <w:sz w:val="32"/>
          <w:szCs w:val="32"/>
        </w:rPr>
      </w:pPr>
      <w:bookmarkStart w:id="13" w:name="_Toc190696882"/>
      <w:r>
        <w:rPr>
          <w:rFonts w:hint="eastAsia" w:ascii="仿宋" w:hAnsi="仿宋" w:eastAsia="仿宋" w:cs="仿宋"/>
          <w:b/>
          <w:bCs/>
          <w:sz w:val="32"/>
          <w:szCs w:val="32"/>
        </w:rPr>
        <w:t>3.2.安全技术培训</w:t>
      </w:r>
      <w:bookmarkEnd w:id="13"/>
    </w:p>
    <w:p w14:paraId="5B7CF7A9">
      <w:pPr>
        <w:widowControl/>
        <w:spacing w:line="597" w:lineRule="exact"/>
        <w:ind w:firstLine="643" w:firstLineChars="200"/>
        <w:jc w:val="left"/>
        <w:rPr>
          <w:rFonts w:ascii="仿宋" w:hAnsi="仿宋" w:eastAsia="仿宋"/>
          <w:b/>
          <w:bCs/>
          <w:sz w:val="32"/>
          <w:szCs w:val="32"/>
        </w:rPr>
      </w:pPr>
      <w:r>
        <w:rPr>
          <w:rFonts w:hint="eastAsia" w:ascii="仿宋" w:hAnsi="仿宋" w:eastAsia="仿宋"/>
          <w:b/>
          <w:bCs/>
          <w:sz w:val="32"/>
          <w:szCs w:val="32"/>
        </w:rPr>
        <w:t>（1）渗透技术培训</w:t>
      </w:r>
    </w:p>
    <w:p w14:paraId="3A798905">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在安全技术培训方面，应提供专业的渗透技术培训。渗透测试是一种安全评估方法，通过模拟黑客攻击的方式，评估计算机系统、网络或Web应用的安全性。培训课程应涵盖渗透测试的整个流程，包括信息收集、漏洞分析、攻击模拟等环节。通过实际操作和案例分析，参训人员将掌握如何发现和利用系统漏洞，以及如何采取有效措施进行防范。</w:t>
      </w:r>
    </w:p>
    <w:p w14:paraId="62651205">
      <w:pPr>
        <w:widowControl/>
        <w:spacing w:line="597" w:lineRule="exact"/>
        <w:ind w:firstLine="643" w:firstLineChars="200"/>
        <w:jc w:val="left"/>
        <w:rPr>
          <w:rFonts w:ascii="仿宋" w:hAnsi="仿宋" w:eastAsia="仿宋"/>
          <w:b/>
          <w:bCs/>
          <w:sz w:val="32"/>
          <w:szCs w:val="32"/>
        </w:rPr>
      </w:pPr>
      <w:r>
        <w:rPr>
          <w:rFonts w:hint="eastAsia" w:ascii="仿宋" w:hAnsi="仿宋" w:eastAsia="仿宋"/>
          <w:b/>
          <w:bCs/>
          <w:sz w:val="32"/>
          <w:szCs w:val="32"/>
        </w:rPr>
        <w:t>（2）应急技术培训</w:t>
      </w:r>
    </w:p>
    <w:p w14:paraId="689A2A14">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应急技术是处理突发事件和安全危机的关键技术。课程旨在教授参训人员如何在面对安全事件时迅速做出反应，采取有效的应急措施。内容包括但不限于应急响应流程、事故调查与分析、数据恢复、系统重建等。通过模拟演练和实战训练，参训人员将能够熟练掌握应急处置技能，确保在真实的安全事件中能够最大限度地减少损失。</w:t>
      </w:r>
    </w:p>
    <w:p w14:paraId="3647EE3A">
      <w:pPr>
        <w:pStyle w:val="16"/>
        <w:widowControl/>
        <w:spacing w:line="597" w:lineRule="exact"/>
        <w:ind w:firstLine="640"/>
        <w:jc w:val="left"/>
        <w:outlineLvl w:val="2"/>
        <w:rPr>
          <w:rFonts w:ascii="仿宋" w:hAnsi="仿宋" w:eastAsia="仿宋" w:cs="仿宋"/>
          <w:b/>
          <w:bCs/>
          <w:sz w:val="32"/>
          <w:szCs w:val="32"/>
        </w:rPr>
      </w:pPr>
      <w:bookmarkStart w:id="14" w:name="_Toc190696890"/>
      <w:bookmarkStart w:id="15" w:name="_Toc7490"/>
      <w:bookmarkStart w:id="16" w:name="_Toc196840728"/>
      <w:r>
        <w:rPr>
          <w:rFonts w:hint="eastAsia" w:ascii="仿宋" w:hAnsi="仿宋" w:eastAsia="仿宋" w:cs="仿宋"/>
          <w:b/>
          <w:bCs/>
          <w:sz w:val="32"/>
          <w:szCs w:val="32"/>
        </w:rPr>
        <w:t>4.数据分级分类服务</w:t>
      </w:r>
      <w:bookmarkEnd w:id="14"/>
      <w:bookmarkEnd w:id="15"/>
      <w:bookmarkEnd w:id="16"/>
    </w:p>
    <w:p w14:paraId="0941946A">
      <w:pPr>
        <w:pStyle w:val="16"/>
        <w:widowControl/>
        <w:spacing w:line="597" w:lineRule="exact"/>
        <w:ind w:firstLine="640"/>
        <w:jc w:val="left"/>
        <w:outlineLvl w:val="2"/>
        <w:rPr>
          <w:rFonts w:ascii="仿宋" w:hAnsi="仿宋" w:eastAsia="仿宋" w:cs="仿宋"/>
          <w:b/>
          <w:bCs/>
          <w:sz w:val="32"/>
          <w:szCs w:val="32"/>
        </w:rPr>
      </w:pPr>
      <w:r>
        <w:rPr>
          <w:rFonts w:hint="eastAsia" w:ascii="仿宋" w:hAnsi="仿宋" w:eastAsia="仿宋" w:cs="仿宋"/>
          <w:b/>
          <w:bCs/>
          <w:sz w:val="32"/>
          <w:szCs w:val="32"/>
        </w:rPr>
        <w:t>4.1概述</w:t>
      </w:r>
    </w:p>
    <w:p w14:paraId="77BAEF87">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数据资产作为一种无形资产，需要经过系统化的识别与定义之后才能够成为数据安全管控的对象，依据GB/T 37988-2019数据安全能力模型针对数据生命周期安全的定义，数据分类分级是数据采集安全过程域的第一个基本实践，是数据生命周期安全管理的第一步，经有数据分类分级确定了数据类别与级别的数据在其生命周期中的各个环节才具备落实安全控制措施的可能。</w:t>
      </w:r>
    </w:p>
    <w:p w14:paraId="0200C099">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 xml:space="preserve">近年来，随着信息技术进步与医疗信息化系统应用程度进一步加深，我院沉淀了大量医疗数据。一方面，需要有效甄别合理化的数据使用需求，明确关键环节的技术标准，确定使用新型技术的范围；另一方面需要结合医疗行业发展变化，有效识别新增风险隐患，持续加强数据安全管理，建立健全数据管理制度，采取必要的数据安全防护措施，切实维护系统安全运行。 </w:t>
      </w:r>
    </w:p>
    <w:p w14:paraId="540E2882">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采用规范的数据分类、分级方法，有助于我院理清数据资产、确定数据重要性或敏感度，并针对性地采取适当、合理的管理措施和安全防护措施，形成一套科学、规范的数据资产管理与保护机制，从而在保证数据安全的基础上促进数据开放共享。</w:t>
      </w:r>
    </w:p>
    <w:p w14:paraId="0B5FD180">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（1）数据管理混乱问题</w:t>
      </w:r>
    </w:p>
    <w:p w14:paraId="19370148">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我院数据种类繁多、来源广泛，通过数据分类分级，可按照业务、类别、性质等维度对数据进行梳理归类，再进一步划分级别。使数据有序化，提高数据查找、使用和维护的效率，降低数据管理成本。</w:t>
      </w:r>
    </w:p>
    <w:p w14:paraId="64241772">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（2）数据安全风险问题</w:t>
      </w:r>
    </w:p>
    <w:p w14:paraId="4A82B1A5">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不同类型和级别的数据面临的安全风险不同，若采用统一的安全防护措施，要么存在防护不足导致数据泄露，要么造成资源浪费。数据分类分级后，可针对不同级别的数据制定差异化的安全策略。对于高敏感级别的数据，实施严格的访问控制、加密传输和存储等措施；对于低敏感级别的数据，可适当简化安全措施。这有效降低数据泄露、篡改等安全风险，保护我院数据安全。</w:t>
      </w:r>
    </w:p>
    <w:p w14:paraId="53A7BBA5">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（3）合规遵从问题</w:t>
      </w:r>
    </w:p>
    <w:p w14:paraId="129BC34E">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数据分类分级有助于我院明确各类数据的合规要求，确保数据处理活动合法合规。例如，对于涉及个人信息的数据，按照相关法规进行严格管理和保护，避免因违规操作引发法律纠纷。</w:t>
      </w:r>
    </w:p>
    <w:p w14:paraId="28E8AFF5">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（4）数据共享与流通障碍问题</w:t>
      </w:r>
    </w:p>
    <w:p w14:paraId="217ADCCD">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在与卫健委、医保局、兄弟单位进行数据共享时，由于不清楚数据的敏感程度和使用限制，可能导致数据共享困难或过度共享。数据分类分级明确了数据的属性和使用范围，为数据共享提供指导。对于可以公开或共享的数据，可顺畅地进行流通和合作；对于受限数据，则在确保安全和合规的前提下进行有条件的共享，促进数据价值的最大化利用。</w:t>
      </w:r>
    </w:p>
    <w:p w14:paraId="6F778B18">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（5）数据价值挖掘不足问题</w:t>
      </w:r>
    </w:p>
    <w:p w14:paraId="5B7E610C">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我院拥有大量数据，但由于缺乏有效的管理和分类，难以准确识别和利用有价值的数据。通过数据分类分级，可清晰地了解数据的价值所在，优先对高价值数据进行深度分析和挖掘。</w:t>
      </w:r>
    </w:p>
    <w:p w14:paraId="426FDA2E">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（6）数据存储和处理成本问题</w:t>
      </w:r>
    </w:p>
    <w:p w14:paraId="6736B960">
      <w:pPr>
        <w:widowControl/>
        <w:spacing w:line="597" w:lineRule="exact"/>
        <w:ind w:firstLine="640" w:firstLineChars="200"/>
        <w:jc w:val="left"/>
        <w:rPr>
          <w:rFonts w:ascii="仿宋" w:hAnsi="仿宋" w:eastAsia="仿宋" w:cs="仿宋"/>
          <w:b/>
          <w:bCs/>
          <w:sz w:val="32"/>
          <w:szCs w:val="32"/>
        </w:rPr>
      </w:pPr>
      <w:r>
        <w:rPr>
          <w:rFonts w:hint="eastAsia" w:ascii="仿宋" w:hAnsi="仿宋" w:eastAsia="仿宋"/>
          <w:sz w:val="32"/>
          <w:szCs w:val="32"/>
        </w:rPr>
        <w:t>不合理的数据存储和处理方式会增加组织的成本。通过数据分类分级，可根据数据的重要性和使用频率，选择合适的存储介质和处理方式。对于重要且经常使用的高价值数据，采用高性能的存储设备和快速的处理算法；对于低频使用的历史数据或低价值数据，可采用低成本的存储方式。这在保证数据可用性的同时，降低数据存储和处理成本。</w:t>
      </w:r>
    </w:p>
    <w:p w14:paraId="4556879F">
      <w:pPr>
        <w:pStyle w:val="16"/>
        <w:widowControl/>
        <w:spacing w:line="597" w:lineRule="exact"/>
        <w:ind w:firstLine="640"/>
        <w:jc w:val="left"/>
        <w:outlineLvl w:val="3"/>
        <w:rPr>
          <w:rFonts w:ascii="仿宋" w:hAnsi="仿宋" w:eastAsia="仿宋" w:cs="仿宋"/>
          <w:b/>
          <w:bCs/>
          <w:sz w:val="32"/>
          <w:szCs w:val="32"/>
        </w:rPr>
      </w:pPr>
      <w:bookmarkStart w:id="17" w:name="_Toc190696895"/>
      <w:r>
        <w:rPr>
          <w:rFonts w:hint="eastAsia" w:ascii="仿宋" w:hAnsi="仿宋" w:eastAsia="仿宋" w:cs="仿宋"/>
          <w:b/>
          <w:bCs/>
          <w:sz w:val="32"/>
          <w:szCs w:val="32"/>
        </w:rPr>
        <w:t>4.2.数据分类分级方法</w:t>
      </w:r>
      <w:bookmarkEnd w:id="17"/>
    </w:p>
    <w:p w14:paraId="553D7232">
      <w:pPr>
        <w:widowControl/>
        <w:spacing w:line="597" w:lineRule="exact"/>
        <w:ind w:firstLine="643" w:firstLineChars="200"/>
        <w:jc w:val="left"/>
        <w:rPr>
          <w:rFonts w:ascii="仿宋" w:hAnsi="仿宋" w:eastAsia="仿宋"/>
          <w:sz w:val="32"/>
          <w:szCs w:val="32"/>
        </w:rPr>
      </w:pPr>
      <w:r>
        <w:rPr>
          <w:rFonts w:hint="eastAsia" w:ascii="仿宋" w:hAnsi="仿宋" w:eastAsia="仿宋"/>
          <w:b/>
          <w:bCs/>
          <w:sz w:val="32"/>
          <w:szCs w:val="32"/>
        </w:rPr>
        <w:t>线分类法：</w:t>
      </w:r>
      <w:r>
        <w:rPr>
          <w:rFonts w:hint="eastAsia" w:ascii="仿宋" w:hAnsi="仿宋" w:eastAsia="仿宋"/>
          <w:sz w:val="32"/>
          <w:szCs w:val="32"/>
        </w:rPr>
        <w:t>将分类对象按选定的若干个属性或特征，逐次分为若干层级，每个层级又分为若干类别。同一分支的同层级类别之间构成并列关系，不同层级类别之间构成隶属关系。同层级类别互不重复，互不交叉。</w:t>
      </w:r>
    </w:p>
    <w:p w14:paraId="689060BA">
      <w:pPr>
        <w:widowControl/>
        <w:spacing w:line="597" w:lineRule="exact"/>
        <w:ind w:firstLine="643" w:firstLineChars="200"/>
        <w:jc w:val="left"/>
        <w:rPr>
          <w:rFonts w:ascii="仿宋" w:hAnsi="仿宋" w:eastAsia="仿宋"/>
          <w:sz w:val="32"/>
          <w:szCs w:val="32"/>
        </w:rPr>
      </w:pPr>
      <w:r>
        <w:rPr>
          <w:rFonts w:hint="eastAsia" w:ascii="仿宋" w:hAnsi="仿宋" w:eastAsia="仿宋"/>
          <w:b/>
          <w:bCs/>
          <w:sz w:val="32"/>
          <w:szCs w:val="32"/>
        </w:rPr>
        <w:t>面分类法：</w:t>
      </w:r>
      <w:r>
        <w:rPr>
          <w:rFonts w:hint="eastAsia" w:ascii="仿宋" w:hAnsi="仿宋" w:eastAsia="仿宋"/>
          <w:sz w:val="32"/>
          <w:szCs w:val="32"/>
        </w:rPr>
        <w:t>将所选定的分类对象依据其本身的固有的各种属性或特征，分成相互之间没有隶属关系即彼此独立的面，每个面中都包含了一组类别。将某个面中的一种类别和另外的一个或多个面的一种类别组合在一起，可以组成一个复合类别。面分类法是并行化分类方式，同一层级可有多个分类维度。</w:t>
      </w:r>
    </w:p>
    <w:p w14:paraId="1A649765">
      <w:pPr>
        <w:widowControl/>
        <w:spacing w:line="597" w:lineRule="exact"/>
        <w:ind w:firstLine="643" w:firstLineChars="200"/>
        <w:jc w:val="left"/>
        <w:rPr>
          <w:sz w:val="32"/>
          <w:szCs w:val="32"/>
        </w:rPr>
      </w:pPr>
      <w:r>
        <w:rPr>
          <w:rFonts w:hint="eastAsia" w:ascii="仿宋" w:hAnsi="仿宋" w:eastAsia="仿宋"/>
          <w:b/>
          <w:bCs/>
          <w:sz w:val="32"/>
          <w:szCs w:val="32"/>
        </w:rPr>
        <w:t>混合分类法：</w:t>
      </w:r>
      <w:r>
        <w:rPr>
          <w:rFonts w:hint="eastAsia" w:ascii="仿宋" w:hAnsi="仿宋" w:eastAsia="仿宋"/>
          <w:sz w:val="32"/>
          <w:szCs w:val="32"/>
        </w:rPr>
        <w:t>将线分类法和面分类法组合使用，克服这两种基本方法的不足，得到更为合理的分类。混合分类法的特点是以其中一种分类方法为主，另一种做补充。</w:t>
      </w:r>
    </w:p>
    <w:p w14:paraId="352D221B">
      <w:pPr>
        <w:pStyle w:val="16"/>
        <w:widowControl/>
        <w:spacing w:line="597" w:lineRule="exact"/>
        <w:ind w:firstLine="640"/>
        <w:jc w:val="left"/>
        <w:outlineLvl w:val="3"/>
      </w:pPr>
      <w:bookmarkStart w:id="18" w:name="_Toc190696896"/>
      <w:r>
        <w:rPr>
          <w:rFonts w:hint="eastAsia" w:ascii="仿宋" w:hAnsi="仿宋" w:eastAsia="仿宋" w:cs="仿宋"/>
          <w:b/>
          <w:bCs/>
          <w:sz w:val="32"/>
          <w:szCs w:val="32"/>
        </w:rPr>
        <w:t>4.3.数据分级分类流程</w:t>
      </w:r>
      <w:bookmarkEnd w:id="18"/>
    </w:p>
    <w:p w14:paraId="596A379E">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第一阶段业务细分：按照业务线将各个业务进行细分，通过划分管理主体和管理范围，明确各管理部分有哪些子类业务；</w:t>
      </w:r>
    </w:p>
    <w:p w14:paraId="36D02129">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第二阶段数据归类：收集数据并编写成数据表</w:t>
      </w:r>
      <w:r>
        <w:rPr>
          <w:rFonts w:ascii="仿宋" w:hAnsi="仿宋" w:eastAsia="仿宋" w:cs="Times New Roman"/>
          <w:kern w:val="2"/>
          <w:sz w:val="32"/>
          <w:szCs w:val="32"/>
        </w:rPr>
        <w:t>/</w:t>
      </w:r>
      <w:r>
        <w:rPr>
          <w:rFonts w:hint="eastAsia" w:ascii="仿宋" w:hAnsi="仿宋" w:eastAsia="仿宋" w:cs="Times New Roman"/>
          <w:kern w:val="2"/>
          <w:sz w:val="32"/>
          <w:szCs w:val="32"/>
        </w:rPr>
        <w:t>数据项</w:t>
      </w:r>
      <w:r>
        <w:rPr>
          <w:rFonts w:ascii="仿宋" w:hAnsi="仿宋" w:eastAsia="仿宋" w:cs="Times New Roman"/>
          <w:kern w:val="2"/>
          <w:sz w:val="32"/>
          <w:szCs w:val="32"/>
        </w:rPr>
        <w:t>/</w:t>
      </w:r>
      <w:r>
        <w:rPr>
          <w:rFonts w:hint="eastAsia" w:ascii="仿宋" w:hAnsi="仿宋" w:eastAsia="仿宋" w:cs="Times New Roman"/>
          <w:kern w:val="2"/>
          <w:sz w:val="32"/>
          <w:szCs w:val="32"/>
        </w:rPr>
        <w:t>数据文件等形式作为数据的分类；</w:t>
      </w:r>
    </w:p>
    <w:p w14:paraId="5E630F25">
      <w:pPr>
        <w:widowControl/>
        <w:spacing w:line="597" w:lineRule="exact"/>
        <w:ind w:firstLine="640" w:firstLineChars="200"/>
        <w:jc w:val="left"/>
        <w:rPr>
          <w:rFonts w:ascii="仿宋" w:hAnsi="仿宋" w:eastAsia="仿宋"/>
          <w:sz w:val="32"/>
          <w:szCs w:val="32"/>
        </w:rPr>
      </w:pPr>
      <w:r>
        <w:rPr>
          <w:rFonts w:hint="eastAsia" w:ascii="仿宋" w:hAnsi="仿宋" w:eastAsia="仿宋"/>
          <w:sz w:val="32"/>
          <w:szCs w:val="32"/>
        </w:rPr>
        <w:t>第三阶段级别判定：按数据泄露后的影响对象、影响范围以及影响程度对数据做数据的分类分级判定。</w:t>
      </w:r>
    </w:p>
    <w:p w14:paraId="20E5F968">
      <w:pPr>
        <w:pStyle w:val="16"/>
        <w:widowControl/>
        <w:spacing w:line="597" w:lineRule="exact"/>
        <w:ind w:firstLine="640"/>
        <w:jc w:val="left"/>
        <w:outlineLvl w:val="3"/>
        <w:rPr>
          <w:rFonts w:ascii="仿宋" w:hAnsi="仿宋" w:eastAsia="仿宋" w:cs="仿宋"/>
          <w:b/>
          <w:bCs/>
          <w:sz w:val="32"/>
          <w:szCs w:val="32"/>
        </w:rPr>
      </w:pPr>
      <w:bookmarkStart w:id="19" w:name="_Toc190696903"/>
      <w:r>
        <w:rPr>
          <w:rFonts w:hint="eastAsia" w:ascii="仿宋" w:hAnsi="仿宋" w:eastAsia="仿宋" w:cs="仿宋"/>
          <w:b/>
          <w:bCs/>
          <w:sz w:val="32"/>
          <w:szCs w:val="32"/>
        </w:rPr>
        <w:t>4.4.数据资产梳理</w:t>
      </w:r>
      <w:bookmarkEnd w:id="19"/>
    </w:p>
    <w:p w14:paraId="41A281D5">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数据资产梳理是数据分类分级的重要基础工作，通过全面梳理组织的数据资产，明确数据的来源、类型、存储、使用情况以及流动情况，方便后续分类分级工作结果更加准确。</w:t>
      </w:r>
    </w:p>
    <w:p w14:paraId="4C707476">
      <w:pPr>
        <w:pStyle w:val="6"/>
        <w:widowControl w:val="0"/>
        <w:spacing w:before="0" w:beforeAutospacing="0" w:after="0" w:afterAutospacing="0" w:line="597" w:lineRule="exact"/>
        <w:ind w:firstLine="643" w:firstLineChars="200"/>
        <w:rPr>
          <w:rFonts w:ascii="仿宋" w:hAnsi="仿宋" w:eastAsia="仿宋" w:cs="Times New Roman"/>
          <w:b/>
          <w:bCs/>
          <w:kern w:val="2"/>
          <w:sz w:val="32"/>
          <w:szCs w:val="32"/>
        </w:rPr>
      </w:pPr>
      <w:r>
        <w:rPr>
          <w:rFonts w:hint="eastAsia" w:ascii="仿宋" w:hAnsi="仿宋" w:eastAsia="仿宋" w:cs="Times New Roman"/>
          <w:b/>
          <w:bCs/>
          <w:kern w:val="2"/>
          <w:sz w:val="32"/>
          <w:szCs w:val="32"/>
        </w:rPr>
        <w:t>业务流程梳理</w:t>
      </w:r>
    </w:p>
    <w:p w14:paraId="56626370">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（1）确定数据在业务流程中的流动路径，包括数据的输入、处理、输出和反馈等各环节流转详情，涵盖内外部数据，绘制出数据流图；</w:t>
      </w:r>
    </w:p>
    <w:p w14:paraId="45EAE37E">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（2）梳理数据在不同系统或模块之间的传输接口，如API、ETL工具等。</w:t>
      </w:r>
    </w:p>
    <w:p w14:paraId="01B0D640">
      <w:pPr>
        <w:pStyle w:val="6"/>
        <w:widowControl w:val="0"/>
        <w:spacing w:before="0" w:beforeAutospacing="0" w:after="0" w:afterAutospacing="0" w:line="597" w:lineRule="exact"/>
        <w:ind w:firstLine="643" w:firstLineChars="200"/>
        <w:rPr>
          <w:rFonts w:ascii="仿宋" w:hAnsi="仿宋" w:eastAsia="仿宋" w:cs="Times New Roman"/>
          <w:b/>
          <w:bCs/>
          <w:kern w:val="2"/>
          <w:sz w:val="32"/>
          <w:szCs w:val="32"/>
        </w:rPr>
      </w:pPr>
      <w:r>
        <w:rPr>
          <w:rFonts w:hint="eastAsia" w:ascii="仿宋" w:hAnsi="仿宋" w:eastAsia="仿宋" w:cs="Times New Roman"/>
          <w:b/>
          <w:bCs/>
          <w:kern w:val="2"/>
          <w:sz w:val="32"/>
          <w:szCs w:val="32"/>
        </w:rPr>
        <w:t>关联性分析</w:t>
      </w:r>
    </w:p>
    <w:p w14:paraId="66AD5905">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（1）对数据资产进行关联性分析，明确不同数据集之间的相互关系。</w:t>
      </w:r>
    </w:p>
    <w:p w14:paraId="69891FE3">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（2）采用基于图模型的关联分析和基于统计模型的相关性分析，生成数据关联图。</w:t>
      </w:r>
    </w:p>
    <w:p w14:paraId="593DABE8">
      <w:pPr>
        <w:pStyle w:val="6"/>
        <w:widowControl w:val="0"/>
        <w:spacing w:before="0" w:beforeAutospacing="0" w:after="0" w:afterAutospacing="0" w:line="597" w:lineRule="exact"/>
        <w:ind w:firstLine="643" w:firstLineChars="200"/>
        <w:rPr>
          <w:rFonts w:ascii="仿宋" w:hAnsi="仿宋" w:eastAsia="仿宋" w:cs="Times New Roman"/>
          <w:b/>
          <w:bCs/>
          <w:kern w:val="2"/>
          <w:sz w:val="32"/>
          <w:szCs w:val="32"/>
        </w:rPr>
      </w:pPr>
      <w:r>
        <w:rPr>
          <w:rFonts w:hint="eastAsia" w:ascii="仿宋" w:hAnsi="仿宋" w:eastAsia="仿宋" w:cs="Times New Roman"/>
          <w:b/>
          <w:bCs/>
          <w:kern w:val="2"/>
          <w:sz w:val="32"/>
          <w:szCs w:val="32"/>
        </w:rPr>
        <w:t>输出数据资产目录</w:t>
      </w:r>
    </w:p>
    <w:p w14:paraId="541C1FF8">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（1）形成数据资产目录，列出核心数据或核心的数据资产。</w:t>
      </w:r>
    </w:p>
    <w:p w14:paraId="41C1809E">
      <w:pPr>
        <w:pStyle w:val="6"/>
        <w:widowControl w:val="0"/>
        <w:spacing w:before="0" w:beforeAutospacing="0" w:after="0" w:afterAutospacing="0" w:line="597" w:lineRule="exact"/>
        <w:ind w:firstLine="640" w:firstLineChars="200"/>
        <w:rPr>
          <w:rFonts w:ascii="仿宋" w:hAnsi="仿宋" w:eastAsia="仿宋" w:cs="仿宋"/>
          <w:b/>
          <w:bCs/>
          <w:kern w:val="2"/>
          <w:sz w:val="32"/>
          <w:szCs w:val="32"/>
        </w:rPr>
      </w:pPr>
      <w:r>
        <w:rPr>
          <w:rFonts w:hint="eastAsia" w:ascii="仿宋" w:hAnsi="仿宋" w:eastAsia="仿宋" w:cs="Times New Roman"/>
          <w:kern w:val="2"/>
          <w:sz w:val="32"/>
          <w:szCs w:val="32"/>
        </w:rPr>
        <w:t>（2）数据资产目录采用主题-类目-表级的三级目录结构，并遵循统一的命名规则、编码规则。</w:t>
      </w:r>
    </w:p>
    <w:p w14:paraId="14CC3DF0">
      <w:pPr>
        <w:pStyle w:val="16"/>
        <w:widowControl/>
        <w:spacing w:line="597" w:lineRule="exact"/>
        <w:ind w:firstLine="640"/>
        <w:jc w:val="left"/>
        <w:outlineLvl w:val="3"/>
        <w:rPr>
          <w:rFonts w:ascii="仿宋" w:hAnsi="仿宋" w:eastAsia="仿宋" w:cs="仿宋"/>
          <w:b/>
          <w:bCs/>
          <w:sz w:val="32"/>
          <w:szCs w:val="32"/>
        </w:rPr>
      </w:pPr>
      <w:bookmarkStart w:id="20" w:name="_Toc190696904"/>
      <w:r>
        <w:rPr>
          <w:rFonts w:hint="eastAsia" w:ascii="仿宋" w:hAnsi="仿宋" w:eastAsia="仿宋" w:cs="仿宋"/>
          <w:b/>
          <w:bCs/>
          <w:sz w:val="32"/>
          <w:szCs w:val="32"/>
        </w:rPr>
        <w:t>4.5.数据分类</w:t>
      </w:r>
      <w:bookmarkEnd w:id="20"/>
    </w:p>
    <w:p w14:paraId="11B5D40B">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数据分类根据数据管理和使用需求，结合已有数据分类基础，灵活选择业务属性将数据细化分类。具体参考以下步骤开展行业领域数据分类。</w:t>
      </w:r>
    </w:p>
    <w:p w14:paraId="1F9F4472">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（1）明确数据范围：首先将业务线作为第一层级，根据其下部门、岗位的不同数据管理范围，划分第二层级。同一层级中，每个类别的数据表、数据项、数据文件应由不同的部门、岗位管理。</w:t>
      </w:r>
    </w:p>
    <w:p w14:paraId="49B19FB3">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（2）细化业务分类：对业务系统进行细化分类，包含但不限于诊疗业务平台、医技业务平台、医辅业务平台、管理业务平台、后勤业务平台、教学科研平台、统一信息平台、新技术支撑平台、军队事业平台。</w:t>
      </w:r>
    </w:p>
    <w:p w14:paraId="10D78F91">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（3）业务属性分类：选择合适的业务属性，对关键业务的数据进行细化分类。</w:t>
      </w:r>
    </w:p>
    <w:p w14:paraId="24D60C96">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（4）确定分类规则：梳理分析各关键业务的数据分类结果，根据医疗行业领域数据管理和使用需求，确定数据分类规则。</w:t>
      </w:r>
    </w:p>
    <w:p w14:paraId="2E163D3F">
      <w:pPr>
        <w:pStyle w:val="6"/>
        <w:widowControl w:val="0"/>
        <w:spacing w:before="0" w:beforeAutospacing="0" w:after="0" w:afterAutospacing="0" w:line="597" w:lineRule="exact"/>
        <w:ind w:firstLine="640" w:firstLineChars="200"/>
        <w:rPr>
          <w:rFonts w:ascii="仿宋" w:hAnsi="仿宋" w:eastAsia="仿宋" w:cs="仿宋"/>
          <w:b/>
          <w:bCs/>
          <w:kern w:val="2"/>
          <w:sz w:val="32"/>
          <w:szCs w:val="32"/>
        </w:rPr>
      </w:pPr>
      <w:r>
        <w:rPr>
          <w:rFonts w:hint="eastAsia" w:ascii="仿宋" w:hAnsi="仿宋" w:eastAsia="仿宋" w:cs="Times New Roman"/>
          <w:kern w:val="2"/>
          <w:sz w:val="32"/>
          <w:szCs w:val="32"/>
        </w:rPr>
        <w:t>采取“业务线—关键业务—业务属性分类”的方式给出数据分类规则。对关键业务的数据分类结果进行归类分析，将具有相似主题的数据子类进行归类。</w:t>
      </w:r>
    </w:p>
    <w:p w14:paraId="2469936D">
      <w:pPr>
        <w:pStyle w:val="16"/>
        <w:widowControl/>
        <w:spacing w:line="597" w:lineRule="exact"/>
        <w:ind w:firstLine="640"/>
        <w:jc w:val="left"/>
        <w:outlineLvl w:val="3"/>
        <w:rPr>
          <w:rFonts w:ascii="仿宋" w:hAnsi="仿宋" w:eastAsia="仿宋" w:cs="仿宋"/>
          <w:b/>
          <w:bCs/>
          <w:sz w:val="32"/>
          <w:szCs w:val="32"/>
        </w:rPr>
      </w:pPr>
      <w:bookmarkStart w:id="21" w:name="_Toc190696905"/>
      <w:r>
        <w:rPr>
          <w:rFonts w:hint="eastAsia" w:ascii="仿宋" w:hAnsi="仿宋" w:eastAsia="仿宋" w:cs="仿宋"/>
          <w:b/>
          <w:bCs/>
          <w:sz w:val="32"/>
          <w:szCs w:val="32"/>
        </w:rPr>
        <w:t>4.6.数据分级</w:t>
      </w:r>
      <w:bookmarkEnd w:id="21"/>
    </w:p>
    <w:p w14:paraId="5946C72C">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根据数据在经济社会发展中的重要程度，以及一旦遭到泄露、篡改、损毁或者非法获取、非法使用、非法共享，对国家安全、经济运行、社会秩序、公共利益、组织权益、个人权益造成的危害程度，将数据从高到低分为核心数据、重要数据、一般数据三个级别。</w:t>
      </w:r>
    </w:p>
    <w:p w14:paraId="13DDFA7A">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数据分级是为了保护数据安全，具体可参考以下步骤进行数据分级。</w:t>
      </w:r>
    </w:p>
    <w:p w14:paraId="243D13AE">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1）确定分级对象：确定待分级的数据，如数据项、数据集、衍生数据等。数据项通常表现为数据库表某一列字段，数据集是由多个数据记录组成的集合，如数据库表、数据库一行或多行记录集合、数据文件等。</w:t>
      </w:r>
    </w:p>
    <w:p w14:paraId="3409E1E6">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（2）分级要素识别：结合业务系统数据特点，按照数据分级要素识别数据涉及的分级要素情况。</w:t>
      </w:r>
    </w:p>
    <w:p w14:paraId="05736186">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（3）数据影响分析：结合数据分级要素识别情况，分析数据一旦遭到泄露、篡改、损毁或者非法获取、非法使用、非法共享，可能影响的对象和影响程度。</w:t>
      </w:r>
    </w:p>
    <w:p w14:paraId="3BA7CDCA">
      <w:pPr>
        <w:pStyle w:val="6"/>
        <w:widowControl w:val="0"/>
        <w:spacing w:before="0" w:beforeAutospacing="0" w:after="0" w:afterAutospacing="0" w:line="597" w:lineRule="exact"/>
        <w:ind w:firstLine="640" w:firstLineChars="200"/>
        <w:rPr>
          <w:rFonts w:ascii="仿宋" w:hAnsi="仿宋" w:eastAsia="仿宋" w:cs="仿宋"/>
          <w:b/>
          <w:bCs/>
          <w:kern w:val="2"/>
          <w:sz w:val="32"/>
          <w:szCs w:val="32"/>
        </w:rPr>
      </w:pPr>
      <w:r>
        <w:rPr>
          <w:rFonts w:hint="eastAsia" w:ascii="仿宋" w:hAnsi="仿宋" w:eastAsia="仿宋" w:cs="Times New Roman"/>
          <w:kern w:val="2"/>
          <w:sz w:val="32"/>
          <w:szCs w:val="32"/>
        </w:rPr>
        <w:t>（4）综合确定级别：按照级别确定规则和综合确定级别要求，综合确定数据级别。</w:t>
      </w:r>
    </w:p>
    <w:p w14:paraId="295C975B">
      <w:pPr>
        <w:pStyle w:val="16"/>
        <w:widowControl/>
        <w:spacing w:line="597" w:lineRule="exact"/>
        <w:ind w:firstLine="640"/>
        <w:jc w:val="left"/>
        <w:outlineLvl w:val="2"/>
        <w:rPr>
          <w:rFonts w:ascii="仿宋" w:hAnsi="仿宋" w:eastAsia="仿宋" w:cs="仿宋"/>
          <w:b/>
          <w:bCs/>
          <w:sz w:val="32"/>
          <w:szCs w:val="32"/>
        </w:rPr>
      </w:pPr>
      <w:bookmarkStart w:id="22" w:name="_Toc196840729"/>
      <w:bookmarkStart w:id="23" w:name="_Toc190696907"/>
      <w:bookmarkStart w:id="24" w:name="_Toc21502"/>
      <w:r>
        <w:rPr>
          <w:rFonts w:hint="eastAsia" w:ascii="仿宋" w:hAnsi="仿宋" w:eastAsia="仿宋" w:cs="仿宋"/>
          <w:b/>
          <w:bCs/>
          <w:sz w:val="32"/>
          <w:szCs w:val="32"/>
        </w:rPr>
        <w:t>4.7.风险规避措施</w:t>
      </w:r>
      <w:bookmarkEnd w:id="22"/>
      <w:bookmarkEnd w:id="23"/>
      <w:bookmarkEnd w:id="24"/>
    </w:p>
    <w:p w14:paraId="223A493A">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数据分类分级工作应实行质量控制，以保证分类分级结果的准确有效。在数据分类分级各个阶段，一是要根据相应的法规要求和管理规范开展分类分级工作；二是保证数据采集的准确性和有效性，同时保证数据分类分级细则制定的贴合性；三是充分了解我院所处的行业背景及安全特性要求，以及对被分类分级数据资产所承担的业务和自身流程的理解。</w:t>
      </w:r>
    </w:p>
    <w:p w14:paraId="69315B6F">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这里的数据调研过程风险主要指识别过程、人工梳理过程中存在的数据泄露和破坏风险。进行数据调研前，中标供应商需要提前向我院提交当前工作计划，经过双方确认后，双方共同为数据调研做好相应风险规避措施，再进行数据采集，防止因为采集数据（从业务系统、传输设备上），造成信息化系统中的相关数据泄露、破坏风险。</w:t>
      </w:r>
    </w:p>
    <w:p w14:paraId="5D9CC548">
      <w:pPr>
        <w:pStyle w:val="6"/>
        <w:widowControl w:val="0"/>
        <w:spacing w:before="0" w:beforeAutospacing="0" w:after="0" w:afterAutospacing="0" w:line="597" w:lineRule="exact"/>
        <w:ind w:firstLine="640" w:firstLineChars="200"/>
        <w:rPr>
          <w:rFonts w:ascii="仿宋" w:hAnsi="仿宋" w:eastAsia="仿宋" w:cs="仿宋"/>
          <w:b/>
          <w:bCs/>
          <w:kern w:val="2"/>
          <w:sz w:val="32"/>
          <w:szCs w:val="32"/>
        </w:rPr>
      </w:pPr>
      <w:r>
        <w:rPr>
          <w:rFonts w:hint="eastAsia" w:ascii="仿宋" w:hAnsi="仿宋" w:eastAsia="仿宋" w:cs="Times New Roman"/>
          <w:kern w:val="2"/>
          <w:sz w:val="32"/>
          <w:szCs w:val="32"/>
        </w:rPr>
        <w:t>数据调资产调研计划完成后，数据采集人员需要提交工作确认单，经过双方确认数据采集工作后，开展下一步工作。可以通过工作确认，保证数据采集的有效性、准确性，防止进行重复性工作和工作的遗漏，同时避免上述风险。</w:t>
      </w:r>
    </w:p>
    <w:p w14:paraId="6F15EB58">
      <w:pPr>
        <w:pStyle w:val="16"/>
        <w:widowControl/>
        <w:spacing w:line="597" w:lineRule="exact"/>
        <w:ind w:firstLine="640"/>
        <w:jc w:val="left"/>
        <w:outlineLvl w:val="2"/>
        <w:rPr>
          <w:rFonts w:ascii="仿宋" w:hAnsi="仿宋" w:eastAsia="仿宋" w:cs="仿宋"/>
          <w:b/>
          <w:bCs/>
          <w:sz w:val="32"/>
          <w:szCs w:val="32"/>
        </w:rPr>
      </w:pPr>
      <w:bookmarkStart w:id="25" w:name="_Toc30205"/>
      <w:bookmarkStart w:id="26" w:name="_Toc190696908"/>
      <w:bookmarkStart w:id="27" w:name="_Toc196840730"/>
      <w:r>
        <w:rPr>
          <w:rFonts w:hint="eastAsia" w:ascii="仿宋" w:hAnsi="仿宋" w:eastAsia="仿宋" w:cs="仿宋"/>
          <w:b/>
          <w:bCs/>
          <w:sz w:val="32"/>
          <w:szCs w:val="32"/>
        </w:rPr>
        <w:t>4.8.成果报告</w:t>
      </w:r>
      <w:bookmarkEnd w:id="25"/>
      <w:bookmarkEnd w:id="26"/>
      <w:bookmarkEnd w:id="27"/>
    </w:p>
    <w:p w14:paraId="0AEB76CA">
      <w:pPr>
        <w:pStyle w:val="6"/>
        <w:widowControl w:val="0"/>
        <w:spacing w:before="0" w:beforeAutospacing="0" w:after="0" w:afterAutospacing="0" w:line="597" w:lineRule="exac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输出文档包含但不限于《数据分类分级服务报告》、《数据安全管理制度》、《数据资产清单》、《数据分类分级指南》等。</w:t>
      </w:r>
    </w:p>
    <w:p w14:paraId="2B283845">
      <w:pPr>
        <w:pStyle w:val="16"/>
        <w:widowControl/>
        <w:spacing w:line="597" w:lineRule="exact"/>
        <w:ind w:firstLine="640"/>
        <w:jc w:val="left"/>
        <w:outlineLvl w:val="2"/>
        <w:rPr>
          <w:rFonts w:ascii="仿宋" w:hAnsi="仿宋" w:eastAsia="仿宋" w:cs="仿宋"/>
          <w:b/>
          <w:bCs/>
          <w:sz w:val="32"/>
          <w:szCs w:val="32"/>
        </w:rPr>
      </w:pPr>
      <w:r>
        <w:rPr>
          <w:rFonts w:hint="eastAsia" w:ascii="仿宋" w:hAnsi="仿宋" w:eastAsia="仿宋" w:cs="仿宋"/>
          <w:b/>
          <w:bCs/>
          <w:sz w:val="32"/>
          <w:szCs w:val="32"/>
        </w:rPr>
        <w:t>5.其他要求</w:t>
      </w:r>
    </w:p>
    <w:p w14:paraId="7DDF00EB">
      <w:pPr>
        <w:pStyle w:val="16"/>
        <w:widowControl/>
        <w:spacing w:line="597" w:lineRule="exact"/>
        <w:ind w:firstLine="64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项目实施过程中遇到不可控因素造成项目未在规定日期内完成的，需与甲方共同商定，确保工程顺利完成。乙方需在项目实施前阐述完善的实施方案、人员和技术保障方案，</w:t>
      </w:r>
      <w:r>
        <w:rPr>
          <w:rFonts w:ascii="仿宋_GB2312" w:hAnsi="仿宋_GB2312" w:eastAsia="仿宋_GB2312" w:cs="仿宋_GB2312"/>
          <w:sz w:val="32"/>
          <w:szCs w:val="32"/>
        </w:rPr>
        <w:t>在施工过程中须根据甲方实际流程调整</w:t>
      </w:r>
      <w:r>
        <w:rPr>
          <w:rFonts w:hint="eastAsia" w:ascii="仿宋_GB2312" w:hAnsi="仿宋_GB2312" w:eastAsia="仿宋_GB2312" w:cs="仿宋_GB2312"/>
          <w:sz w:val="32"/>
          <w:szCs w:val="32"/>
        </w:rPr>
        <w:t>相应步骤。乙方提供本项目的实施方案应包括货物供货、运输配送、安装调试、验收、项目培训方案各个环节。确保实施方案完整、详细具体、合理可行、操作性强并符合本项目实际情况。</w:t>
      </w:r>
    </w:p>
    <w:p w14:paraId="3BE4BC8F">
      <w:pPr>
        <w:pStyle w:val="16"/>
        <w:widowControl/>
        <w:spacing w:line="597" w:lineRule="exact"/>
        <w:ind w:firstLine="64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为确保</w:t>
      </w:r>
      <w:r>
        <w:rPr>
          <w:rFonts w:ascii="仿宋_GB2312" w:hAnsi="仿宋_GB2312" w:eastAsia="仿宋_GB2312" w:cs="仿宋_GB2312"/>
          <w:sz w:val="32"/>
          <w:szCs w:val="32"/>
        </w:rPr>
        <w:t>项目顺利完成与施工质量，要求乙方</w:t>
      </w:r>
      <w:r>
        <w:rPr>
          <w:rFonts w:hint="eastAsia" w:ascii="仿宋_GB2312" w:hAnsi="仿宋_GB2312" w:eastAsia="仿宋_GB2312" w:cs="仿宋_GB2312"/>
          <w:sz w:val="32"/>
          <w:szCs w:val="32"/>
        </w:rPr>
        <w:t>至少指定</w:t>
      </w:r>
      <w:r>
        <w:rPr>
          <w:rFonts w:ascii="仿宋_GB2312" w:hAnsi="仿宋_GB2312" w:eastAsia="仿宋_GB2312" w:cs="仿宋_GB2312"/>
          <w:sz w:val="32"/>
          <w:szCs w:val="32"/>
        </w:rPr>
        <w:t>1名项目</w:t>
      </w:r>
      <w:r>
        <w:rPr>
          <w:rFonts w:hint="eastAsia" w:ascii="仿宋_GB2312" w:hAnsi="仿宋_GB2312" w:eastAsia="仿宋_GB2312" w:cs="仿宋_GB2312"/>
          <w:sz w:val="32"/>
          <w:szCs w:val="32"/>
        </w:rPr>
        <w:t>总监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1名项目经理，</w:t>
      </w:r>
      <w:r>
        <w:rPr>
          <w:rFonts w:ascii="仿宋_GB2312" w:hAnsi="仿宋_GB2312" w:eastAsia="仿宋_GB2312" w:cs="仿宋_GB2312"/>
          <w:sz w:val="32"/>
          <w:szCs w:val="32"/>
        </w:rPr>
        <w:t>同时</w:t>
      </w:r>
      <w:r>
        <w:rPr>
          <w:rFonts w:hint="eastAsia" w:ascii="仿宋_GB2312" w:hAnsi="仿宋_GB2312" w:eastAsia="仿宋_GB2312" w:cs="仿宋_GB2312"/>
          <w:sz w:val="32"/>
          <w:szCs w:val="32"/>
        </w:rPr>
        <w:t>配置相应的程序开发和安装实施</w:t>
      </w:r>
      <w:r>
        <w:rPr>
          <w:rFonts w:ascii="仿宋_GB2312" w:hAnsi="仿宋_GB2312" w:eastAsia="仿宋_GB2312" w:cs="仿宋_GB2312"/>
          <w:sz w:val="32"/>
          <w:szCs w:val="32"/>
        </w:rPr>
        <w:t>技术工程师</w:t>
      </w:r>
      <w:r>
        <w:rPr>
          <w:rFonts w:hint="eastAsia" w:ascii="仿宋_GB2312" w:hAnsi="仿宋_GB2312" w:eastAsia="仿宋_GB2312" w:cs="仿宋_GB2312"/>
          <w:sz w:val="32"/>
          <w:szCs w:val="32"/>
        </w:rPr>
        <w:t>若干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以及</w:t>
      </w:r>
      <w:r>
        <w:rPr>
          <w:rFonts w:ascii="仿宋_GB2312" w:hAnsi="仿宋_GB2312" w:eastAsia="仿宋_GB2312" w:cs="仿宋_GB2312"/>
          <w:sz w:val="32"/>
          <w:szCs w:val="32"/>
        </w:rPr>
        <w:t>其他辅助支持人员全职参与本项目的工作</w:t>
      </w:r>
      <w:r>
        <w:rPr>
          <w:rFonts w:hint="eastAsia" w:ascii="仿宋_GB2312" w:hAnsi="仿宋_GB2312" w:eastAsia="仿宋_GB2312" w:cs="仿宋_GB2312"/>
          <w:sz w:val="32"/>
          <w:szCs w:val="32"/>
        </w:rPr>
        <w:t>。</w:t>
      </w:r>
    </w:p>
    <w:p w14:paraId="13E47387">
      <w:pPr>
        <w:pStyle w:val="16"/>
        <w:widowControl/>
        <w:spacing w:line="597" w:lineRule="exact"/>
        <w:ind w:firstLine="64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项目总监和项目经理应具备计算机行业高级职称资质，技术工程师则需具备计算机相关专业背景，并具备现场完成程序开发工作以及服务器、网络安全设备等基础设施的安装调试能力。</w:t>
      </w:r>
    </w:p>
    <w:p w14:paraId="66771883">
      <w:pPr>
        <w:pStyle w:val="16"/>
        <w:widowControl/>
        <w:spacing w:line="597" w:lineRule="exact"/>
        <w:ind w:firstLine="64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项目实施过程中遇到不可控因素造成项目未在规定日期内完成的，需与甲方共同商定，确保工程顺利完成。乙方需在项目实施前阐述完善的实施方案、人员和技术保障方案。</w:t>
      </w:r>
    </w:p>
    <w:p w14:paraId="3F048F95">
      <w:pPr>
        <w:pStyle w:val="3"/>
        <w:keepNext w:val="0"/>
        <w:keepLines w:val="0"/>
        <w:adjustRightInd w:val="0"/>
        <w:spacing w:before="0" w:after="0" w:line="530" w:lineRule="exact"/>
        <w:ind w:firstLine="640" w:firstLineChars="200"/>
        <w:rPr>
          <w:rFonts w:ascii="黑体" w:hAnsi="黑体" w:cs="黑体"/>
          <w:b w:val="0"/>
          <w:bCs w:val="0"/>
          <w:sz w:val="32"/>
          <w:szCs w:val="32"/>
        </w:rPr>
      </w:pPr>
      <w:r>
        <w:rPr>
          <w:rFonts w:hint="eastAsia" w:ascii="黑体" w:hAnsi="黑体" w:cs="黑体"/>
          <w:b w:val="0"/>
          <w:bCs w:val="0"/>
          <w:sz w:val="32"/>
          <w:szCs w:val="32"/>
        </w:rPr>
        <w:t>二、</w:t>
      </w:r>
      <w:bookmarkStart w:id="28" w:name="_Hlk129332993"/>
      <w:r>
        <w:rPr>
          <w:rFonts w:hint="eastAsia" w:ascii="黑体" w:hAnsi="黑体" w:cs="黑体"/>
          <w:b w:val="0"/>
          <w:bCs w:val="0"/>
          <w:sz w:val="32"/>
          <w:szCs w:val="32"/>
        </w:rPr>
        <w:t>履约验收</w:t>
      </w:r>
      <w:bookmarkEnd w:id="28"/>
    </w:p>
    <w:p w14:paraId="06C62505">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w:t>
      </w:r>
      <w:bookmarkStart w:id="29" w:name="_Hlk129347058"/>
      <w:r>
        <w:rPr>
          <w:rFonts w:hint="eastAsia" w:ascii="仿宋_GB2312" w:hAnsi="仿宋" w:eastAsia="仿宋_GB2312"/>
          <w:bCs/>
          <w:sz w:val="32"/>
          <w:szCs w:val="32"/>
        </w:rPr>
        <w:t>服务</w:t>
      </w:r>
      <w:bookmarkEnd w:id="29"/>
      <w:r>
        <w:rPr>
          <w:rFonts w:hint="eastAsia" w:ascii="仿宋_GB2312" w:hAnsi="仿宋" w:eastAsia="仿宋_GB2312"/>
          <w:bCs/>
          <w:sz w:val="32"/>
          <w:szCs w:val="32"/>
        </w:rPr>
        <w:t>分期考核验收</w:t>
      </w:r>
    </w:p>
    <w:p w14:paraId="3E03203E">
      <w:pPr>
        <w:adjustRightInd w:val="0"/>
        <w:spacing w:line="53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1.甲方按合同约定的分期考核内容、标准对乙方实施的服务进行验收。</w:t>
      </w:r>
    </w:p>
    <w:p w14:paraId="62B17FD4">
      <w:pPr>
        <w:adjustRightInd w:val="0"/>
        <w:spacing w:line="53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2.合同约定的分期考核内容包括日常督导考核、岗位督查、专项检查、特殊部位或者场所检查、满意度调查、合同履约综合评价等。</w:t>
      </w:r>
    </w:p>
    <w:p w14:paraId="696C0556">
      <w:pPr>
        <w:adjustRightInd w:val="0"/>
        <w:spacing w:line="53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（1）日常督导考核。甲方按考核标准对乙方实施的服务进行日常巡查，发现问题告知乙方，并做好督查记录。甲方根据乙方改进情况和问题的严重程度，按考核标准对乙方进行处理。</w:t>
      </w:r>
    </w:p>
    <w:p w14:paraId="226E0996">
      <w:pPr>
        <w:adjustRightInd w:val="0"/>
        <w:spacing w:line="53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（2）岗位督查。甲方按考核标准检查乙方服务人员到岗情况，发现缺岗的，甲方按考核标准对乙方进行处理。</w:t>
      </w:r>
    </w:p>
    <w:p w14:paraId="652ECBA4">
      <w:pPr>
        <w:adjustRightInd w:val="0"/>
        <w:spacing w:line="53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（3）专项检查。甲方针对服务的重点、难点问题或管理要求进行专项检查，双方共同记录。乙方对甲方在专项检查中发现问题，应当予以整改。乙方问题多次出现或整改不力的，甲方按考核标准进行处理。</w:t>
      </w:r>
    </w:p>
    <w:p w14:paraId="3E7619AA">
      <w:pPr>
        <w:adjustRightInd w:val="0"/>
        <w:spacing w:line="53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（4）特殊部位或者场所检查。甲方对服务区域的特殊部位或者场所进行检查，发现问题甲方按考核标准对乙方进行处理。</w:t>
      </w:r>
    </w:p>
    <w:p w14:paraId="6D7DD4D0">
      <w:pPr>
        <w:adjustRightInd w:val="0"/>
        <w:spacing w:line="53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（5）满意度调查：甲方按合同约定的考核时间组织服务对象或者委托第三方对服务效果进行满意度调查。甲方根据调查结果，按考核标准对乙方进行奖励或处罚。</w:t>
      </w:r>
    </w:p>
    <w:p w14:paraId="5F3B2F6F">
      <w:pPr>
        <w:adjustRightInd w:val="0"/>
        <w:spacing w:line="53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（6）合同履约综合评价：甲方按合同约定的考核时间对乙方合同履行情况进行综合评价，综合评价可作为款项支付以及续签合同的依据。</w:t>
      </w:r>
    </w:p>
    <w:p w14:paraId="4706C3DA">
      <w:pPr>
        <w:adjustRightInd w:val="0"/>
        <w:spacing w:line="53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3.服务分期考核内容、标准：</w:t>
      </w:r>
      <w:r>
        <w:rPr>
          <w:rFonts w:hint="eastAsia" w:ascii="仿宋_GB2312" w:hAnsi="仿宋_GB2312" w:eastAsia="仿宋_GB2312" w:cs="仿宋_GB2312"/>
          <w:bCs/>
          <w:sz w:val="32"/>
          <w:szCs w:val="32"/>
          <w:u w:val="single"/>
        </w:rPr>
        <w:t>包含但不限于服务人员管理、日常服务质量、网络安全培训质量、应急响应服务质量、攻防演习服务质量、数据分级分类服务质量；</w:t>
      </w:r>
    </w:p>
    <w:p w14:paraId="7A1794BF">
      <w:pPr>
        <w:adjustRightInd w:val="0"/>
        <w:spacing w:line="530" w:lineRule="exact"/>
        <w:ind w:firstLine="640" w:firstLineChars="200"/>
      </w:pPr>
      <w:r>
        <w:rPr>
          <w:rFonts w:hint="eastAsia" w:ascii="仿宋_GB2312" w:hAnsi="仿宋_GB2312" w:eastAsia="仿宋_GB2312" w:cs="仿宋_GB2312"/>
          <w:bCs/>
          <w:sz w:val="32"/>
          <w:szCs w:val="32"/>
        </w:rPr>
        <w:t>4.服务分期考核验收的其他要求：</w:t>
      </w:r>
      <w:r>
        <w:rPr>
          <w:rFonts w:hint="eastAsia" w:ascii="仿宋_GB2312" w:hAnsi="仿宋_GB2312" w:eastAsia="仿宋_GB2312" w:cs="仿宋_GB2312"/>
          <w:bCs/>
          <w:sz w:val="32"/>
          <w:szCs w:val="32"/>
          <w:u w:val="single"/>
        </w:rPr>
        <w:t>包含但不限于人员考勤、服务态度、专业程度、工作效率、文档规范程度等；</w:t>
      </w:r>
    </w:p>
    <w:p w14:paraId="47A1D9A4">
      <w:pPr>
        <w:adjustRightInd w:val="0"/>
        <w:spacing w:line="530" w:lineRule="exact"/>
        <w:ind w:firstLine="640" w:firstLineChars="200"/>
        <w:rPr>
          <w:rFonts w:ascii="仿宋_GB2312" w:eastAsia="仿宋_GB2312"/>
          <w:sz w:val="32"/>
          <w:szCs w:val="32"/>
        </w:rPr>
      </w:pPr>
      <w:r>
        <w:rPr>
          <w:rFonts w:hint="eastAsia" w:ascii="仿宋_GB2312" w:hAnsi="仿宋_GB2312" w:eastAsia="仿宋_GB2312" w:cs="仿宋_GB2312"/>
          <w:bCs/>
          <w:sz w:val="32"/>
          <w:szCs w:val="32"/>
        </w:rPr>
        <w:t>（</w:t>
      </w:r>
      <w:r>
        <w:rPr>
          <w:rFonts w:hint="eastAsia" w:ascii="仿宋_GB2312" w:eastAsia="仿宋_GB2312" w:cs="仿宋_GB2312"/>
          <w:bCs/>
          <w:sz w:val="32"/>
          <w:szCs w:val="32"/>
        </w:rPr>
        <w:t>二</w:t>
      </w:r>
      <w:r>
        <w:rPr>
          <w:rFonts w:hint="eastAsia" w:ascii="仿宋_GB2312" w:hAnsi="仿宋_GB2312" w:eastAsia="仿宋_GB2312" w:cs="仿宋_GB2312"/>
          <w:bCs/>
          <w:sz w:val="32"/>
          <w:szCs w:val="32"/>
        </w:rPr>
        <w:t>）验收</w:t>
      </w:r>
    </w:p>
    <w:p w14:paraId="35DC4462">
      <w:pPr>
        <w:adjustRightInd w:val="0"/>
        <w:spacing w:line="53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1.乙方完成全部服务内容并具备验收条件，由乙方向甲方提出验收申请，由甲方组织验收，出具验收报告。</w:t>
      </w:r>
    </w:p>
    <w:p w14:paraId="1E10B9AC">
      <w:pPr>
        <w:adjustRightInd w:val="0"/>
        <w:spacing w:line="53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2.项目验收中，国家有强制性规定的，按国家规定执行。招标文件、乙方的承诺及投标文件、本合同及补充协议均成为本项目验收依据。验收过程中产生纠纷或存在异议的，由国家认可的检测机构检测，出具检测报告。</w:t>
      </w:r>
    </w:p>
    <w:p w14:paraId="52408645">
      <w:pPr>
        <w:adjustRightInd w:val="0"/>
        <w:spacing w:line="530" w:lineRule="exact"/>
        <w:ind w:firstLine="640" w:firstLineChars="2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3.项目验收不合格，由乙方返工直至合格，连续</w:t>
      </w:r>
      <w:r>
        <w:rPr>
          <w:rFonts w:hint="eastAsia" w:ascii="仿宋_GB2312" w:eastAsia="仿宋_GB2312" w:cs="仿宋_GB2312"/>
          <w:bCs/>
          <w:sz w:val="32"/>
          <w:szCs w:val="32"/>
        </w:rPr>
        <w:t>2</w:t>
      </w:r>
      <w:r>
        <w:rPr>
          <w:rFonts w:hint="eastAsia" w:ascii="仿宋_GB2312" w:hAnsi="仿宋_GB2312" w:eastAsia="仿宋_GB2312" w:cs="仿宋_GB2312"/>
          <w:bCs/>
          <w:sz w:val="32"/>
          <w:szCs w:val="32"/>
        </w:rPr>
        <w:t>次项目验收不合格的，甲方可终止合同，由此带来的一切损失由乙方承担。</w:t>
      </w:r>
    </w:p>
    <w:p w14:paraId="094F11FA">
      <w:pPr>
        <w:pStyle w:val="2"/>
      </w:pPr>
      <w:r>
        <w:br w:type="page"/>
      </w:r>
    </w:p>
    <w:p w14:paraId="5C98D840">
      <w:pPr>
        <w:widowControl/>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p>
    <w:p w14:paraId="4AD2C017">
      <w:pPr>
        <w:widowControl/>
        <w:spacing w:beforeLines="100" w:afterLines="50"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经济要求</w:t>
      </w:r>
    </w:p>
    <w:p w14:paraId="54441956">
      <w:pPr>
        <w:tabs>
          <w:tab w:val="left" w:pos="0"/>
        </w:tabs>
        <w:autoSpaceDE w:val="0"/>
        <w:autoSpaceDN w:val="0"/>
        <w:adjustRightInd w:val="0"/>
        <w:spacing w:line="560" w:lineRule="exact"/>
        <w:ind w:firstLine="640" w:firstLineChars="200"/>
        <w:rPr>
          <w:rFonts w:ascii="黑体" w:hAnsi="黑体" w:eastAsia="黑体" w:cs="仿宋_GB2312"/>
          <w:sz w:val="32"/>
          <w:szCs w:val="32"/>
        </w:rPr>
      </w:pPr>
      <w:r>
        <w:rPr>
          <w:rFonts w:hint="eastAsia" w:ascii="黑体" w:hAnsi="黑体" w:eastAsia="黑体"/>
          <w:sz w:val="32"/>
          <w:szCs w:val="32"/>
        </w:rPr>
        <w:t>★</w:t>
      </w:r>
      <w:r>
        <w:rPr>
          <w:rFonts w:hint="eastAsia" w:ascii="黑体" w:hAnsi="黑体" w:eastAsia="黑体" w:cs="仿宋_GB2312"/>
          <w:sz w:val="32"/>
          <w:szCs w:val="32"/>
        </w:rPr>
        <w:t>一</w:t>
      </w:r>
      <w:r>
        <w:rPr>
          <w:rFonts w:ascii="黑体" w:hAnsi="黑体" w:eastAsia="黑体" w:cs="仿宋_GB2312"/>
          <w:sz w:val="32"/>
          <w:szCs w:val="32"/>
        </w:rPr>
        <w:t>、</w:t>
      </w:r>
      <w:r>
        <w:rPr>
          <w:rFonts w:hint="eastAsia" w:ascii="黑体" w:hAnsi="黑体" w:eastAsia="黑体" w:cs="仿宋_GB2312"/>
          <w:sz w:val="32"/>
          <w:szCs w:val="32"/>
        </w:rPr>
        <w:t>服务时间、地点</w:t>
      </w:r>
    </w:p>
    <w:p w14:paraId="604D0A9C">
      <w:pPr>
        <w:spacing w:line="579"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服务期限：自合同签订之日起5个自然日内提供服务；</w:t>
      </w:r>
    </w:p>
    <w:p w14:paraId="5B9E2DB5">
      <w:pPr>
        <w:adjustRightInd w:val="0"/>
        <w:spacing w:line="530" w:lineRule="exact"/>
        <w:ind w:firstLine="640" w:firstLineChars="200"/>
        <w:rPr>
          <w:rFonts w:eastAsia="仿宋"/>
          <w:bCs/>
          <w:sz w:val="32"/>
          <w:szCs w:val="32"/>
        </w:rPr>
      </w:pPr>
      <w:r>
        <w:rPr>
          <w:rFonts w:hint="eastAsia" w:ascii="仿宋_GB2312" w:hAnsi="仿宋_GB2312" w:eastAsia="仿宋_GB2312" w:cs="仿宋_GB2312"/>
          <w:sz w:val="32"/>
          <w:szCs w:val="32"/>
        </w:rPr>
        <w:t>服务实施的期限：自合同签订之日起</w:t>
      </w:r>
      <w:r>
        <w:rPr>
          <w:rFonts w:hint="eastAsia" w:ascii="仿宋" w:hAnsi="仿宋" w:eastAsia="仿宋"/>
          <w:sz w:val="32"/>
          <w:szCs w:val="32"/>
        </w:rPr>
        <w:t>1年；</w:t>
      </w:r>
    </w:p>
    <w:p w14:paraId="3185D8BA">
      <w:pPr>
        <w:adjustRightInd w:val="0"/>
        <w:spacing w:line="53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服务地点：</w:t>
      </w:r>
      <w:r>
        <w:rPr>
          <w:rFonts w:hint="eastAsia" w:ascii="仿宋_GB2312" w:eastAsia="仿宋_GB2312"/>
          <w:color w:val="000000" w:themeColor="text1"/>
          <w:sz w:val="32"/>
          <w:szCs w:val="32"/>
          <w14:textFill>
            <w14:solidFill>
              <w14:schemeClr w14:val="tx1"/>
            </w14:solidFill>
          </w14:textFill>
        </w:rPr>
        <w:t>甘肃省兰州市七里河区</w:t>
      </w:r>
      <w:r>
        <w:rPr>
          <w:rFonts w:hint="eastAsia" w:ascii="仿宋_GB2312" w:eastAsia="仿宋_GB2312"/>
          <w:color w:val="000000" w:themeColor="text1"/>
          <w:sz w:val="32"/>
          <w:szCs w:val="32"/>
          <w:lang w:val="en-US" w:eastAsia="zh-CN"/>
          <w14:textFill>
            <w14:solidFill>
              <w14:schemeClr w14:val="tx1"/>
            </w14:solidFill>
          </w14:textFill>
        </w:rPr>
        <w:t>333号</w:t>
      </w:r>
      <w:r>
        <w:rPr>
          <w:rFonts w:hint="eastAsia" w:ascii="仿宋_GB2312" w:eastAsia="仿宋_GB2312"/>
          <w:color w:val="000000" w:themeColor="text1"/>
          <w:sz w:val="32"/>
          <w:szCs w:val="32"/>
          <w14:textFill>
            <w14:solidFill>
              <w14:schemeClr w14:val="tx1"/>
            </w14:solidFill>
          </w14:textFill>
        </w:rPr>
        <w:t>；</w:t>
      </w:r>
    </w:p>
    <w:p w14:paraId="54FDBB31">
      <w:pPr>
        <w:spacing w:line="579" w:lineRule="exact"/>
        <w:ind w:firstLine="640" w:firstLineChars="200"/>
        <w:rPr>
          <w:rFonts w:ascii="仿宋_GB2312" w:hAnsi="等线" w:eastAsia="仿宋_GB2312" w:cs="等线"/>
          <w:bCs/>
          <w:color w:val="000000"/>
          <w:sz w:val="32"/>
          <w:szCs w:val="32"/>
        </w:rPr>
      </w:pPr>
      <w:r>
        <w:rPr>
          <w:rFonts w:hint="eastAsia" w:ascii="仿宋_GB2312" w:hAnsi="等线" w:eastAsia="仿宋_GB2312" w:cs="等线"/>
          <w:bCs/>
          <w:color w:val="000000"/>
          <w:sz w:val="32"/>
          <w:szCs w:val="32"/>
        </w:rPr>
        <w:t>服务</w:t>
      </w:r>
      <w:r>
        <w:rPr>
          <w:rFonts w:ascii="仿宋_GB2312" w:hAnsi="等线" w:eastAsia="仿宋_GB2312" w:cs="等线"/>
          <w:bCs/>
          <w:color w:val="000000"/>
          <w:sz w:val="32"/>
          <w:szCs w:val="32"/>
        </w:rPr>
        <w:t>方式：</w:t>
      </w:r>
      <w:r>
        <w:rPr>
          <w:rFonts w:hint="eastAsia" w:ascii="仿宋_GB2312" w:hAnsi="等线" w:eastAsia="仿宋_GB2312" w:cs="等线"/>
          <w:bCs/>
          <w:color w:val="000000"/>
          <w:sz w:val="32"/>
          <w:szCs w:val="32"/>
        </w:rPr>
        <w:t>现场交付</w:t>
      </w:r>
      <w:r>
        <w:rPr>
          <w:rFonts w:ascii="仿宋_GB2312" w:hAnsi="等线" w:eastAsia="仿宋_GB2312" w:cs="等线"/>
          <w:bCs/>
          <w:color w:val="000000"/>
          <w:sz w:val="32"/>
          <w:szCs w:val="32"/>
        </w:rPr>
        <w:t>。</w:t>
      </w:r>
    </w:p>
    <w:p w14:paraId="6F62E036">
      <w:pPr>
        <w:pStyle w:val="12"/>
        <w:spacing w:line="560" w:lineRule="atLeast"/>
        <w:ind w:firstLine="640"/>
        <w:rPr>
          <w:rFonts w:ascii="黑体" w:hAnsi="黑体" w:eastAsia="黑体" w:cs="仿宋_GB2312"/>
          <w:kern w:val="2"/>
          <w:sz w:val="32"/>
          <w:szCs w:val="32"/>
        </w:rPr>
      </w:pPr>
      <w:r>
        <w:rPr>
          <w:rFonts w:hint="eastAsia" w:ascii="黑体" w:hAnsi="黑体" w:eastAsia="黑体" w:cs="仿宋_GB2312"/>
          <w:kern w:val="2"/>
          <w:sz w:val="32"/>
          <w:szCs w:val="32"/>
        </w:rPr>
        <w:t>★二</w:t>
      </w:r>
      <w:r>
        <w:rPr>
          <w:rFonts w:ascii="黑体" w:hAnsi="黑体" w:eastAsia="黑体" w:cs="仿宋_GB2312"/>
          <w:kern w:val="2"/>
          <w:sz w:val="32"/>
          <w:szCs w:val="32"/>
        </w:rPr>
        <w:t>、</w:t>
      </w:r>
      <w:r>
        <w:rPr>
          <w:rFonts w:hint="eastAsia" w:ascii="黑体" w:hAnsi="黑体" w:eastAsia="黑体" w:cs="仿宋_GB2312"/>
          <w:kern w:val="2"/>
          <w:sz w:val="32"/>
          <w:szCs w:val="32"/>
        </w:rPr>
        <w:t>资金结算</w:t>
      </w:r>
    </w:p>
    <w:p w14:paraId="15758958">
      <w:pPr>
        <w:adjustRightInd w:val="0"/>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本项目分阶段付款，第一阶段，自合同签订生效1个月后，</w:t>
      </w:r>
      <w:r>
        <w:rPr>
          <w:rFonts w:hint="eastAsia" w:ascii="仿宋_GB2312" w:hAnsi="仿宋" w:eastAsia="仿宋_GB2312"/>
          <w:bCs/>
          <w:sz w:val="32"/>
          <w:szCs w:val="32"/>
        </w:rPr>
        <w:t>乙方</w:t>
      </w:r>
      <w:r>
        <w:rPr>
          <w:rFonts w:hint="eastAsia" w:ascii="仿宋_GB2312" w:hAnsi="仿宋_GB2312" w:eastAsia="仿宋_GB2312" w:cs="仿宋_GB2312"/>
          <w:sz w:val="32"/>
          <w:szCs w:val="32"/>
        </w:rPr>
        <w:t>提供符合国家税务部门规定的技术服务增值税发票等结算资料，采购单位支付合同总金额的20%；第二阶段,网络安全等级保护测评通过后，</w:t>
      </w:r>
      <w:r>
        <w:rPr>
          <w:rFonts w:hint="eastAsia" w:ascii="仿宋_GB2312" w:hAnsi="仿宋" w:eastAsia="仿宋_GB2312"/>
          <w:bCs/>
          <w:sz w:val="32"/>
          <w:szCs w:val="32"/>
        </w:rPr>
        <w:t>乙方</w:t>
      </w:r>
      <w:r>
        <w:rPr>
          <w:rFonts w:hint="eastAsia" w:ascii="仿宋_GB2312" w:hAnsi="仿宋_GB2312" w:eastAsia="仿宋_GB2312" w:cs="仿宋_GB2312"/>
          <w:sz w:val="32"/>
          <w:szCs w:val="32"/>
        </w:rPr>
        <w:t>提交结算收据等资料，采购单位支付合同总金额的50%；第三阶段,自服务交付验收合格后，</w:t>
      </w:r>
      <w:r>
        <w:rPr>
          <w:rFonts w:hint="eastAsia" w:ascii="仿宋_GB2312" w:hAnsi="仿宋" w:eastAsia="仿宋_GB2312"/>
          <w:bCs/>
          <w:sz w:val="32"/>
          <w:szCs w:val="32"/>
        </w:rPr>
        <w:t>乙方</w:t>
      </w:r>
      <w:r>
        <w:rPr>
          <w:rFonts w:hint="eastAsia" w:ascii="仿宋_GB2312" w:hAnsi="仿宋_GB2312" w:eastAsia="仿宋_GB2312" w:cs="仿宋_GB2312"/>
          <w:sz w:val="32"/>
          <w:szCs w:val="32"/>
        </w:rPr>
        <w:t>提交结算收据等资料，采购单位支付合同总金额的剩余30%。</w:t>
      </w:r>
    </w:p>
    <w:p w14:paraId="6B01B8D6">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（二）乙方应当向甲方支付合同项下的违约金或赔偿金时，甲方有权从上述任何一笔应当付款中予以扣除。</w:t>
      </w:r>
    </w:p>
    <w:p w14:paraId="3B98B553">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（三）在结算过程中，乙方出具虚假发票或其他虚假材料的，按照提供虚假材料情况处理。</w:t>
      </w:r>
    </w:p>
    <w:p w14:paraId="574D7935">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（四）未经军队采购平台合同管理信息系统编号或者未按照要求进行备案的物资工程服务采购合同书，不得办理支付手续。</w:t>
      </w:r>
    </w:p>
    <w:p w14:paraId="06CA320C">
      <w:pPr>
        <w:pStyle w:val="2"/>
        <w:spacing w:after="0"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若后期军队审计部门、军队采购管理部门、纪检监察部门等职能部门抽查，提出价格虚高等问题，乙方需无条件配合甲方进行调查，积极提供相关审价资料，若审价结果低于合同价，乙方需无条件退还虚高款项；若审价结果高于合同价，按合同价进行结算。</w:t>
      </w:r>
    </w:p>
    <w:p w14:paraId="17AD9AFF">
      <w:pPr>
        <w:tabs>
          <w:tab w:val="left" w:pos="0"/>
        </w:tabs>
        <w:autoSpaceDE w:val="0"/>
        <w:autoSpaceDN w:val="0"/>
        <w:adjustRightInd w:val="0"/>
        <w:spacing w:line="560" w:lineRule="exact"/>
        <w:ind w:firstLine="560"/>
        <w:rPr>
          <w:rFonts w:ascii="黑体" w:hAnsi="黑体" w:eastAsia="黑体" w:cs="仿宋_GB2312"/>
          <w:sz w:val="32"/>
          <w:szCs w:val="32"/>
        </w:rPr>
      </w:pPr>
      <w:r>
        <w:rPr>
          <w:rFonts w:hint="eastAsia" w:ascii="黑体" w:hAnsi="黑体" w:eastAsia="黑体" w:cs="仿宋_GB2312"/>
          <w:sz w:val="32"/>
          <w:szCs w:val="32"/>
        </w:rPr>
        <w:t>★三</w:t>
      </w:r>
      <w:r>
        <w:rPr>
          <w:rFonts w:ascii="黑体" w:hAnsi="黑体" w:eastAsia="黑体" w:cs="仿宋_GB2312"/>
          <w:sz w:val="32"/>
          <w:szCs w:val="32"/>
        </w:rPr>
        <w:t>、</w:t>
      </w:r>
      <w:r>
        <w:rPr>
          <w:rFonts w:hint="eastAsia" w:ascii="黑体" w:hAnsi="黑体" w:eastAsia="黑体" w:cs="仿宋_GB2312"/>
          <w:sz w:val="32"/>
          <w:szCs w:val="32"/>
        </w:rPr>
        <w:t>履约保证金</w:t>
      </w:r>
    </w:p>
    <w:p w14:paraId="0EABA48B">
      <w:pPr>
        <w:adjustRightInd w:val="0"/>
        <w:snapToGrid w:val="0"/>
        <w:spacing w:line="530"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（1）本合同履约保证金为合同金额的</w:t>
      </w:r>
      <w:r>
        <w:rPr>
          <w:rFonts w:ascii="仿宋_GB2312" w:hAnsi="仿宋" w:eastAsia="仿宋_GB2312" w:cs="宋体"/>
          <w:color w:val="000000" w:themeColor="text1"/>
          <w:sz w:val="32"/>
          <w:szCs w:val="32"/>
          <w14:textFill>
            <w14:solidFill>
              <w14:schemeClr w14:val="tx1"/>
            </w14:solidFill>
          </w14:textFill>
        </w:rPr>
        <w:t>5</w:t>
      </w:r>
      <w:r>
        <w:rPr>
          <w:rFonts w:hint="eastAsia" w:ascii="仿宋_GB2312" w:hAnsi="仿宋" w:eastAsia="仿宋_GB2312" w:cs="宋体"/>
          <w:color w:val="000000" w:themeColor="text1"/>
          <w:sz w:val="32"/>
          <w:szCs w:val="32"/>
          <w14:textFill>
            <w14:solidFill>
              <w14:schemeClr w14:val="tx1"/>
            </w14:solidFill>
          </w14:textFill>
        </w:rPr>
        <w:t>%，乙方应当在签订合同前</w:t>
      </w:r>
      <w:r>
        <w:rPr>
          <w:rFonts w:ascii="仿宋_GB2312" w:hAnsi="仿宋" w:eastAsia="仿宋_GB2312" w:cs="宋体"/>
          <w:color w:val="000000" w:themeColor="text1"/>
          <w:sz w:val="32"/>
          <w:szCs w:val="32"/>
          <w14:textFill>
            <w14:solidFill>
              <w14:schemeClr w14:val="tx1"/>
            </w14:solidFill>
          </w14:textFill>
        </w:rPr>
        <w:t>10</w:t>
      </w:r>
      <w:r>
        <w:rPr>
          <w:rFonts w:hint="eastAsia" w:ascii="仿宋_GB2312" w:hAnsi="仿宋" w:eastAsia="仿宋_GB2312" w:cs="宋体"/>
          <w:color w:val="000000" w:themeColor="text1"/>
          <w:sz w:val="32"/>
          <w:szCs w:val="32"/>
          <w14:textFill>
            <w14:solidFill>
              <w14:schemeClr w14:val="tx1"/>
            </w14:solidFill>
          </w14:textFill>
        </w:rPr>
        <w:t>日内缴纳履约保证金。</w:t>
      </w:r>
    </w:p>
    <w:p w14:paraId="3932C6D1">
      <w:pPr>
        <w:adjustRightInd w:val="0"/>
        <w:spacing w:line="530"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（2）乙方在合同履行过程中存在违约行为，合同被甲方终止的，甲方有权没收乙方履约保证金。</w:t>
      </w:r>
    </w:p>
    <w:p w14:paraId="08D438F2">
      <w:pPr>
        <w:adjustRightInd w:val="0"/>
        <w:spacing w:line="530"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（3）履约保证金在合同最终支付结算时无息返还（完成一年服务内容并达到验收合格后无息返还;若中途变更中标供应商</w:t>
      </w:r>
      <w:r>
        <w:rPr>
          <w:rFonts w:ascii="仿宋_GB2312" w:hAnsi="仿宋" w:eastAsia="仿宋_GB2312" w:cs="宋体"/>
          <w:color w:val="000000" w:themeColor="text1"/>
          <w:sz w:val="32"/>
          <w:szCs w:val="32"/>
          <w14:textFill>
            <w14:solidFill>
              <w14:schemeClr w14:val="tx1"/>
            </w14:solidFill>
          </w14:textFill>
        </w:rPr>
        <w:t>，在支付当年度服务费</w:t>
      </w:r>
      <w:r>
        <w:rPr>
          <w:rFonts w:hint="eastAsia" w:ascii="仿宋_GB2312" w:hAnsi="仿宋" w:eastAsia="仿宋_GB2312" w:cs="宋体"/>
          <w:color w:val="000000" w:themeColor="text1"/>
          <w:sz w:val="32"/>
          <w:szCs w:val="32"/>
          <w14:textFill>
            <w14:solidFill>
              <w14:schemeClr w14:val="tx1"/>
            </w14:solidFill>
          </w14:textFill>
        </w:rPr>
        <w:t>时一并</w:t>
      </w:r>
      <w:r>
        <w:rPr>
          <w:rFonts w:ascii="仿宋_GB2312" w:hAnsi="仿宋" w:eastAsia="仿宋_GB2312" w:cs="宋体"/>
          <w:color w:val="000000" w:themeColor="text1"/>
          <w:sz w:val="32"/>
          <w:szCs w:val="32"/>
          <w14:textFill>
            <w14:solidFill>
              <w14:schemeClr w14:val="tx1"/>
            </w14:solidFill>
          </w14:textFill>
        </w:rPr>
        <w:t>无息返还</w:t>
      </w:r>
      <w:r>
        <w:rPr>
          <w:rFonts w:hint="eastAsia" w:ascii="仿宋_GB2312" w:hAnsi="仿宋" w:eastAsia="仿宋_GB2312" w:cs="宋体"/>
          <w:color w:val="000000" w:themeColor="text1"/>
          <w:sz w:val="32"/>
          <w:szCs w:val="32"/>
          <w14:textFill>
            <w14:solidFill>
              <w14:schemeClr w14:val="tx1"/>
            </w14:solidFill>
          </w14:textFill>
        </w:rPr>
        <w:t>）。</w:t>
      </w:r>
    </w:p>
    <w:p w14:paraId="0045CE4F">
      <w:pPr>
        <w:adjustRightInd w:val="0"/>
        <w:spacing w:line="530"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（4）乙方应当向甲方支付合同项下的违约金或赔偿金时，甲方有权从履约保证金中予以扣除。</w:t>
      </w:r>
    </w:p>
    <w:p w14:paraId="302991FF">
      <w:pPr>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四</w:t>
      </w:r>
      <w:r>
        <w:rPr>
          <w:rFonts w:ascii="黑体" w:hAnsi="黑体" w:eastAsia="黑体" w:cs="仿宋_GB2312"/>
          <w:sz w:val="32"/>
          <w:szCs w:val="32"/>
        </w:rPr>
        <w:t>、</w:t>
      </w:r>
      <w:r>
        <w:rPr>
          <w:rFonts w:hint="eastAsia" w:ascii="黑体" w:hAnsi="黑体" w:eastAsia="黑体" w:cs="仿宋_GB2312"/>
          <w:sz w:val="32"/>
          <w:szCs w:val="32"/>
        </w:rPr>
        <w:t>售后服务</w:t>
      </w:r>
    </w:p>
    <w:p w14:paraId="7C1DE5ED">
      <w:pPr>
        <w:adjustRightInd w:val="0"/>
        <w:spacing w:line="530"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无。</w:t>
      </w:r>
    </w:p>
    <w:p w14:paraId="135F5CC9">
      <w:pPr>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★五</w:t>
      </w:r>
      <w:r>
        <w:rPr>
          <w:rFonts w:ascii="黑体" w:hAnsi="黑体" w:eastAsia="黑体" w:cs="仿宋_GB2312"/>
          <w:sz w:val="32"/>
          <w:szCs w:val="32"/>
        </w:rPr>
        <w:t>、</w:t>
      </w:r>
      <w:r>
        <w:rPr>
          <w:rFonts w:hint="eastAsia" w:ascii="黑体" w:hAnsi="黑体" w:eastAsia="黑体" w:cs="仿宋_GB2312"/>
          <w:sz w:val="32"/>
          <w:szCs w:val="32"/>
        </w:rPr>
        <w:t>知识产权</w:t>
      </w:r>
    </w:p>
    <w:p w14:paraId="33C180AE">
      <w:pPr>
        <w:spacing w:line="560" w:lineRule="exact"/>
        <w:ind w:firstLine="645"/>
        <w:rPr>
          <w:rFonts w:ascii="仿宋_GB2312" w:hAnsi="仿宋" w:eastAsia="仿宋_GB2312"/>
          <w:sz w:val="32"/>
          <w:szCs w:val="32"/>
        </w:rPr>
      </w:pPr>
      <w:r>
        <w:rPr>
          <w:rFonts w:hint="eastAsia" w:ascii="仿宋_GB2312" w:hAnsi="仿宋" w:eastAsia="仿宋_GB2312"/>
          <w:sz w:val="32"/>
          <w:szCs w:val="32"/>
        </w:rPr>
        <w:t>投标供应商应保证使用方在使用乙方</w:t>
      </w:r>
      <w:r>
        <w:rPr>
          <w:rFonts w:ascii="仿宋_GB2312" w:hAnsi="仿宋" w:eastAsia="仿宋_GB2312"/>
          <w:sz w:val="32"/>
          <w:szCs w:val="32"/>
        </w:rPr>
        <w:t>交付的服务成果时</w:t>
      </w:r>
      <w:r>
        <w:rPr>
          <w:rFonts w:hint="eastAsia" w:ascii="仿宋_GB2312" w:hAnsi="仿宋" w:eastAsia="仿宋_GB2312"/>
          <w:sz w:val="32"/>
          <w:szCs w:val="32"/>
        </w:rPr>
        <w:t>，不受第三方侵权指控。同时，投标供应商不得向第三方泄露采购单位提供的技术文件等资料。</w:t>
      </w:r>
    </w:p>
    <w:p w14:paraId="5D80952B">
      <w:pPr>
        <w:spacing w:line="560" w:lineRule="exact"/>
        <w:ind w:firstLine="645"/>
        <w:rPr>
          <w:rFonts w:ascii="仿宋_GB2312" w:hAnsi="仿宋" w:eastAsia="仿宋_GB2312"/>
          <w:sz w:val="32"/>
          <w:szCs w:val="32"/>
        </w:rPr>
      </w:pPr>
      <w:r>
        <w:rPr>
          <w:rFonts w:hint="eastAsia" w:ascii="黑体" w:hAnsi="黑体" w:eastAsia="黑体" w:cs="仿宋_GB2312"/>
          <w:sz w:val="32"/>
          <w:szCs w:val="32"/>
        </w:rPr>
        <w:t>六</w:t>
      </w:r>
      <w:r>
        <w:rPr>
          <w:rFonts w:ascii="黑体" w:hAnsi="黑体" w:eastAsia="黑体" w:cs="仿宋_GB2312"/>
          <w:sz w:val="32"/>
          <w:szCs w:val="32"/>
        </w:rPr>
        <w:t>、</w:t>
      </w:r>
      <w:r>
        <w:rPr>
          <w:rFonts w:hint="eastAsia" w:ascii="黑体" w:hAnsi="黑体" w:eastAsia="黑体" w:cs="仿宋_GB2312"/>
          <w:sz w:val="32"/>
          <w:szCs w:val="32"/>
        </w:rPr>
        <w:t>物资编目编码、打码贴签要求</w:t>
      </w:r>
    </w:p>
    <w:p w14:paraId="6B1D4DDB">
      <w:pPr>
        <w:spacing w:line="560" w:lineRule="exact"/>
        <w:ind w:firstLine="645"/>
        <w:rPr>
          <w:rFonts w:ascii="仿宋_GB2312" w:hAnsi="仿宋" w:eastAsia="仿宋_GB2312"/>
          <w:sz w:val="32"/>
          <w:szCs w:val="32"/>
        </w:rPr>
      </w:pPr>
      <w:r>
        <w:rPr>
          <w:rFonts w:hint="eastAsia" w:ascii="仿宋_GB2312" w:hAnsi="仿宋" w:eastAsia="仿宋_GB2312"/>
          <w:sz w:val="32"/>
          <w:szCs w:val="32"/>
        </w:rPr>
        <w:t>本项目为服务类项目，所含</w:t>
      </w:r>
      <w:r>
        <w:rPr>
          <w:rFonts w:ascii="仿宋_GB2312" w:hAnsi="仿宋" w:eastAsia="仿宋_GB2312"/>
          <w:sz w:val="32"/>
          <w:szCs w:val="32"/>
        </w:rPr>
        <w:t>配套物资有</w:t>
      </w:r>
      <w:r>
        <w:rPr>
          <w:rFonts w:hint="eastAsia" w:ascii="仿宋_GB2312" w:hAnsi="仿宋" w:eastAsia="仿宋_GB2312"/>
          <w:sz w:val="32"/>
          <w:szCs w:val="32"/>
        </w:rPr>
        <w:t>编</w:t>
      </w:r>
      <w:r>
        <w:rPr>
          <w:rFonts w:ascii="仿宋_GB2312" w:hAnsi="仿宋" w:eastAsia="仿宋_GB2312"/>
          <w:sz w:val="32"/>
          <w:szCs w:val="32"/>
        </w:rPr>
        <w:t>目编码</w:t>
      </w:r>
      <w:r>
        <w:rPr>
          <w:rFonts w:hint="eastAsia" w:ascii="仿宋_GB2312" w:hAnsi="仿宋" w:eastAsia="仿宋_GB2312"/>
          <w:sz w:val="32"/>
          <w:szCs w:val="32"/>
        </w:rPr>
        <w:t>、</w:t>
      </w:r>
      <w:r>
        <w:rPr>
          <w:rFonts w:ascii="仿宋_GB2312" w:hAnsi="仿宋" w:eastAsia="仿宋_GB2312"/>
          <w:sz w:val="32"/>
          <w:szCs w:val="32"/>
        </w:rPr>
        <w:t>打码贴</w:t>
      </w:r>
      <w:r>
        <w:rPr>
          <w:rFonts w:hint="eastAsia" w:ascii="仿宋_GB2312" w:hAnsi="仿宋" w:eastAsia="仿宋_GB2312"/>
          <w:sz w:val="32"/>
          <w:szCs w:val="32"/>
        </w:rPr>
        <w:t>签</w:t>
      </w:r>
      <w:r>
        <w:rPr>
          <w:rFonts w:ascii="仿宋_GB2312" w:hAnsi="仿宋" w:eastAsia="仿宋_GB2312"/>
          <w:sz w:val="32"/>
          <w:szCs w:val="32"/>
        </w:rPr>
        <w:t>要求的，投标供应商应按采购单位资产管理部门要求予以配合，自行承担相关费用。</w:t>
      </w:r>
    </w:p>
    <w:p w14:paraId="484DF7D7">
      <w:pPr>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★七</w:t>
      </w:r>
      <w:r>
        <w:rPr>
          <w:rFonts w:ascii="黑体" w:hAnsi="黑体" w:eastAsia="黑体" w:cs="仿宋_GB2312"/>
          <w:sz w:val="32"/>
          <w:szCs w:val="32"/>
        </w:rPr>
        <w:t>、</w:t>
      </w:r>
      <w:r>
        <w:rPr>
          <w:rFonts w:hint="eastAsia" w:ascii="黑体" w:hAnsi="黑体" w:eastAsia="黑体" w:cs="仿宋_GB2312"/>
          <w:sz w:val="32"/>
          <w:szCs w:val="32"/>
        </w:rPr>
        <w:t>合同</w:t>
      </w:r>
      <w:r>
        <w:rPr>
          <w:rFonts w:ascii="黑体" w:hAnsi="黑体" w:eastAsia="黑体" w:cs="仿宋_GB2312"/>
          <w:sz w:val="32"/>
          <w:szCs w:val="32"/>
        </w:rPr>
        <w:t>履约要求</w:t>
      </w:r>
    </w:p>
    <w:p w14:paraId="04B0C23C">
      <w:pPr>
        <w:spacing w:line="560" w:lineRule="exact"/>
        <w:ind w:firstLine="645"/>
        <w:rPr>
          <w:rFonts w:ascii="仿宋_GB2312" w:hAnsi="仿宋" w:eastAsia="仿宋_GB2312"/>
          <w:sz w:val="32"/>
          <w:szCs w:val="32"/>
        </w:rPr>
      </w:pPr>
      <w:r>
        <w:rPr>
          <w:rFonts w:hint="eastAsia" w:ascii="仿宋_GB2312" w:hAnsi="仿宋" w:eastAsia="仿宋_GB2312"/>
          <w:sz w:val="32"/>
          <w:szCs w:val="32"/>
        </w:rPr>
        <w:t xml:space="preserve">（一）违约责任： </w:t>
      </w:r>
    </w:p>
    <w:p w14:paraId="3D4B9536">
      <w:pPr>
        <w:adjustRightInd w:val="0"/>
        <w:spacing w:line="530" w:lineRule="exact"/>
        <w:ind w:firstLine="640" w:firstLineChars="200"/>
        <w:rPr>
          <w:rFonts w:ascii="仿宋_GB2312" w:hAnsi="仿宋" w:eastAsia="仿宋_GB2312"/>
          <w:sz w:val="32"/>
          <w:szCs w:val="32"/>
        </w:rPr>
      </w:pPr>
      <w:bookmarkStart w:id="30" w:name="_Hlk129348417"/>
      <w:r>
        <w:rPr>
          <w:rFonts w:hint="eastAsia" w:ascii="仿宋_GB2312" w:hAnsi="仿宋" w:eastAsia="仿宋_GB2312"/>
          <w:sz w:val="32"/>
          <w:szCs w:val="32"/>
        </w:rPr>
        <w:t>（1）乙方未经甲方同意而延期履行的，应当向甲方偿付违约金，违约金每天按合同金额的5‰计算，违约金最高限额为合同金额的5%。如果达到违约金最高限额时仍不能履行，或因延期履行影响甲方任务实施，甲方可以终止合同，而由此给甲方造成的实际损失，乙方应当给予足额赔偿。</w:t>
      </w:r>
    </w:p>
    <w:bookmarkEnd w:id="30"/>
    <w:p w14:paraId="535689A7">
      <w:pPr>
        <w:adjustRightInd w:val="0"/>
        <w:spacing w:line="530" w:lineRule="exact"/>
        <w:ind w:firstLine="640" w:firstLineChars="200"/>
        <w:rPr>
          <w:rFonts w:ascii="仿宋_GB2312" w:hAnsi="仿宋" w:eastAsia="仿宋_GB2312"/>
          <w:sz w:val="32"/>
          <w:szCs w:val="32"/>
        </w:rPr>
      </w:pPr>
      <w:bookmarkStart w:id="31" w:name="_Hlk129350035"/>
      <w:r>
        <w:rPr>
          <w:rFonts w:hint="eastAsia" w:ascii="仿宋_GB2312" w:hAnsi="仿宋" w:eastAsia="仿宋_GB2312"/>
          <w:sz w:val="32"/>
          <w:szCs w:val="32"/>
        </w:rPr>
        <w:t>（2）乙方</w:t>
      </w:r>
      <w:bookmarkEnd w:id="31"/>
      <w:r>
        <w:rPr>
          <w:rFonts w:hint="eastAsia" w:ascii="仿宋_GB2312" w:hAnsi="仿宋" w:eastAsia="仿宋_GB2312"/>
          <w:sz w:val="32"/>
          <w:szCs w:val="32"/>
        </w:rPr>
        <w:t>不能满足</w:t>
      </w:r>
      <w:bookmarkStart w:id="32" w:name="_Hlk129355209"/>
      <w:r>
        <w:rPr>
          <w:rFonts w:hint="eastAsia" w:ascii="仿宋_GB2312" w:hAnsi="仿宋" w:eastAsia="仿宋_GB2312"/>
          <w:sz w:val="32"/>
          <w:szCs w:val="32"/>
        </w:rPr>
        <w:t>合同约定</w:t>
      </w:r>
      <w:bookmarkEnd w:id="32"/>
      <w:r>
        <w:rPr>
          <w:rFonts w:hint="eastAsia" w:ascii="仿宋_GB2312" w:hAnsi="仿宋" w:eastAsia="仿宋_GB2312"/>
          <w:sz w:val="32"/>
          <w:szCs w:val="32"/>
        </w:rPr>
        <w:t>的服务内容和标准等要求，给甲方造成损失的，乙方应当赔偿甲方损失。甲方未按照设备原厂技术手册要求进行操作，造成设备故障的，甲方应当承担额外的维修费用。</w:t>
      </w:r>
    </w:p>
    <w:p w14:paraId="135B392D">
      <w:pPr>
        <w:adjustRightInd w:val="0"/>
        <w:spacing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（3）甲方需按约定及时足额支付服务款，未按约定及时足额支付服务款时，甲方向乙方偿付违约金。每迟付一天按合同金额的1‰向乙方偿付违约金，违约金最高限额为合同金额的 5%。</w:t>
      </w:r>
    </w:p>
    <w:p w14:paraId="2DEB2EC3">
      <w:pPr>
        <w:spacing w:line="560" w:lineRule="exact"/>
        <w:ind w:firstLine="645"/>
        <w:rPr>
          <w:rFonts w:ascii="黑体" w:hAnsi="黑体" w:eastAsia="黑体"/>
          <w:sz w:val="32"/>
          <w:szCs w:val="32"/>
        </w:rPr>
      </w:pPr>
      <w:r>
        <w:rPr>
          <w:rFonts w:hint="eastAsia" w:ascii="仿宋_GB2312" w:hAnsi="仿宋" w:eastAsia="仿宋_GB2312"/>
          <w:sz w:val="32"/>
          <w:szCs w:val="32"/>
        </w:rPr>
        <w:t>（4）如因不可抗力事件导致一方无法履行合同，该方应立即书面通知对方，并在合理期限内提供权威机构出具的证明。受影响方应尽力减轻不可抗力事件所造成的影响。如法律对不可抗力有其他规定，或合同迟延履行后发生不可抗力事件，本条款不免除违约方的责任。</w:t>
      </w:r>
    </w:p>
    <w:p w14:paraId="779A771D">
      <w:pPr>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（二）争议处理：</w:t>
      </w:r>
    </w:p>
    <w:p w14:paraId="7D606E78">
      <w:pPr>
        <w:adjustRightInd w:val="0"/>
        <w:spacing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合同履行过程中，发生争议时，甲方和乙方协商解决。协商不一致的，甲方或者乙方向采购机构负责合同履约的部门反映情况，请求第一次调解处理；第一次调解不成功的，向军级单位采购管理部门或者同等权限的采购管理部门请求第二次调解处理。 </w:t>
      </w:r>
    </w:p>
    <w:p w14:paraId="4B3C0C05">
      <w:pPr>
        <w:adjustRightInd w:val="0"/>
        <w:spacing w:line="53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 xml:space="preserve"> 调节不成功的，甲方或者乙方向甲方所在地仲裁机构提起仲裁或向甲方所在地人民法院提起诉讼。诉讼费由承担责任的一方承担。在诉讼期间，除正在诉讼的部分外，合同的其他部分应继续执行。</w:t>
      </w:r>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roman"/>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3B0EE"/>
    <w:multiLevelType w:val="multilevel"/>
    <w:tmpl w:val="8C33B0EE"/>
    <w:lvl w:ilvl="0" w:tentative="0">
      <w:start w:val="1"/>
      <w:numFmt w:val="decimal"/>
      <w:suff w:val="space"/>
      <w:lvlText w:val="%1"/>
      <w:lvlJc w:val="left"/>
      <w:pPr>
        <w:ind w:left="34" w:firstLine="0"/>
      </w:pPr>
      <w:rPr>
        <w:caps w:val="0"/>
        <w:strike w:val="0"/>
        <w:dstrike w:val="0"/>
        <w:vanish w:val="0"/>
        <w:kern w:val="0"/>
        <w:u w:val="none"/>
      </w:rPr>
    </w:lvl>
    <w:lvl w:ilvl="1" w:tentative="0">
      <w:start w:val="1"/>
      <w:numFmt w:val="lowerLetter"/>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abstractNum w:abstractNumId="1">
    <w:nsid w:val="93DE79F2"/>
    <w:multiLevelType w:val="multilevel"/>
    <w:tmpl w:val="93DE79F2"/>
    <w:lvl w:ilvl="0" w:tentative="0">
      <w:start w:val="1"/>
      <w:numFmt w:val="decimal"/>
      <w:suff w:val="space"/>
      <w:lvlText w:val="%1"/>
      <w:lvlJc w:val="left"/>
      <w:pPr>
        <w:ind w:left="34" w:firstLine="0"/>
      </w:pPr>
      <w:rPr>
        <w:caps w:val="0"/>
        <w:strike w:val="0"/>
        <w:dstrike w:val="0"/>
        <w:vanish w:val="0"/>
        <w:kern w:val="0"/>
        <w:u w:val="none"/>
      </w:rPr>
    </w:lvl>
    <w:lvl w:ilvl="1" w:tentative="0">
      <w:start w:val="1"/>
      <w:numFmt w:val="lowerLetter"/>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abstractNum w:abstractNumId="2">
    <w:nsid w:val="988F8D1B"/>
    <w:multiLevelType w:val="multilevel"/>
    <w:tmpl w:val="988F8D1B"/>
    <w:lvl w:ilvl="0" w:tentative="0">
      <w:start w:val="1"/>
      <w:numFmt w:val="decimal"/>
      <w:suff w:val="space"/>
      <w:lvlText w:val="%1"/>
      <w:lvlJc w:val="left"/>
      <w:pPr>
        <w:ind w:left="34" w:firstLine="0"/>
      </w:pPr>
      <w:rPr>
        <w:caps w:val="0"/>
        <w:strike w:val="0"/>
        <w:dstrike w:val="0"/>
        <w:vanish w:val="0"/>
        <w:kern w:val="0"/>
        <w:u w:val="none"/>
      </w:rPr>
    </w:lvl>
    <w:lvl w:ilvl="1" w:tentative="0">
      <w:start w:val="1"/>
      <w:numFmt w:val="lowerLetter"/>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abstractNum w:abstractNumId="3">
    <w:nsid w:val="026C2324"/>
    <w:multiLevelType w:val="multilevel"/>
    <w:tmpl w:val="026C2324"/>
    <w:lvl w:ilvl="0" w:tentative="0">
      <w:start w:val="1"/>
      <w:numFmt w:val="decimal"/>
      <w:suff w:val="space"/>
      <w:lvlText w:val="%1"/>
      <w:lvlJc w:val="left"/>
      <w:pPr>
        <w:ind w:left="34" w:firstLine="0"/>
      </w:pPr>
      <w:rPr>
        <w:caps w:val="0"/>
        <w:strike w:val="0"/>
        <w:dstrike w:val="0"/>
        <w:vanish w:val="0"/>
        <w:kern w:val="0"/>
        <w:u w:val="none"/>
      </w:rPr>
    </w:lvl>
    <w:lvl w:ilvl="1" w:tentative="0">
      <w:start w:val="1"/>
      <w:numFmt w:val="lowerLetter"/>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abstractNum w:abstractNumId="4">
    <w:nsid w:val="2FB1C5A9"/>
    <w:multiLevelType w:val="multilevel"/>
    <w:tmpl w:val="2FB1C5A9"/>
    <w:lvl w:ilvl="0" w:tentative="0">
      <w:start w:val="1"/>
      <w:numFmt w:val="decimal"/>
      <w:suff w:val="space"/>
      <w:lvlText w:val="%1"/>
      <w:lvlJc w:val="left"/>
      <w:pPr>
        <w:ind w:left="34" w:firstLine="0"/>
      </w:pPr>
      <w:rPr>
        <w:caps w:val="0"/>
        <w:strike w:val="0"/>
        <w:dstrike w:val="0"/>
        <w:vanish w:val="0"/>
        <w:kern w:val="0"/>
        <w:u w:val="none"/>
      </w:rPr>
    </w:lvl>
    <w:lvl w:ilvl="1" w:tentative="0">
      <w:start w:val="1"/>
      <w:numFmt w:val="lowerLetter"/>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abstractNum w:abstractNumId="5">
    <w:nsid w:val="317B8F09"/>
    <w:multiLevelType w:val="multilevel"/>
    <w:tmpl w:val="317B8F09"/>
    <w:lvl w:ilvl="0" w:tentative="0">
      <w:start w:val="1"/>
      <w:numFmt w:val="decimal"/>
      <w:suff w:val="space"/>
      <w:lvlText w:val="%1"/>
      <w:lvlJc w:val="left"/>
      <w:pPr>
        <w:ind w:left="34" w:firstLine="0"/>
      </w:pPr>
      <w:rPr>
        <w:caps w:val="0"/>
        <w:strike w:val="0"/>
        <w:dstrike w:val="0"/>
        <w:vanish w:val="0"/>
        <w:kern w:val="0"/>
        <w:u w:val="none"/>
      </w:rPr>
    </w:lvl>
    <w:lvl w:ilvl="1" w:tentative="0">
      <w:start w:val="1"/>
      <w:numFmt w:val="lowerLetter"/>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abstractNum w:abstractNumId="6">
    <w:nsid w:val="3482773B"/>
    <w:multiLevelType w:val="multilevel"/>
    <w:tmpl w:val="3482773B"/>
    <w:lvl w:ilvl="0" w:tentative="0">
      <w:start w:val="1"/>
      <w:numFmt w:val="decimal"/>
      <w:suff w:val="space"/>
      <w:lvlText w:val="%1"/>
      <w:lvlJc w:val="left"/>
      <w:pPr>
        <w:ind w:left="34" w:firstLine="0"/>
      </w:pPr>
      <w:rPr>
        <w:caps w:val="0"/>
        <w:strike w:val="0"/>
        <w:dstrike w:val="0"/>
        <w:vanish w:val="0"/>
        <w:kern w:val="0"/>
        <w:u w:val="none"/>
      </w:rPr>
    </w:lvl>
    <w:lvl w:ilvl="1" w:tentative="0">
      <w:start w:val="1"/>
      <w:numFmt w:val="lowerLetter"/>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abstractNum w:abstractNumId="7">
    <w:nsid w:val="3F1414CA"/>
    <w:multiLevelType w:val="multilevel"/>
    <w:tmpl w:val="3F1414CA"/>
    <w:lvl w:ilvl="0" w:tentative="0">
      <w:start w:val="1"/>
      <w:numFmt w:val="decimal"/>
      <w:suff w:val="space"/>
      <w:lvlText w:val="%1"/>
      <w:lvlJc w:val="left"/>
      <w:pPr>
        <w:ind w:left="34" w:firstLine="0"/>
      </w:pPr>
      <w:rPr>
        <w:caps w:val="0"/>
        <w:strike w:val="0"/>
        <w:dstrike w:val="0"/>
        <w:vanish w:val="0"/>
        <w:kern w:val="0"/>
        <w:u w:val="none"/>
      </w:rPr>
    </w:lvl>
    <w:lvl w:ilvl="1" w:tentative="0">
      <w:start w:val="1"/>
      <w:numFmt w:val="lowerLetter"/>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abstractNum w:abstractNumId="8">
    <w:nsid w:val="6EBD5C76"/>
    <w:multiLevelType w:val="multilevel"/>
    <w:tmpl w:val="6EBD5C76"/>
    <w:lvl w:ilvl="0" w:tentative="0">
      <w:start w:val="1"/>
      <w:numFmt w:val="decimal"/>
      <w:suff w:val="space"/>
      <w:lvlText w:val="%1"/>
      <w:lvlJc w:val="left"/>
      <w:pPr>
        <w:ind w:left="34" w:firstLine="0"/>
      </w:pPr>
      <w:rPr>
        <w:caps w:val="0"/>
        <w:strike w:val="0"/>
        <w:dstrike w:val="0"/>
        <w:vanish w:val="0"/>
        <w:kern w:val="0"/>
        <w:u w:val="none"/>
      </w:rPr>
    </w:lvl>
    <w:lvl w:ilvl="1" w:tentative="0">
      <w:start w:val="1"/>
      <w:numFmt w:val="lowerLetter"/>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abstractNum w:abstractNumId="9">
    <w:nsid w:val="7A63CD14"/>
    <w:multiLevelType w:val="multilevel"/>
    <w:tmpl w:val="7A63CD14"/>
    <w:lvl w:ilvl="0" w:tentative="0">
      <w:start w:val="1"/>
      <w:numFmt w:val="decimal"/>
      <w:suff w:val="space"/>
      <w:lvlText w:val="%1"/>
      <w:lvlJc w:val="left"/>
      <w:pPr>
        <w:ind w:left="34" w:firstLine="0"/>
      </w:pPr>
      <w:rPr>
        <w:caps w:val="0"/>
        <w:strike w:val="0"/>
        <w:dstrike w:val="0"/>
        <w:vanish w:val="0"/>
        <w:kern w:val="0"/>
        <w:u w:val="none"/>
      </w:rPr>
    </w:lvl>
    <w:lvl w:ilvl="1" w:tentative="0">
      <w:start w:val="1"/>
      <w:numFmt w:val="lowerLetter"/>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num w:numId="1">
    <w:abstractNumId w:val="5"/>
  </w:num>
  <w:num w:numId="2">
    <w:abstractNumId w:val="1"/>
  </w:num>
  <w:num w:numId="3">
    <w:abstractNumId w:val="9"/>
  </w:num>
  <w:num w:numId="4">
    <w:abstractNumId w:val="7"/>
  </w:num>
  <w:num w:numId="5">
    <w:abstractNumId w:val="8"/>
  </w:num>
  <w:num w:numId="6">
    <w:abstractNumId w:val="6"/>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75"/>
    <w:rsid w:val="00165364"/>
    <w:rsid w:val="00304FB2"/>
    <w:rsid w:val="007C14B8"/>
    <w:rsid w:val="00AB1175"/>
    <w:rsid w:val="00D24221"/>
    <w:rsid w:val="00D92E0B"/>
    <w:rsid w:val="011E4E72"/>
    <w:rsid w:val="026744FE"/>
    <w:rsid w:val="038E7EA7"/>
    <w:rsid w:val="047E7393"/>
    <w:rsid w:val="06A765B5"/>
    <w:rsid w:val="06AE532B"/>
    <w:rsid w:val="06BC70C3"/>
    <w:rsid w:val="06E80170"/>
    <w:rsid w:val="075A39FE"/>
    <w:rsid w:val="07B9382B"/>
    <w:rsid w:val="08562408"/>
    <w:rsid w:val="0C911601"/>
    <w:rsid w:val="0CC076BD"/>
    <w:rsid w:val="0D7B6084"/>
    <w:rsid w:val="0E8B081B"/>
    <w:rsid w:val="103E64B1"/>
    <w:rsid w:val="11D77222"/>
    <w:rsid w:val="14710B05"/>
    <w:rsid w:val="1560434F"/>
    <w:rsid w:val="1695777B"/>
    <w:rsid w:val="1E9D056B"/>
    <w:rsid w:val="1EE61F27"/>
    <w:rsid w:val="21333503"/>
    <w:rsid w:val="21521102"/>
    <w:rsid w:val="218B330B"/>
    <w:rsid w:val="24942337"/>
    <w:rsid w:val="25FC4BD7"/>
    <w:rsid w:val="272565C2"/>
    <w:rsid w:val="2834395D"/>
    <w:rsid w:val="287A2DE8"/>
    <w:rsid w:val="294868AC"/>
    <w:rsid w:val="29F74976"/>
    <w:rsid w:val="2A4A4CAD"/>
    <w:rsid w:val="2A984CF7"/>
    <w:rsid w:val="2B8C67EC"/>
    <w:rsid w:val="2D2E2FB8"/>
    <w:rsid w:val="2D8924E6"/>
    <w:rsid w:val="2FD77D2C"/>
    <w:rsid w:val="33D87650"/>
    <w:rsid w:val="33EA4761"/>
    <w:rsid w:val="363D3A45"/>
    <w:rsid w:val="36B870F5"/>
    <w:rsid w:val="37FB419F"/>
    <w:rsid w:val="3ADC5CD0"/>
    <w:rsid w:val="3BA575E3"/>
    <w:rsid w:val="40B44D57"/>
    <w:rsid w:val="40CE1965"/>
    <w:rsid w:val="41E47B52"/>
    <w:rsid w:val="424B05A7"/>
    <w:rsid w:val="43E57833"/>
    <w:rsid w:val="45160BCE"/>
    <w:rsid w:val="477601E1"/>
    <w:rsid w:val="47BD4670"/>
    <w:rsid w:val="495A68EB"/>
    <w:rsid w:val="49682A59"/>
    <w:rsid w:val="4A52225F"/>
    <w:rsid w:val="4BC2003E"/>
    <w:rsid w:val="4CC76D49"/>
    <w:rsid w:val="4D14204B"/>
    <w:rsid w:val="4F3613F9"/>
    <w:rsid w:val="4FBE337D"/>
    <w:rsid w:val="50706A9A"/>
    <w:rsid w:val="515F450E"/>
    <w:rsid w:val="517E2D9A"/>
    <w:rsid w:val="52830780"/>
    <w:rsid w:val="542C2FD3"/>
    <w:rsid w:val="56027451"/>
    <w:rsid w:val="57AB017A"/>
    <w:rsid w:val="5910307A"/>
    <w:rsid w:val="599337FB"/>
    <w:rsid w:val="59E62336"/>
    <w:rsid w:val="5C4B5E63"/>
    <w:rsid w:val="5D2E50AF"/>
    <w:rsid w:val="5D48231F"/>
    <w:rsid w:val="5D935AB7"/>
    <w:rsid w:val="5F7B2EBF"/>
    <w:rsid w:val="62173B54"/>
    <w:rsid w:val="6371261F"/>
    <w:rsid w:val="64CA68F9"/>
    <w:rsid w:val="650332E9"/>
    <w:rsid w:val="65FA66A0"/>
    <w:rsid w:val="66027585"/>
    <w:rsid w:val="67D54AAC"/>
    <w:rsid w:val="67F1712A"/>
    <w:rsid w:val="694E3033"/>
    <w:rsid w:val="69F141F7"/>
    <w:rsid w:val="6A70445A"/>
    <w:rsid w:val="6C5B33B9"/>
    <w:rsid w:val="6C7957A9"/>
    <w:rsid w:val="6F464C76"/>
    <w:rsid w:val="723E4B9A"/>
    <w:rsid w:val="746C6866"/>
    <w:rsid w:val="748C6E8B"/>
    <w:rsid w:val="753124FA"/>
    <w:rsid w:val="75985045"/>
    <w:rsid w:val="75C62076"/>
    <w:rsid w:val="79C752B1"/>
    <w:rsid w:val="7A7B5D6D"/>
    <w:rsid w:val="7AE53334"/>
    <w:rsid w:val="7AF9510C"/>
    <w:rsid w:val="7B9F0E93"/>
    <w:rsid w:val="7F350E23"/>
    <w:rsid w:val="7FCD55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link w:val="14"/>
    <w:qFormat/>
    <w:uiPriority w:val="0"/>
    <w:pPr>
      <w:keepNext/>
      <w:keepLines/>
      <w:spacing w:before="280" w:after="290" w:line="376" w:lineRule="auto"/>
      <w:outlineLvl w:val="3"/>
    </w:pPr>
    <w:rPr>
      <w:rFonts w:ascii="Arial" w:hAnsi="Arial" w:eastAsia="黑体" w:cs="仿宋_GB2312"/>
      <w:b/>
      <w:bCs/>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0"/>
    <w:pPr>
      <w:spacing w:after="120"/>
    </w:pPr>
    <w:rPr>
      <w:rFonts w:ascii="Calibri" w:hAnsi="Calibri" w:eastAsia="宋体" w:cs="Times New Roman"/>
      <w:szCs w:val="24"/>
    </w:rPr>
  </w:style>
  <w:style w:type="paragraph" w:styleId="4">
    <w:name w:val="footer"/>
    <w:basedOn w:val="1"/>
    <w:link w:val="19"/>
    <w:semiHidden/>
    <w:unhideWhenUsed/>
    <w:uiPriority w:val="99"/>
    <w:pPr>
      <w:tabs>
        <w:tab w:val="center" w:pos="4153"/>
        <w:tab w:val="right" w:pos="8306"/>
      </w:tabs>
      <w:snapToGrid w:val="0"/>
      <w:jc w:val="left"/>
    </w:pPr>
    <w:rPr>
      <w:sz w:val="18"/>
      <w:szCs w:val="18"/>
    </w:rPr>
  </w:style>
  <w:style w:type="paragraph" w:styleId="5">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4 字符"/>
    <w:basedOn w:val="9"/>
    <w:semiHidden/>
    <w:uiPriority w:val="9"/>
    <w:rPr>
      <w:rFonts w:asciiTheme="majorHAnsi" w:hAnsiTheme="majorHAnsi" w:eastAsiaTheme="majorEastAsia" w:cstheme="majorBidi"/>
      <w:b/>
      <w:bCs/>
      <w:sz w:val="28"/>
      <w:szCs w:val="28"/>
    </w:rPr>
  </w:style>
  <w:style w:type="character" w:customStyle="1" w:styleId="11">
    <w:name w:val="正文文本 Char"/>
    <w:basedOn w:val="9"/>
    <w:link w:val="2"/>
    <w:qFormat/>
    <w:uiPriority w:val="0"/>
    <w:rPr>
      <w:rFonts w:ascii="Calibri" w:hAnsi="Calibri" w:eastAsia="宋体" w:cs="Times New Roman"/>
      <w:szCs w:val="24"/>
    </w:rPr>
  </w:style>
  <w:style w:type="paragraph" w:customStyle="1" w:styleId="12">
    <w:name w:val="列出段落1"/>
    <w:basedOn w:val="1"/>
    <w:link w:val="13"/>
    <w:qFormat/>
    <w:uiPriority w:val="0"/>
    <w:pPr>
      <w:ind w:firstLine="420" w:firstLineChars="200"/>
    </w:pPr>
    <w:rPr>
      <w:rFonts w:ascii="Times New Roman" w:hAnsi="Times New Roman" w:eastAsia="宋体" w:cs="Times New Roman"/>
      <w:kern w:val="0"/>
      <w:sz w:val="24"/>
      <w:szCs w:val="24"/>
    </w:rPr>
  </w:style>
  <w:style w:type="character" w:customStyle="1" w:styleId="13">
    <w:name w:val="List Paragraph Char"/>
    <w:link w:val="12"/>
    <w:qFormat/>
    <w:locked/>
    <w:uiPriority w:val="0"/>
    <w:rPr>
      <w:rFonts w:ascii="Times New Roman" w:hAnsi="Times New Roman" w:eastAsia="宋体" w:cs="Times New Roman"/>
      <w:kern w:val="0"/>
      <w:sz w:val="24"/>
      <w:szCs w:val="24"/>
    </w:rPr>
  </w:style>
  <w:style w:type="character" w:customStyle="1" w:styleId="14">
    <w:name w:val="标题 4 Char"/>
    <w:basedOn w:val="9"/>
    <w:link w:val="3"/>
    <w:qFormat/>
    <w:uiPriority w:val="0"/>
    <w:rPr>
      <w:rFonts w:ascii="Arial" w:hAnsi="Arial" w:eastAsia="黑体" w:cs="仿宋_GB2312"/>
      <w:b/>
      <w:bCs/>
      <w:sz w:val="28"/>
      <w:szCs w:val="28"/>
    </w:rPr>
  </w:style>
  <w:style w:type="paragraph" w:customStyle="1" w:styleId="15">
    <w:name w:val="列出段落2"/>
    <w:basedOn w:val="1"/>
    <w:qFormat/>
    <w:uiPriority w:val="99"/>
    <w:pPr>
      <w:widowControl/>
      <w:ind w:left="720" w:firstLine="360"/>
      <w:jc w:val="left"/>
    </w:pPr>
    <w:rPr>
      <w:rFonts w:ascii="Calibri" w:hAnsi="Calibri"/>
      <w:kern w:val="0"/>
      <w:sz w:val="22"/>
      <w:szCs w:val="20"/>
      <w:lang w:eastAsia="en-US"/>
    </w:rPr>
  </w:style>
  <w:style w:type="paragraph" w:styleId="16">
    <w:name w:val="List Paragraph"/>
    <w:basedOn w:val="1"/>
    <w:qFormat/>
    <w:uiPriority w:val="34"/>
    <w:pPr>
      <w:ind w:firstLine="420" w:firstLineChars="200"/>
    </w:pPr>
  </w:style>
  <w:style w:type="paragraph" w:customStyle="1" w:styleId="17">
    <w:name w:val="msolistparagraph"/>
    <w:basedOn w:val="1"/>
    <w:qFormat/>
    <w:uiPriority w:val="0"/>
    <w:pPr>
      <w:ind w:firstLine="420" w:firstLineChars="200"/>
    </w:pPr>
    <w:rPr>
      <w:rFonts w:ascii="Calibri" w:hAnsi="Calibri"/>
    </w:rPr>
  </w:style>
  <w:style w:type="character" w:customStyle="1" w:styleId="18">
    <w:name w:val="页眉 Char"/>
    <w:basedOn w:val="9"/>
    <w:link w:val="5"/>
    <w:semiHidden/>
    <w:qFormat/>
    <w:uiPriority w:val="99"/>
    <w:rPr>
      <w:rFonts w:asciiTheme="minorHAnsi" w:hAnsiTheme="minorHAnsi" w:eastAsiaTheme="minorEastAsia" w:cstheme="minorBidi"/>
      <w:kern w:val="2"/>
      <w:sz w:val="18"/>
      <w:szCs w:val="18"/>
    </w:rPr>
  </w:style>
  <w:style w:type="character" w:customStyle="1" w:styleId="19">
    <w:name w:val="页脚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30</Pages>
  <Words>2691</Words>
  <Characters>15344</Characters>
  <Lines>127</Lines>
  <Paragraphs>35</Paragraphs>
  <TotalTime>3</TotalTime>
  <ScaleCrop>false</ScaleCrop>
  <LinksUpToDate>false</LinksUpToDate>
  <CharactersWithSpaces>18000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2025-06-16T08:17:00Z</dcterms:created>
  <dc:creator>Administrator</dc:creator>
  <cp:lastModifiedBy>Administrator</cp:lastModifiedBy>
  <dcterms:modified xsi:type="dcterms:W3CDTF">2025-07-03T06:55:51Z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eyJoZGlkIjoiZGYwMDRhZDcwOTA3ZDdjNDIyMjc4OTgzZDA3ZjcyZDkifQ==</vt:lpwstr>
  </property>
  <property fmtid="{D5CDD505-2E9C-101B-9397-08002B2CF9AE}" pid="4" name="ICV">
    <vt:lpwstr>E9A1952D85C6409AA0DC25637C586743_13</vt:lpwstr>
  </property>
</Properties>
</file>