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0D798">
      <w:pPr>
        <w:spacing w:line="570" w:lineRule="exact"/>
        <w:jc w:val="center"/>
        <w:rPr>
          <w:rFonts w:ascii="方正小标宋简体" w:eastAsia="方正小标宋简体"/>
          <w:spacing w:val="-4"/>
          <w:sz w:val="44"/>
          <w:szCs w:val="44"/>
        </w:rPr>
      </w:pPr>
      <w:r>
        <w:rPr>
          <w:rFonts w:hint="eastAsia" w:ascii="方正小标宋简体" w:eastAsia="方正小标宋简体"/>
          <w:spacing w:val="-4"/>
          <w:sz w:val="44"/>
          <w:szCs w:val="44"/>
        </w:rPr>
        <w:t>关于编报检查检验结果互认平台对接项目</w:t>
      </w:r>
    </w:p>
    <w:p w14:paraId="40281BDD">
      <w:pPr>
        <w:spacing w:line="570" w:lineRule="exact"/>
        <w:jc w:val="center"/>
        <w:rPr>
          <w:rFonts w:ascii="方正小标宋简体" w:eastAsia="方正小标宋简体"/>
          <w:spacing w:val="-4"/>
          <w:sz w:val="44"/>
          <w:szCs w:val="44"/>
        </w:rPr>
      </w:pPr>
      <w:r>
        <w:rPr>
          <w:rFonts w:hint="eastAsia" w:ascii="方正小标宋简体" w:eastAsia="方正小标宋简体"/>
          <w:spacing w:val="-4"/>
          <w:sz w:val="44"/>
          <w:szCs w:val="44"/>
        </w:rPr>
        <w:t>采购需求事</w:t>
      </w:r>
    </w:p>
    <w:p w14:paraId="1C8846C9">
      <w:pPr>
        <w:rPr>
          <w:rFonts w:ascii="宋体" w:hAnsi="宋体"/>
          <w:sz w:val="32"/>
          <w:szCs w:val="32"/>
        </w:rPr>
      </w:pPr>
    </w:p>
    <w:p w14:paraId="1E5135B0">
      <w:pPr>
        <w:spacing w:line="580" w:lineRule="exact"/>
        <w:ind w:firstLine="640" w:firstLineChars="200"/>
        <w:rPr>
          <w:rFonts w:ascii="黑体" w:hAnsi="黑体" w:eastAsia="黑体"/>
          <w:sz w:val="32"/>
          <w:szCs w:val="32"/>
        </w:rPr>
      </w:pPr>
      <w:r>
        <w:rPr>
          <w:rFonts w:hint="eastAsia" w:ascii="黑体" w:hAnsi="黑体" w:eastAsia="黑体"/>
          <w:sz w:val="32"/>
          <w:szCs w:val="32"/>
        </w:rPr>
        <w:t>一、采购需求基本情况</w:t>
      </w:r>
    </w:p>
    <w:p w14:paraId="228F5767">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本项目主要用于医院HIS、PACS和LIS系统与甘肃省检查检验结果互认平台做对接。检查检验结果互认平台对接完成后，各医疗机构的医生在接诊患者时，患者不用携带纸质检查检验报告资料，医生可在系统中查看患者近期在其他医疗机构所做的检查检验结果。可提高医疗资源利用效率，简化患者就医环节，杜绝重复检查、重复收费，节约患者就诊排队时间，减少医保支出，切实减轻群众就医负担，提升群众就医便利性、满意度。</w:t>
      </w:r>
      <w:r>
        <w:rPr>
          <w:rFonts w:hint="eastAsia" w:ascii="仿宋_GB2312" w:hAnsi="仿宋" w:eastAsia="仿宋_GB2312"/>
          <w:sz w:val="32"/>
          <w:szCs w:val="32"/>
          <w:lang w:eastAsia="zh-CN"/>
        </w:rPr>
        <w:t>该项目</w:t>
      </w:r>
      <w:r>
        <w:rPr>
          <w:rFonts w:ascii="仿宋_GB2312" w:hAnsi="仿宋" w:eastAsia="仿宋_GB2312"/>
          <w:sz w:val="32"/>
          <w:szCs w:val="32"/>
        </w:rPr>
        <w:t>预算</w:t>
      </w:r>
      <w:r>
        <w:rPr>
          <w:rFonts w:hint="eastAsia" w:ascii="仿宋_GB2312" w:hAnsi="仿宋" w:eastAsia="仿宋_GB2312"/>
          <w:sz w:val="32"/>
          <w:szCs w:val="32"/>
        </w:rPr>
        <w:t>60万元</w:t>
      </w:r>
      <w:r>
        <w:rPr>
          <w:rFonts w:ascii="仿宋_GB2312" w:hAnsi="仿宋" w:eastAsia="仿宋_GB2312"/>
          <w:sz w:val="32"/>
          <w:szCs w:val="32"/>
        </w:rPr>
        <w:t>。</w:t>
      </w:r>
    </w:p>
    <w:p w14:paraId="1C8BE191">
      <w:pPr>
        <w:spacing w:line="579" w:lineRule="exact"/>
        <w:ind w:firstLine="3840" w:firstLineChars="1200"/>
        <w:rPr>
          <w:rFonts w:hint="eastAsia" w:ascii="仿宋_GB2312" w:hAnsi="宋体" w:eastAsia="仿宋_GB2312" w:cs="仿宋_GB2312"/>
          <w:sz w:val="32"/>
          <w:szCs w:val="32"/>
        </w:rPr>
      </w:pPr>
    </w:p>
    <w:p w14:paraId="08CF62C9">
      <w:pPr>
        <w:pStyle w:val="2"/>
        <w:rPr>
          <w:rFonts w:hint="eastAsia"/>
        </w:rPr>
      </w:pPr>
    </w:p>
    <w:p w14:paraId="3C68394C">
      <w:pPr>
        <w:sectPr>
          <w:footerReference r:id="rId3" w:type="default"/>
          <w:footerReference r:id="rId4" w:type="even"/>
          <w:pgSz w:w="11907" w:h="16840"/>
          <w:pgMar w:top="1418" w:right="1474" w:bottom="1418" w:left="1559" w:header="851" w:footer="992" w:gutter="0"/>
          <w:cols w:space="720" w:num="1"/>
          <w:docGrid w:linePitch="606" w:charSpace="4991"/>
        </w:sectPr>
      </w:pPr>
    </w:p>
    <w:p w14:paraId="168A0F78">
      <w:pPr>
        <w:spacing w:line="579" w:lineRule="exact"/>
        <w:rPr>
          <w:rFonts w:ascii="黑体" w:hAnsi="黑体" w:eastAsia="黑体"/>
          <w:sz w:val="32"/>
          <w:szCs w:val="32"/>
        </w:rPr>
      </w:pPr>
      <w:r>
        <w:rPr>
          <w:rFonts w:hint="eastAsia" w:ascii="黑体" w:hAnsi="黑体" w:eastAsia="黑体"/>
          <w:sz w:val="32"/>
          <w:szCs w:val="32"/>
        </w:rPr>
        <w:t>附件1</w:t>
      </w:r>
    </w:p>
    <w:p w14:paraId="20D059C2">
      <w:pPr>
        <w:spacing w:line="579"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检查检验结果互认平台对接项目需求明细表</w:t>
      </w:r>
    </w:p>
    <w:p w14:paraId="2B2EFD6F">
      <w:pPr>
        <w:spacing w:line="579" w:lineRule="exact"/>
        <w:rPr>
          <w:rFonts w:ascii="楷体_GB2312" w:hAnsi="方正小标宋简体" w:eastAsia="楷体_GB2312" w:cs="方正小标宋简体"/>
        </w:rPr>
      </w:pPr>
    </w:p>
    <w:p w14:paraId="76829F27">
      <w:pPr>
        <w:spacing w:line="579" w:lineRule="exact"/>
        <w:rPr>
          <w:rFonts w:ascii="楷体_GB2312" w:hAnsi="方正小标宋简体" w:eastAsia="楷体_GB2312" w:cs="方正小标宋简体"/>
          <w:sz w:val="32"/>
          <w:szCs w:val="32"/>
        </w:rPr>
      </w:pPr>
      <w:r>
        <w:rPr>
          <w:rFonts w:hint="eastAsia" w:ascii="楷体_GB2312" w:hAnsi="方正小标宋简体" w:eastAsia="楷体_GB2312" w:cs="方正小标宋简体"/>
          <w:sz w:val="32"/>
          <w:szCs w:val="32"/>
        </w:rPr>
        <w:t xml:space="preserve"> </w:t>
      </w:r>
    </w:p>
    <w:tbl>
      <w:tblPr>
        <w:tblStyle w:val="13"/>
        <w:tblW w:w="147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3"/>
        <w:gridCol w:w="1438"/>
        <w:gridCol w:w="862"/>
        <w:gridCol w:w="2041"/>
        <w:gridCol w:w="739"/>
        <w:gridCol w:w="782"/>
        <w:gridCol w:w="872"/>
        <w:gridCol w:w="1092"/>
        <w:gridCol w:w="1545"/>
        <w:gridCol w:w="1422"/>
        <w:gridCol w:w="1092"/>
        <w:gridCol w:w="1067"/>
        <w:gridCol w:w="1310"/>
      </w:tblGrid>
      <w:tr w14:paraId="35163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14:paraId="23AEFC4D">
            <w:pPr>
              <w:widowControl/>
              <w:snapToGrid w:val="0"/>
              <w:jc w:val="center"/>
              <w:rPr>
                <w:rFonts w:ascii="黑体" w:hAnsi="黑体" w:eastAsia="黑体"/>
                <w:sz w:val="20"/>
                <w:szCs w:val="20"/>
              </w:rPr>
            </w:pPr>
            <w:r>
              <w:rPr>
                <w:rFonts w:hint="eastAsia" w:ascii="黑体" w:hAnsi="黑体" w:eastAsia="黑体" w:cs="黑体"/>
                <w:sz w:val="20"/>
                <w:szCs w:val="20"/>
              </w:rPr>
              <w:t>序号</w:t>
            </w:r>
          </w:p>
        </w:tc>
        <w:tc>
          <w:tcPr>
            <w:tcW w:w="1438" w:type="dxa"/>
            <w:tcBorders>
              <w:top w:val="single" w:color="000000" w:sz="4" w:space="0"/>
              <w:left w:val="single" w:color="000000" w:sz="4" w:space="0"/>
              <w:bottom w:val="single" w:color="000000" w:sz="4" w:space="0"/>
              <w:right w:val="single" w:color="000000" w:sz="4" w:space="0"/>
            </w:tcBorders>
            <w:vAlign w:val="center"/>
          </w:tcPr>
          <w:p w14:paraId="61EB905A">
            <w:pPr>
              <w:widowControl/>
              <w:snapToGrid w:val="0"/>
              <w:jc w:val="center"/>
              <w:rPr>
                <w:rFonts w:ascii="黑体" w:hAnsi="黑体" w:eastAsia="黑体"/>
                <w:sz w:val="20"/>
                <w:szCs w:val="20"/>
              </w:rPr>
            </w:pPr>
            <w:r>
              <w:rPr>
                <w:rFonts w:hint="eastAsia" w:ascii="黑体" w:hAnsi="黑体" w:eastAsia="黑体" w:cs="黑体"/>
                <w:sz w:val="20"/>
                <w:szCs w:val="20"/>
              </w:rPr>
              <w:t>货物名称</w:t>
            </w:r>
          </w:p>
        </w:tc>
        <w:tc>
          <w:tcPr>
            <w:tcW w:w="862" w:type="dxa"/>
            <w:tcBorders>
              <w:top w:val="single" w:color="000000" w:sz="4" w:space="0"/>
              <w:left w:val="single" w:color="000000" w:sz="4" w:space="0"/>
              <w:bottom w:val="single" w:color="000000" w:sz="4" w:space="0"/>
              <w:right w:val="single" w:color="000000" w:sz="4" w:space="0"/>
            </w:tcBorders>
            <w:vAlign w:val="center"/>
          </w:tcPr>
          <w:p w14:paraId="7CCCCCA5">
            <w:pPr>
              <w:widowControl/>
              <w:snapToGrid w:val="0"/>
              <w:jc w:val="center"/>
              <w:rPr>
                <w:rFonts w:ascii="黑体" w:hAnsi="黑体" w:eastAsia="黑体"/>
                <w:sz w:val="20"/>
                <w:szCs w:val="20"/>
              </w:rPr>
            </w:pPr>
            <w:r>
              <w:rPr>
                <w:rFonts w:hint="eastAsia" w:ascii="黑体" w:hAnsi="黑体" w:eastAsia="黑体" w:cs="黑体"/>
                <w:sz w:val="20"/>
                <w:szCs w:val="20"/>
              </w:rPr>
              <w:t>规格</w:t>
            </w:r>
          </w:p>
          <w:p w14:paraId="31F1C9F3">
            <w:pPr>
              <w:widowControl/>
              <w:snapToGrid w:val="0"/>
              <w:jc w:val="center"/>
              <w:rPr>
                <w:rFonts w:ascii="黑体" w:hAnsi="黑体" w:eastAsia="黑体"/>
                <w:sz w:val="20"/>
                <w:szCs w:val="20"/>
              </w:rPr>
            </w:pPr>
            <w:r>
              <w:rPr>
                <w:rFonts w:hint="eastAsia" w:ascii="黑体" w:hAnsi="黑体" w:eastAsia="黑体" w:cs="黑体"/>
                <w:sz w:val="20"/>
                <w:szCs w:val="20"/>
              </w:rPr>
              <w:t>型号</w:t>
            </w:r>
          </w:p>
        </w:tc>
        <w:tc>
          <w:tcPr>
            <w:tcW w:w="2041" w:type="dxa"/>
            <w:tcBorders>
              <w:top w:val="single" w:color="000000" w:sz="4" w:space="0"/>
              <w:left w:val="single" w:color="000000" w:sz="4" w:space="0"/>
              <w:bottom w:val="single" w:color="000000" w:sz="4" w:space="0"/>
              <w:right w:val="single" w:color="000000" w:sz="4" w:space="0"/>
            </w:tcBorders>
            <w:vAlign w:val="center"/>
          </w:tcPr>
          <w:p w14:paraId="0DD15671">
            <w:pPr>
              <w:widowControl/>
              <w:snapToGrid w:val="0"/>
              <w:jc w:val="center"/>
              <w:rPr>
                <w:rFonts w:ascii="黑体" w:hAnsi="黑体" w:eastAsia="黑体"/>
                <w:sz w:val="20"/>
                <w:szCs w:val="20"/>
              </w:rPr>
            </w:pPr>
            <w:r>
              <w:rPr>
                <w:rFonts w:hint="eastAsia" w:ascii="黑体" w:hAnsi="黑体" w:eastAsia="黑体" w:cs="黑体"/>
                <w:sz w:val="20"/>
                <w:szCs w:val="20"/>
              </w:rPr>
              <w:t>物资质量技术标准或服务内容及标准要求</w:t>
            </w:r>
          </w:p>
        </w:tc>
        <w:tc>
          <w:tcPr>
            <w:tcW w:w="739" w:type="dxa"/>
            <w:tcBorders>
              <w:top w:val="single" w:color="000000" w:sz="4" w:space="0"/>
              <w:left w:val="single" w:color="000000" w:sz="4" w:space="0"/>
              <w:bottom w:val="single" w:color="000000" w:sz="4" w:space="0"/>
              <w:right w:val="single" w:color="000000" w:sz="4" w:space="0"/>
            </w:tcBorders>
            <w:vAlign w:val="center"/>
          </w:tcPr>
          <w:p w14:paraId="7D0C5436">
            <w:pPr>
              <w:widowControl/>
              <w:snapToGrid w:val="0"/>
              <w:jc w:val="center"/>
              <w:rPr>
                <w:rFonts w:ascii="黑体" w:hAnsi="黑体" w:eastAsia="黑体"/>
                <w:sz w:val="20"/>
                <w:szCs w:val="20"/>
              </w:rPr>
            </w:pPr>
            <w:r>
              <w:rPr>
                <w:rFonts w:hint="eastAsia" w:ascii="黑体" w:hAnsi="黑体" w:eastAsia="黑体" w:cs="黑体"/>
                <w:sz w:val="20"/>
                <w:szCs w:val="20"/>
              </w:rPr>
              <w:t>计量</w:t>
            </w:r>
          </w:p>
          <w:p w14:paraId="027300FE">
            <w:pPr>
              <w:widowControl/>
              <w:snapToGrid w:val="0"/>
              <w:jc w:val="center"/>
              <w:rPr>
                <w:rFonts w:ascii="黑体" w:hAnsi="黑体" w:eastAsia="黑体"/>
                <w:sz w:val="20"/>
                <w:szCs w:val="20"/>
              </w:rPr>
            </w:pPr>
            <w:r>
              <w:rPr>
                <w:rFonts w:hint="eastAsia" w:ascii="黑体" w:hAnsi="黑体" w:eastAsia="黑体" w:cs="黑体"/>
                <w:sz w:val="20"/>
                <w:szCs w:val="20"/>
              </w:rPr>
              <w:t>单位</w:t>
            </w:r>
          </w:p>
        </w:tc>
        <w:tc>
          <w:tcPr>
            <w:tcW w:w="782" w:type="dxa"/>
            <w:tcBorders>
              <w:top w:val="single" w:color="000000" w:sz="4" w:space="0"/>
              <w:left w:val="single" w:color="000000" w:sz="4" w:space="0"/>
              <w:bottom w:val="single" w:color="000000" w:sz="4" w:space="0"/>
              <w:right w:val="single" w:color="000000" w:sz="4" w:space="0"/>
            </w:tcBorders>
            <w:vAlign w:val="center"/>
          </w:tcPr>
          <w:p w14:paraId="0819CF44">
            <w:pPr>
              <w:widowControl/>
              <w:snapToGrid w:val="0"/>
              <w:jc w:val="center"/>
              <w:rPr>
                <w:rFonts w:ascii="黑体" w:hAnsi="黑体" w:eastAsia="黑体"/>
                <w:sz w:val="20"/>
                <w:szCs w:val="20"/>
              </w:rPr>
            </w:pPr>
            <w:r>
              <w:rPr>
                <w:rFonts w:hint="eastAsia" w:ascii="黑体" w:hAnsi="黑体" w:eastAsia="黑体" w:cs="黑体"/>
                <w:sz w:val="20"/>
                <w:szCs w:val="20"/>
              </w:rPr>
              <w:t>采购</w:t>
            </w:r>
          </w:p>
          <w:p w14:paraId="70A860BE">
            <w:pPr>
              <w:widowControl/>
              <w:snapToGrid w:val="0"/>
              <w:jc w:val="center"/>
              <w:rPr>
                <w:rFonts w:ascii="黑体" w:hAnsi="黑体" w:eastAsia="黑体"/>
                <w:sz w:val="20"/>
                <w:szCs w:val="20"/>
              </w:rPr>
            </w:pPr>
            <w:r>
              <w:rPr>
                <w:rFonts w:hint="eastAsia" w:ascii="黑体" w:hAnsi="黑体" w:eastAsia="黑体" w:cs="黑体"/>
                <w:sz w:val="20"/>
                <w:szCs w:val="20"/>
              </w:rPr>
              <w:t>数量</w:t>
            </w:r>
          </w:p>
        </w:tc>
        <w:tc>
          <w:tcPr>
            <w:tcW w:w="872" w:type="dxa"/>
            <w:tcBorders>
              <w:top w:val="single" w:color="000000" w:sz="4" w:space="0"/>
              <w:left w:val="single" w:color="000000" w:sz="4" w:space="0"/>
              <w:bottom w:val="single" w:color="000000" w:sz="4" w:space="0"/>
              <w:right w:val="single" w:color="000000" w:sz="4" w:space="0"/>
            </w:tcBorders>
            <w:vAlign w:val="center"/>
          </w:tcPr>
          <w:p w14:paraId="069783B3">
            <w:pPr>
              <w:widowControl/>
              <w:snapToGrid w:val="0"/>
              <w:jc w:val="center"/>
              <w:rPr>
                <w:rFonts w:ascii="黑体" w:hAnsi="黑体" w:eastAsia="黑体"/>
                <w:sz w:val="20"/>
                <w:szCs w:val="20"/>
              </w:rPr>
            </w:pPr>
            <w:r>
              <w:rPr>
                <w:rFonts w:hint="eastAsia" w:ascii="黑体" w:hAnsi="黑体" w:eastAsia="黑体" w:cs="黑体"/>
                <w:sz w:val="20"/>
                <w:szCs w:val="20"/>
              </w:rPr>
              <w:t>单价（元）</w:t>
            </w:r>
          </w:p>
        </w:tc>
        <w:tc>
          <w:tcPr>
            <w:tcW w:w="1092" w:type="dxa"/>
            <w:tcBorders>
              <w:top w:val="single" w:color="000000" w:sz="4" w:space="0"/>
              <w:left w:val="single" w:color="000000" w:sz="4" w:space="0"/>
              <w:bottom w:val="single" w:color="000000" w:sz="4" w:space="0"/>
              <w:right w:val="single" w:color="000000" w:sz="4" w:space="0"/>
            </w:tcBorders>
            <w:vAlign w:val="center"/>
          </w:tcPr>
          <w:p w14:paraId="5CE5B4D0">
            <w:pPr>
              <w:widowControl/>
              <w:snapToGrid w:val="0"/>
              <w:jc w:val="center"/>
              <w:rPr>
                <w:rFonts w:ascii="黑体" w:hAnsi="黑体" w:eastAsia="黑体"/>
                <w:sz w:val="20"/>
                <w:szCs w:val="20"/>
              </w:rPr>
            </w:pPr>
            <w:r>
              <w:rPr>
                <w:rFonts w:hint="eastAsia" w:ascii="黑体" w:hAnsi="黑体" w:eastAsia="黑体" w:cs="黑体"/>
                <w:sz w:val="20"/>
                <w:szCs w:val="20"/>
              </w:rPr>
              <w:t>预算金额</w:t>
            </w:r>
          </w:p>
          <w:p w14:paraId="573F1C99">
            <w:pPr>
              <w:widowControl/>
              <w:snapToGrid w:val="0"/>
              <w:jc w:val="center"/>
              <w:rPr>
                <w:rFonts w:ascii="黑体" w:hAnsi="黑体" w:eastAsia="黑体"/>
                <w:sz w:val="20"/>
                <w:szCs w:val="20"/>
              </w:rPr>
            </w:pPr>
            <w:r>
              <w:rPr>
                <w:rFonts w:hint="eastAsia" w:ascii="黑体" w:hAnsi="黑体" w:eastAsia="黑体" w:cs="黑体"/>
                <w:sz w:val="20"/>
                <w:szCs w:val="20"/>
              </w:rPr>
              <w:t>（万元）</w:t>
            </w:r>
          </w:p>
        </w:tc>
        <w:tc>
          <w:tcPr>
            <w:tcW w:w="1545" w:type="dxa"/>
            <w:tcBorders>
              <w:top w:val="single" w:color="000000" w:sz="4" w:space="0"/>
              <w:left w:val="single" w:color="000000" w:sz="4" w:space="0"/>
              <w:bottom w:val="single" w:color="000000" w:sz="4" w:space="0"/>
              <w:right w:val="single" w:color="000000" w:sz="4" w:space="0"/>
            </w:tcBorders>
            <w:vAlign w:val="center"/>
          </w:tcPr>
          <w:p w14:paraId="0FA91D46">
            <w:pPr>
              <w:widowControl/>
              <w:snapToGrid w:val="0"/>
              <w:jc w:val="center"/>
              <w:rPr>
                <w:rFonts w:ascii="黑体" w:hAnsi="黑体" w:eastAsia="黑体" w:cs="黑体"/>
                <w:sz w:val="20"/>
                <w:szCs w:val="20"/>
              </w:rPr>
            </w:pPr>
            <w:r>
              <w:rPr>
                <w:rFonts w:hint="eastAsia" w:ascii="黑体" w:hAnsi="黑体" w:eastAsia="黑体" w:cs="黑体"/>
                <w:sz w:val="20"/>
                <w:szCs w:val="20"/>
              </w:rPr>
              <w:t>交货（服务）地点</w:t>
            </w:r>
          </w:p>
        </w:tc>
        <w:tc>
          <w:tcPr>
            <w:tcW w:w="1422" w:type="dxa"/>
            <w:tcBorders>
              <w:top w:val="single" w:color="000000" w:sz="4" w:space="0"/>
              <w:left w:val="single" w:color="000000" w:sz="4" w:space="0"/>
              <w:bottom w:val="single" w:color="000000" w:sz="4" w:space="0"/>
              <w:right w:val="single" w:color="000000" w:sz="4" w:space="0"/>
            </w:tcBorders>
            <w:vAlign w:val="center"/>
          </w:tcPr>
          <w:p w14:paraId="75DAC1AA">
            <w:pPr>
              <w:widowControl/>
              <w:snapToGrid w:val="0"/>
              <w:jc w:val="center"/>
              <w:rPr>
                <w:rFonts w:ascii="黑体" w:hAnsi="黑体" w:eastAsia="黑体"/>
                <w:sz w:val="20"/>
                <w:szCs w:val="20"/>
              </w:rPr>
            </w:pPr>
            <w:r>
              <w:rPr>
                <w:rFonts w:hint="eastAsia" w:ascii="黑体" w:hAnsi="黑体" w:eastAsia="黑体" w:cs="黑体"/>
                <w:sz w:val="20"/>
                <w:szCs w:val="20"/>
              </w:rPr>
              <w:t>交货（服务）期限</w:t>
            </w:r>
          </w:p>
        </w:tc>
        <w:tc>
          <w:tcPr>
            <w:tcW w:w="1092" w:type="dxa"/>
            <w:tcBorders>
              <w:top w:val="single" w:color="000000" w:sz="4" w:space="0"/>
              <w:left w:val="single" w:color="000000" w:sz="4" w:space="0"/>
              <w:bottom w:val="single" w:color="000000" w:sz="4" w:space="0"/>
              <w:right w:val="single" w:color="000000" w:sz="4" w:space="0"/>
            </w:tcBorders>
            <w:vAlign w:val="center"/>
          </w:tcPr>
          <w:p w14:paraId="5C5BC777">
            <w:pPr>
              <w:widowControl/>
              <w:snapToGrid w:val="0"/>
              <w:jc w:val="center"/>
              <w:rPr>
                <w:rFonts w:ascii="黑体" w:hAnsi="黑体" w:eastAsia="黑体"/>
                <w:sz w:val="20"/>
                <w:szCs w:val="20"/>
              </w:rPr>
            </w:pPr>
            <w:r>
              <w:rPr>
                <w:rFonts w:hint="eastAsia" w:ascii="黑体" w:hAnsi="黑体" w:eastAsia="黑体" w:cs="黑体"/>
                <w:sz w:val="20"/>
                <w:szCs w:val="20"/>
              </w:rPr>
              <w:t>采购方式</w:t>
            </w:r>
          </w:p>
        </w:tc>
        <w:tc>
          <w:tcPr>
            <w:tcW w:w="1067" w:type="dxa"/>
            <w:tcBorders>
              <w:top w:val="single" w:color="000000" w:sz="4" w:space="0"/>
              <w:left w:val="single" w:color="000000" w:sz="4" w:space="0"/>
              <w:bottom w:val="single" w:color="000000" w:sz="4" w:space="0"/>
              <w:right w:val="single" w:color="000000" w:sz="4" w:space="0"/>
            </w:tcBorders>
            <w:vAlign w:val="center"/>
          </w:tcPr>
          <w:p w14:paraId="73D69865">
            <w:pPr>
              <w:widowControl/>
              <w:snapToGrid w:val="0"/>
              <w:jc w:val="center"/>
              <w:rPr>
                <w:rFonts w:ascii="黑体" w:hAnsi="黑体" w:eastAsia="黑体" w:cs="黑体"/>
                <w:sz w:val="20"/>
                <w:szCs w:val="20"/>
              </w:rPr>
            </w:pPr>
            <w:r>
              <w:rPr>
                <w:rFonts w:hint="eastAsia" w:ascii="黑体" w:hAnsi="黑体" w:eastAsia="黑体" w:cs="黑体"/>
                <w:sz w:val="20"/>
                <w:szCs w:val="20"/>
              </w:rPr>
              <w:t>采购编码</w:t>
            </w:r>
          </w:p>
        </w:tc>
        <w:tc>
          <w:tcPr>
            <w:tcW w:w="1310" w:type="dxa"/>
            <w:tcBorders>
              <w:top w:val="single" w:color="000000" w:sz="4" w:space="0"/>
              <w:left w:val="single" w:color="000000" w:sz="4" w:space="0"/>
              <w:bottom w:val="single" w:color="000000" w:sz="4" w:space="0"/>
              <w:right w:val="single" w:color="000000" w:sz="4" w:space="0"/>
            </w:tcBorders>
            <w:vAlign w:val="center"/>
          </w:tcPr>
          <w:p w14:paraId="4CCB857F">
            <w:pPr>
              <w:widowControl/>
              <w:snapToGrid w:val="0"/>
              <w:jc w:val="center"/>
              <w:rPr>
                <w:rFonts w:ascii="黑体" w:hAnsi="黑体" w:eastAsia="黑体" w:cs="黑体"/>
                <w:sz w:val="20"/>
                <w:szCs w:val="20"/>
              </w:rPr>
            </w:pPr>
            <w:r>
              <w:rPr>
                <w:rFonts w:hint="eastAsia" w:ascii="黑体" w:hAnsi="黑体" w:eastAsia="黑体" w:cs="黑体"/>
                <w:sz w:val="20"/>
                <w:szCs w:val="20"/>
              </w:rPr>
              <w:t>物资</w:t>
            </w:r>
          </w:p>
          <w:p w14:paraId="601E5497">
            <w:pPr>
              <w:widowControl/>
              <w:snapToGrid w:val="0"/>
              <w:jc w:val="center"/>
              <w:rPr>
                <w:rFonts w:ascii="黑体" w:hAnsi="黑体" w:eastAsia="黑体" w:cs="黑体"/>
                <w:sz w:val="20"/>
                <w:szCs w:val="20"/>
              </w:rPr>
            </w:pPr>
            <w:r>
              <w:rPr>
                <w:rFonts w:hint="eastAsia" w:ascii="黑体" w:hAnsi="黑体" w:eastAsia="黑体" w:cs="黑体"/>
                <w:sz w:val="20"/>
                <w:szCs w:val="20"/>
              </w:rPr>
              <w:t>编目码</w:t>
            </w:r>
          </w:p>
        </w:tc>
      </w:tr>
      <w:tr w14:paraId="2454D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14:paraId="4AFB9D5B">
            <w:pPr>
              <w:widowControl/>
              <w:snapToGrid w:val="0"/>
              <w:jc w:val="center"/>
              <w:rPr>
                <w:rFonts w:ascii="仿宋_GB2312" w:hAnsi="宋体" w:cs="宋体"/>
                <w:sz w:val="20"/>
                <w:szCs w:val="20"/>
              </w:rPr>
            </w:pPr>
            <w:r>
              <w:rPr>
                <w:rFonts w:hint="eastAsia" w:ascii="仿宋_GB2312" w:hAnsi="宋体" w:cs="宋体"/>
                <w:sz w:val="20"/>
                <w:szCs w:val="20"/>
              </w:rPr>
              <w:t>1</w:t>
            </w:r>
          </w:p>
        </w:tc>
        <w:tc>
          <w:tcPr>
            <w:tcW w:w="1438" w:type="dxa"/>
            <w:tcBorders>
              <w:top w:val="single" w:color="000000" w:sz="4" w:space="0"/>
              <w:left w:val="single" w:color="000000" w:sz="4" w:space="0"/>
              <w:bottom w:val="single" w:color="000000" w:sz="4" w:space="0"/>
              <w:right w:val="single" w:color="000000" w:sz="4" w:space="0"/>
            </w:tcBorders>
            <w:vAlign w:val="center"/>
          </w:tcPr>
          <w:p w14:paraId="1D57CF64">
            <w:pPr>
              <w:widowControl/>
              <w:snapToGrid w:val="0"/>
              <w:jc w:val="center"/>
              <w:rPr>
                <w:rFonts w:ascii="仿宋_GB2312" w:hAnsi="宋体" w:cs="宋体"/>
                <w:sz w:val="20"/>
                <w:szCs w:val="20"/>
              </w:rPr>
            </w:pPr>
            <w:r>
              <w:rPr>
                <w:rFonts w:hint="eastAsia" w:ascii="仿宋_GB2312" w:hAnsi="宋体" w:cs="宋体"/>
                <w:sz w:val="20"/>
                <w:szCs w:val="20"/>
              </w:rPr>
              <w:t>影像调度平台</w:t>
            </w:r>
          </w:p>
        </w:tc>
        <w:tc>
          <w:tcPr>
            <w:tcW w:w="862" w:type="dxa"/>
            <w:tcBorders>
              <w:top w:val="single" w:color="000000" w:sz="4" w:space="0"/>
              <w:left w:val="single" w:color="000000" w:sz="4" w:space="0"/>
              <w:bottom w:val="single" w:color="000000" w:sz="4" w:space="0"/>
              <w:right w:val="single" w:color="000000" w:sz="4" w:space="0"/>
            </w:tcBorders>
            <w:vAlign w:val="center"/>
          </w:tcPr>
          <w:p w14:paraId="20A8A88B">
            <w:pPr>
              <w:widowControl/>
              <w:snapToGrid w:val="0"/>
              <w:jc w:val="center"/>
              <w:rPr>
                <w:rFonts w:ascii="仿宋_GB2312" w:hAnsi="宋体" w:cs="宋体"/>
                <w:sz w:val="20"/>
                <w:szCs w:val="20"/>
              </w:rPr>
            </w:pPr>
            <w:r>
              <w:rPr>
                <w:rFonts w:hint="eastAsia" w:ascii="仿宋_GB2312" w:hAnsi="宋体" w:cs="宋体"/>
                <w:sz w:val="20"/>
                <w:szCs w:val="20"/>
              </w:rPr>
              <w:t>/</w:t>
            </w:r>
          </w:p>
        </w:tc>
        <w:tc>
          <w:tcPr>
            <w:tcW w:w="2041" w:type="dxa"/>
            <w:vMerge w:val="restart"/>
            <w:tcBorders>
              <w:top w:val="single" w:color="000000" w:sz="4" w:space="0"/>
              <w:left w:val="single" w:color="000000" w:sz="4" w:space="0"/>
              <w:right w:val="single" w:color="000000" w:sz="4" w:space="0"/>
            </w:tcBorders>
            <w:vAlign w:val="center"/>
          </w:tcPr>
          <w:p w14:paraId="66EB0162">
            <w:pPr>
              <w:widowControl/>
              <w:snapToGrid w:val="0"/>
              <w:jc w:val="center"/>
              <w:rPr>
                <w:rFonts w:ascii="仿宋_GB2312" w:hAnsi="宋体" w:cs="宋体"/>
                <w:sz w:val="20"/>
                <w:szCs w:val="20"/>
              </w:rPr>
            </w:pPr>
            <w:r>
              <w:rPr>
                <w:rFonts w:hint="eastAsia" w:ascii="仿宋_GB2312" w:hAnsi="宋体" w:cs="宋体"/>
                <w:sz w:val="20"/>
                <w:szCs w:val="20"/>
              </w:rPr>
              <w:t>详见“项目技术参数及要求”</w:t>
            </w:r>
          </w:p>
        </w:tc>
        <w:tc>
          <w:tcPr>
            <w:tcW w:w="739" w:type="dxa"/>
            <w:tcBorders>
              <w:top w:val="single" w:color="000000" w:sz="4" w:space="0"/>
              <w:left w:val="single" w:color="000000" w:sz="4" w:space="0"/>
              <w:bottom w:val="single" w:color="000000" w:sz="4" w:space="0"/>
              <w:right w:val="single" w:color="000000" w:sz="4" w:space="0"/>
            </w:tcBorders>
            <w:vAlign w:val="center"/>
          </w:tcPr>
          <w:p w14:paraId="0E634ACA">
            <w:pPr>
              <w:widowControl/>
              <w:snapToGrid w:val="0"/>
              <w:jc w:val="center"/>
              <w:rPr>
                <w:rFonts w:ascii="仿宋_GB2312" w:hAnsi="宋体" w:cs="宋体"/>
                <w:sz w:val="20"/>
                <w:szCs w:val="20"/>
              </w:rPr>
            </w:pPr>
            <w:r>
              <w:rPr>
                <w:rFonts w:hint="eastAsia" w:ascii="仿宋_GB2312" w:hAnsi="宋体" w:cs="宋体"/>
                <w:sz w:val="20"/>
                <w:szCs w:val="20"/>
              </w:rPr>
              <w:t>套</w:t>
            </w:r>
          </w:p>
        </w:tc>
        <w:tc>
          <w:tcPr>
            <w:tcW w:w="782" w:type="dxa"/>
            <w:tcBorders>
              <w:top w:val="single" w:color="000000" w:sz="4" w:space="0"/>
              <w:left w:val="single" w:color="000000" w:sz="4" w:space="0"/>
              <w:bottom w:val="single" w:color="000000" w:sz="4" w:space="0"/>
              <w:right w:val="single" w:color="000000" w:sz="4" w:space="0"/>
            </w:tcBorders>
            <w:vAlign w:val="center"/>
          </w:tcPr>
          <w:p w14:paraId="77C1D831">
            <w:pPr>
              <w:widowControl/>
              <w:snapToGrid w:val="0"/>
              <w:jc w:val="center"/>
              <w:rPr>
                <w:rFonts w:ascii="仿宋_GB2312" w:hAnsi="仿宋"/>
                <w:sz w:val="20"/>
                <w:szCs w:val="20"/>
              </w:rPr>
            </w:pPr>
            <w:r>
              <w:rPr>
                <w:rFonts w:hint="eastAsia" w:ascii="仿宋_GB2312" w:hAnsi="仿宋"/>
                <w:sz w:val="20"/>
                <w:szCs w:val="20"/>
              </w:rPr>
              <w:t>1</w:t>
            </w:r>
          </w:p>
        </w:tc>
        <w:tc>
          <w:tcPr>
            <w:tcW w:w="872" w:type="dxa"/>
            <w:tcBorders>
              <w:top w:val="single" w:color="000000" w:sz="4" w:space="0"/>
              <w:left w:val="single" w:color="000000" w:sz="4" w:space="0"/>
              <w:bottom w:val="single" w:color="000000" w:sz="4" w:space="0"/>
              <w:right w:val="single" w:color="000000" w:sz="4" w:space="0"/>
            </w:tcBorders>
            <w:vAlign w:val="center"/>
          </w:tcPr>
          <w:p w14:paraId="65E9B0D2">
            <w:pPr>
              <w:widowControl/>
              <w:snapToGrid w:val="0"/>
              <w:jc w:val="center"/>
              <w:rPr>
                <w:rFonts w:ascii="仿宋_GB2312" w:hAnsi="仿宋"/>
                <w:sz w:val="20"/>
                <w:szCs w:val="20"/>
              </w:rPr>
            </w:pPr>
            <w:r>
              <w:rPr>
                <w:rFonts w:ascii="仿宋_GB2312" w:hAnsi="仿宋"/>
                <w:sz w:val="20"/>
                <w:szCs w:val="20"/>
              </w:rPr>
              <w:t>50000</w:t>
            </w:r>
          </w:p>
        </w:tc>
        <w:tc>
          <w:tcPr>
            <w:tcW w:w="1092" w:type="dxa"/>
            <w:tcBorders>
              <w:top w:val="single" w:color="000000" w:sz="4" w:space="0"/>
              <w:left w:val="single" w:color="000000" w:sz="4" w:space="0"/>
              <w:bottom w:val="single" w:color="000000" w:sz="4" w:space="0"/>
              <w:right w:val="single" w:color="000000" w:sz="4" w:space="0"/>
            </w:tcBorders>
            <w:vAlign w:val="center"/>
          </w:tcPr>
          <w:p w14:paraId="5EB090B3">
            <w:pPr>
              <w:widowControl/>
              <w:snapToGrid w:val="0"/>
              <w:jc w:val="center"/>
              <w:rPr>
                <w:rFonts w:ascii="仿宋_GB2312" w:hAnsi="仿宋"/>
                <w:sz w:val="20"/>
                <w:szCs w:val="20"/>
              </w:rPr>
            </w:pPr>
            <w:r>
              <w:rPr>
                <w:rFonts w:ascii="仿宋_GB2312" w:hAnsi="仿宋"/>
                <w:sz w:val="20"/>
                <w:szCs w:val="20"/>
              </w:rPr>
              <w:t>5</w:t>
            </w:r>
          </w:p>
        </w:tc>
        <w:tc>
          <w:tcPr>
            <w:tcW w:w="1545" w:type="dxa"/>
            <w:tcBorders>
              <w:top w:val="single" w:color="000000" w:sz="4" w:space="0"/>
              <w:left w:val="single" w:color="000000" w:sz="4" w:space="0"/>
              <w:bottom w:val="single" w:color="000000" w:sz="4" w:space="0"/>
              <w:right w:val="single" w:color="000000" w:sz="4" w:space="0"/>
            </w:tcBorders>
            <w:vAlign w:val="center"/>
          </w:tcPr>
          <w:p w14:paraId="3AD22878">
            <w:pPr>
              <w:widowControl/>
              <w:snapToGrid w:val="0"/>
              <w:rPr>
                <w:rFonts w:hint="eastAsia" w:ascii="仿宋_GB2312" w:hAnsi="仿宋" w:eastAsia="宋体"/>
                <w:sz w:val="20"/>
                <w:szCs w:val="20"/>
                <w:lang w:eastAsia="zh-CN"/>
              </w:rPr>
            </w:pPr>
            <w:r>
              <w:rPr>
                <w:rFonts w:hint="eastAsia" w:ascii="仿宋_GB2312" w:hAnsi="仿宋"/>
                <w:sz w:val="20"/>
                <w:szCs w:val="20"/>
                <w:lang w:eastAsia="zh-CN"/>
              </w:rPr>
              <w:t>兰州</w:t>
            </w:r>
          </w:p>
        </w:tc>
        <w:tc>
          <w:tcPr>
            <w:tcW w:w="1422" w:type="dxa"/>
            <w:tcBorders>
              <w:top w:val="single" w:color="000000" w:sz="4" w:space="0"/>
              <w:left w:val="single" w:color="000000" w:sz="4" w:space="0"/>
              <w:bottom w:val="single" w:color="000000" w:sz="4" w:space="0"/>
              <w:right w:val="single" w:color="000000" w:sz="4" w:space="0"/>
            </w:tcBorders>
            <w:vAlign w:val="center"/>
          </w:tcPr>
          <w:p w14:paraId="5961D7AA">
            <w:pPr>
              <w:widowControl/>
              <w:snapToGrid w:val="0"/>
              <w:jc w:val="center"/>
              <w:rPr>
                <w:rFonts w:ascii="仿宋_GB2312" w:hAnsi="宋体" w:cs="宋体"/>
                <w:sz w:val="20"/>
                <w:szCs w:val="20"/>
              </w:rPr>
            </w:pPr>
            <w:r>
              <w:rPr>
                <w:rFonts w:hint="eastAsia" w:ascii="仿宋_GB2312" w:hAnsi="宋体" w:cs="宋体"/>
                <w:sz w:val="20"/>
                <w:szCs w:val="20"/>
              </w:rPr>
              <w:t>合同签订</w:t>
            </w:r>
            <w:r>
              <w:rPr>
                <w:rFonts w:ascii="仿宋_GB2312" w:hAnsi="宋体" w:cs="宋体"/>
                <w:sz w:val="20"/>
                <w:szCs w:val="20"/>
              </w:rPr>
              <w:t>后120</w:t>
            </w:r>
            <w:r>
              <w:rPr>
                <w:rFonts w:hint="eastAsia" w:ascii="仿宋_GB2312" w:hAnsi="宋体" w:cs="宋体"/>
                <w:sz w:val="20"/>
                <w:szCs w:val="20"/>
              </w:rPr>
              <w:t>个自然日</w:t>
            </w:r>
          </w:p>
        </w:tc>
        <w:tc>
          <w:tcPr>
            <w:tcW w:w="1092" w:type="dxa"/>
            <w:tcBorders>
              <w:top w:val="single" w:color="000000" w:sz="4" w:space="0"/>
              <w:left w:val="single" w:color="000000" w:sz="4" w:space="0"/>
              <w:bottom w:val="single" w:color="000000" w:sz="4" w:space="0"/>
              <w:right w:val="single" w:color="000000" w:sz="4" w:space="0"/>
            </w:tcBorders>
            <w:vAlign w:val="center"/>
          </w:tcPr>
          <w:p w14:paraId="59E4A4B4">
            <w:pPr>
              <w:widowControl/>
              <w:snapToGrid w:val="0"/>
              <w:jc w:val="center"/>
              <w:rPr>
                <w:rFonts w:hint="eastAsia" w:ascii="仿宋_GB2312" w:hAnsi="宋体" w:eastAsia="宋体" w:cs="宋体"/>
                <w:sz w:val="20"/>
                <w:szCs w:val="20"/>
                <w:lang w:eastAsia="zh-CN"/>
              </w:rPr>
            </w:pPr>
            <w:r>
              <w:rPr>
                <w:rFonts w:hint="eastAsia" w:ascii="仿宋_GB2312" w:hAnsi="宋体" w:cs="宋体"/>
                <w:sz w:val="20"/>
                <w:szCs w:val="20"/>
                <w:lang w:eastAsia="zh-CN"/>
              </w:rPr>
              <w:t>竞争性谈判</w:t>
            </w:r>
          </w:p>
        </w:tc>
        <w:tc>
          <w:tcPr>
            <w:tcW w:w="1067" w:type="dxa"/>
            <w:tcBorders>
              <w:top w:val="single" w:color="000000" w:sz="4" w:space="0"/>
              <w:left w:val="single" w:color="000000" w:sz="4" w:space="0"/>
              <w:bottom w:val="single" w:color="000000" w:sz="4" w:space="0"/>
              <w:right w:val="single" w:color="000000" w:sz="4" w:space="0"/>
            </w:tcBorders>
            <w:vAlign w:val="center"/>
          </w:tcPr>
          <w:p w14:paraId="0E1CB7E5">
            <w:pPr>
              <w:widowControl/>
              <w:snapToGrid w:val="0"/>
              <w:jc w:val="center"/>
              <w:rPr>
                <w:rFonts w:ascii="仿宋_GB2312" w:hAnsi="仿宋"/>
                <w:sz w:val="20"/>
                <w:szCs w:val="20"/>
              </w:rPr>
            </w:pPr>
          </w:p>
        </w:tc>
        <w:tc>
          <w:tcPr>
            <w:tcW w:w="1310" w:type="dxa"/>
            <w:tcBorders>
              <w:top w:val="single" w:color="000000" w:sz="4" w:space="0"/>
              <w:left w:val="single" w:color="000000" w:sz="4" w:space="0"/>
              <w:bottom w:val="single" w:color="000000" w:sz="4" w:space="0"/>
              <w:right w:val="single" w:color="000000" w:sz="4" w:space="0"/>
            </w:tcBorders>
            <w:vAlign w:val="center"/>
          </w:tcPr>
          <w:p w14:paraId="4F544FCA">
            <w:pPr>
              <w:widowControl/>
              <w:snapToGrid w:val="0"/>
              <w:jc w:val="center"/>
              <w:rPr>
                <w:rFonts w:ascii="宋体" w:cs="宋体"/>
                <w:kern w:val="0"/>
                <w:sz w:val="20"/>
                <w:szCs w:val="20"/>
              </w:rPr>
            </w:pPr>
          </w:p>
        </w:tc>
      </w:tr>
      <w:tr w14:paraId="020E7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14:paraId="4570B034">
            <w:pPr>
              <w:widowControl/>
              <w:snapToGrid w:val="0"/>
              <w:jc w:val="center"/>
              <w:rPr>
                <w:rFonts w:ascii="仿宋_GB2312" w:hAnsi="宋体" w:cs="宋体"/>
                <w:sz w:val="20"/>
                <w:szCs w:val="20"/>
              </w:rPr>
            </w:pPr>
            <w:r>
              <w:rPr>
                <w:rFonts w:ascii="仿宋_GB2312" w:hAnsi="宋体" w:cs="宋体"/>
                <w:sz w:val="20"/>
                <w:szCs w:val="20"/>
              </w:rPr>
              <w:t>2</w:t>
            </w:r>
          </w:p>
        </w:tc>
        <w:tc>
          <w:tcPr>
            <w:tcW w:w="1438" w:type="dxa"/>
            <w:tcBorders>
              <w:top w:val="single" w:color="000000" w:sz="4" w:space="0"/>
              <w:left w:val="single" w:color="000000" w:sz="4" w:space="0"/>
              <w:bottom w:val="single" w:color="000000" w:sz="4" w:space="0"/>
              <w:right w:val="single" w:color="000000" w:sz="4" w:space="0"/>
            </w:tcBorders>
            <w:vAlign w:val="center"/>
          </w:tcPr>
          <w:p w14:paraId="3BAB7D13">
            <w:pPr>
              <w:widowControl/>
              <w:snapToGrid w:val="0"/>
              <w:jc w:val="center"/>
              <w:rPr>
                <w:rFonts w:ascii="仿宋_GB2312" w:hAnsi="宋体" w:cs="宋体"/>
                <w:sz w:val="20"/>
                <w:szCs w:val="20"/>
              </w:rPr>
            </w:pPr>
            <w:r>
              <w:rPr>
                <w:rFonts w:hint="eastAsia" w:ascii="仿宋_GB2312" w:hAnsi="宋体" w:cs="宋体"/>
                <w:sz w:val="20"/>
                <w:szCs w:val="20"/>
              </w:rPr>
              <w:t>安全影像共享交换调阅平台</w:t>
            </w:r>
          </w:p>
        </w:tc>
        <w:tc>
          <w:tcPr>
            <w:tcW w:w="862" w:type="dxa"/>
            <w:tcBorders>
              <w:top w:val="single" w:color="000000" w:sz="4" w:space="0"/>
              <w:left w:val="single" w:color="000000" w:sz="4" w:space="0"/>
              <w:bottom w:val="single" w:color="000000" w:sz="4" w:space="0"/>
              <w:right w:val="single" w:color="000000" w:sz="4" w:space="0"/>
            </w:tcBorders>
            <w:vAlign w:val="center"/>
          </w:tcPr>
          <w:p w14:paraId="6EB46643">
            <w:pPr>
              <w:widowControl/>
              <w:snapToGrid w:val="0"/>
              <w:jc w:val="center"/>
              <w:rPr>
                <w:rFonts w:ascii="仿宋_GB2312" w:hAnsi="宋体" w:cs="宋体"/>
                <w:sz w:val="20"/>
                <w:szCs w:val="20"/>
              </w:rPr>
            </w:pPr>
            <w:r>
              <w:rPr>
                <w:rFonts w:hint="eastAsia" w:ascii="仿宋_GB2312" w:hAnsi="宋体" w:cs="宋体"/>
                <w:sz w:val="20"/>
                <w:szCs w:val="20"/>
              </w:rPr>
              <w:t>/</w:t>
            </w:r>
          </w:p>
        </w:tc>
        <w:tc>
          <w:tcPr>
            <w:tcW w:w="2041" w:type="dxa"/>
            <w:vMerge w:val="continue"/>
            <w:tcBorders>
              <w:left w:val="single" w:color="000000" w:sz="4" w:space="0"/>
              <w:right w:val="single" w:color="000000" w:sz="4" w:space="0"/>
            </w:tcBorders>
            <w:vAlign w:val="center"/>
          </w:tcPr>
          <w:p w14:paraId="6BC19096">
            <w:pPr>
              <w:widowControl/>
              <w:snapToGrid w:val="0"/>
              <w:jc w:val="center"/>
              <w:rPr>
                <w:rFonts w:ascii="仿宋_GB2312" w:hAnsi="宋体" w:cs="宋体"/>
                <w:sz w:val="20"/>
                <w:szCs w:val="20"/>
              </w:rPr>
            </w:pPr>
          </w:p>
        </w:tc>
        <w:tc>
          <w:tcPr>
            <w:tcW w:w="739" w:type="dxa"/>
            <w:tcBorders>
              <w:top w:val="single" w:color="000000" w:sz="4" w:space="0"/>
              <w:left w:val="single" w:color="000000" w:sz="4" w:space="0"/>
              <w:bottom w:val="single" w:color="000000" w:sz="4" w:space="0"/>
              <w:right w:val="single" w:color="000000" w:sz="4" w:space="0"/>
            </w:tcBorders>
            <w:vAlign w:val="center"/>
          </w:tcPr>
          <w:p w14:paraId="1B5EAD03">
            <w:pPr>
              <w:widowControl/>
              <w:snapToGrid w:val="0"/>
              <w:jc w:val="center"/>
              <w:rPr>
                <w:rFonts w:ascii="仿宋_GB2312" w:hAnsi="宋体" w:cs="宋体"/>
                <w:sz w:val="20"/>
                <w:szCs w:val="20"/>
              </w:rPr>
            </w:pPr>
            <w:r>
              <w:rPr>
                <w:rFonts w:hint="eastAsia" w:ascii="仿宋_GB2312" w:hAnsi="宋体" w:cs="宋体"/>
                <w:sz w:val="20"/>
                <w:szCs w:val="20"/>
              </w:rPr>
              <w:t>套</w:t>
            </w:r>
          </w:p>
        </w:tc>
        <w:tc>
          <w:tcPr>
            <w:tcW w:w="782" w:type="dxa"/>
            <w:tcBorders>
              <w:top w:val="single" w:color="000000" w:sz="4" w:space="0"/>
              <w:left w:val="single" w:color="000000" w:sz="4" w:space="0"/>
              <w:bottom w:val="single" w:color="000000" w:sz="4" w:space="0"/>
              <w:right w:val="single" w:color="000000" w:sz="4" w:space="0"/>
            </w:tcBorders>
            <w:vAlign w:val="center"/>
          </w:tcPr>
          <w:p w14:paraId="1E65B1AE">
            <w:pPr>
              <w:widowControl/>
              <w:snapToGrid w:val="0"/>
              <w:jc w:val="center"/>
              <w:rPr>
                <w:rFonts w:ascii="仿宋_GB2312" w:hAnsi="仿宋"/>
                <w:sz w:val="20"/>
                <w:szCs w:val="20"/>
              </w:rPr>
            </w:pPr>
            <w:r>
              <w:rPr>
                <w:rFonts w:hint="eastAsia" w:ascii="仿宋_GB2312" w:hAnsi="仿宋"/>
                <w:sz w:val="20"/>
                <w:szCs w:val="20"/>
              </w:rPr>
              <w:t>1</w:t>
            </w:r>
          </w:p>
        </w:tc>
        <w:tc>
          <w:tcPr>
            <w:tcW w:w="872" w:type="dxa"/>
            <w:tcBorders>
              <w:top w:val="single" w:color="000000" w:sz="4" w:space="0"/>
              <w:left w:val="single" w:color="000000" w:sz="4" w:space="0"/>
              <w:bottom w:val="single" w:color="000000" w:sz="4" w:space="0"/>
              <w:right w:val="single" w:color="000000" w:sz="4" w:space="0"/>
            </w:tcBorders>
            <w:vAlign w:val="center"/>
          </w:tcPr>
          <w:p w14:paraId="67F90671">
            <w:pPr>
              <w:widowControl/>
              <w:snapToGrid w:val="0"/>
              <w:jc w:val="center"/>
              <w:rPr>
                <w:rFonts w:ascii="仿宋_GB2312" w:hAnsi="仿宋"/>
                <w:sz w:val="20"/>
                <w:szCs w:val="20"/>
              </w:rPr>
            </w:pPr>
            <w:r>
              <w:rPr>
                <w:rFonts w:hint="eastAsia" w:ascii="仿宋_GB2312" w:hAnsi="仿宋"/>
                <w:sz w:val="20"/>
                <w:szCs w:val="20"/>
              </w:rPr>
              <w:t>8</w:t>
            </w:r>
            <w:r>
              <w:rPr>
                <w:rFonts w:ascii="仿宋_GB2312" w:hAnsi="仿宋"/>
                <w:sz w:val="20"/>
                <w:szCs w:val="20"/>
              </w:rPr>
              <w:t>0000</w:t>
            </w:r>
          </w:p>
        </w:tc>
        <w:tc>
          <w:tcPr>
            <w:tcW w:w="1092" w:type="dxa"/>
            <w:tcBorders>
              <w:top w:val="single" w:color="000000" w:sz="4" w:space="0"/>
              <w:left w:val="single" w:color="000000" w:sz="4" w:space="0"/>
              <w:bottom w:val="single" w:color="000000" w:sz="4" w:space="0"/>
              <w:right w:val="single" w:color="000000" w:sz="4" w:space="0"/>
            </w:tcBorders>
            <w:vAlign w:val="center"/>
          </w:tcPr>
          <w:p w14:paraId="588CACE4">
            <w:pPr>
              <w:widowControl/>
              <w:snapToGrid w:val="0"/>
              <w:jc w:val="center"/>
              <w:rPr>
                <w:rFonts w:ascii="仿宋_GB2312" w:hAnsi="仿宋"/>
                <w:sz w:val="20"/>
                <w:szCs w:val="20"/>
              </w:rPr>
            </w:pPr>
            <w:r>
              <w:rPr>
                <w:rFonts w:hint="eastAsia" w:ascii="仿宋_GB2312" w:hAnsi="仿宋"/>
                <w:sz w:val="20"/>
                <w:szCs w:val="20"/>
              </w:rPr>
              <w:t>8</w:t>
            </w:r>
          </w:p>
        </w:tc>
        <w:tc>
          <w:tcPr>
            <w:tcW w:w="1545" w:type="dxa"/>
            <w:tcBorders>
              <w:top w:val="single" w:color="000000" w:sz="4" w:space="0"/>
              <w:left w:val="single" w:color="000000" w:sz="4" w:space="0"/>
              <w:bottom w:val="single" w:color="000000" w:sz="4" w:space="0"/>
              <w:right w:val="single" w:color="000000" w:sz="4" w:space="0"/>
            </w:tcBorders>
            <w:vAlign w:val="center"/>
          </w:tcPr>
          <w:p w14:paraId="71421686">
            <w:pPr>
              <w:rPr>
                <w:rFonts w:ascii="仿宋_GB2312" w:hAnsi="仿宋"/>
                <w:sz w:val="20"/>
                <w:szCs w:val="20"/>
              </w:rPr>
            </w:pPr>
            <w:r>
              <w:rPr>
                <w:rFonts w:hint="eastAsia" w:ascii="仿宋_GB2312" w:hAnsi="仿宋"/>
                <w:sz w:val="20"/>
                <w:szCs w:val="20"/>
                <w:lang w:eastAsia="zh-CN"/>
              </w:rPr>
              <w:t>兰州</w:t>
            </w:r>
          </w:p>
        </w:tc>
        <w:tc>
          <w:tcPr>
            <w:tcW w:w="1422" w:type="dxa"/>
            <w:tcBorders>
              <w:top w:val="single" w:color="000000" w:sz="4" w:space="0"/>
              <w:left w:val="single" w:color="000000" w:sz="4" w:space="0"/>
              <w:bottom w:val="single" w:color="000000" w:sz="4" w:space="0"/>
              <w:right w:val="single" w:color="000000" w:sz="4" w:space="0"/>
            </w:tcBorders>
            <w:vAlign w:val="center"/>
          </w:tcPr>
          <w:p w14:paraId="1C9505D5">
            <w:pPr>
              <w:widowControl/>
              <w:snapToGrid w:val="0"/>
              <w:jc w:val="center"/>
              <w:rPr>
                <w:rFonts w:ascii="仿宋_GB2312" w:hAnsi="宋体" w:cs="宋体"/>
                <w:sz w:val="20"/>
                <w:szCs w:val="20"/>
              </w:rPr>
            </w:pPr>
            <w:r>
              <w:rPr>
                <w:rFonts w:hint="eastAsia" w:ascii="仿宋_GB2312" w:hAnsi="宋体" w:cs="宋体"/>
                <w:sz w:val="20"/>
                <w:szCs w:val="20"/>
              </w:rPr>
              <w:t>合同签订</w:t>
            </w:r>
            <w:r>
              <w:rPr>
                <w:rFonts w:ascii="仿宋_GB2312" w:hAnsi="宋体" w:cs="宋体"/>
                <w:sz w:val="20"/>
                <w:szCs w:val="20"/>
              </w:rPr>
              <w:t>后120</w:t>
            </w:r>
            <w:r>
              <w:rPr>
                <w:rFonts w:hint="eastAsia" w:ascii="仿宋_GB2312" w:hAnsi="宋体" w:cs="宋体"/>
                <w:sz w:val="20"/>
                <w:szCs w:val="20"/>
              </w:rPr>
              <w:t>个自然日</w:t>
            </w:r>
          </w:p>
        </w:tc>
        <w:tc>
          <w:tcPr>
            <w:tcW w:w="1092" w:type="dxa"/>
            <w:tcBorders>
              <w:top w:val="single" w:color="000000" w:sz="4" w:space="0"/>
              <w:left w:val="single" w:color="000000" w:sz="4" w:space="0"/>
              <w:bottom w:val="single" w:color="000000" w:sz="4" w:space="0"/>
              <w:right w:val="single" w:color="000000" w:sz="4" w:space="0"/>
            </w:tcBorders>
            <w:vAlign w:val="center"/>
          </w:tcPr>
          <w:p w14:paraId="1E33F858">
            <w:pPr>
              <w:widowControl/>
              <w:snapToGrid w:val="0"/>
              <w:jc w:val="center"/>
              <w:rPr>
                <w:rFonts w:ascii="仿宋_GB2312" w:hAnsi="宋体" w:cs="宋体"/>
                <w:sz w:val="20"/>
                <w:szCs w:val="20"/>
              </w:rPr>
            </w:pPr>
            <w:r>
              <w:rPr>
                <w:rFonts w:hint="eastAsia" w:ascii="仿宋_GB2312" w:hAnsi="宋体" w:cs="宋体"/>
                <w:sz w:val="20"/>
                <w:szCs w:val="20"/>
                <w:lang w:eastAsia="zh-CN"/>
              </w:rPr>
              <w:t>竞争性谈判</w:t>
            </w:r>
          </w:p>
        </w:tc>
        <w:tc>
          <w:tcPr>
            <w:tcW w:w="1067" w:type="dxa"/>
            <w:tcBorders>
              <w:top w:val="single" w:color="000000" w:sz="4" w:space="0"/>
              <w:left w:val="single" w:color="000000" w:sz="4" w:space="0"/>
              <w:bottom w:val="single" w:color="000000" w:sz="4" w:space="0"/>
              <w:right w:val="single" w:color="000000" w:sz="4" w:space="0"/>
            </w:tcBorders>
            <w:vAlign w:val="center"/>
          </w:tcPr>
          <w:p w14:paraId="0CCF49D1">
            <w:pPr>
              <w:widowControl/>
              <w:snapToGrid w:val="0"/>
              <w:jc w:val="center"/>
              <w:rPr>
                <w:rFonts w:ascii="仿宋_GB2312" w:hAnsi="仿宋"/>
                <w:sz w:val="20"/>
                <w:szCs w:val="20"/>
              </w:rPr>
            </w:pPr>
          </w:p>
        </w:tc>
        <w:tc>
          <w:tcPr>
            <w:tcW w:w="1310" w:type="dxa"/>
            <w:tcBorders>
              <w:top w:val="single" w:color="000000" w:sz="4" w:space="0"/>
              <w:left w:val="single" w:color="000000" w:sz="4" w:space="0"/>
              <w:bottom w:val="single" w:color="000000" w:sz="4" w:space="0"/>
              <w:right w:val="single" w:color="000000" w:sz="4" w:space="0"/>
            </w:tcBorders>
            <w:vAlign w:val="center"/>
          </w:tcPr>
          <w:p w14:paraId="39DAF635">
            <w:pPr>
              <w:widowControl/>
              <w:snapToGrid w:val="0"/>
              <w:jc w:val="center"/>
              <w:rPr>
                <w:rFonts w:ascii="宋体" w:cs="宋体"/>
                <w:kern w:val="0"/>
                <w:sz w:val="20"/>
                <w:szCs w:val="20"/>
              </w:rPr>
            </w:pPr>
          </w:p>
        </w:tc>
      </w:tr>
      <w:tr w14:paraId="6E7A1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14:paraId="0E7D38B8">
            <w:pPr>
              <w:widowControl/>
              <w:snapToGrid w:val="0"/>
              <w:jc w:val="center"/>
              <w:rPr>
                <w:rFonts w:ascii="仿宋_GB2312" w:hAnsi="宋体" w:cs="宋体"/>
                <w:sz w:val="20"/>
                <w:szCs w:val="20"/>
              </w:rPr>
            </w:pPr>
            <w:r>
              <w:rPr>
                <w:rFonts w:hint="eastAsia" w:ascii="仿宋_GB2312" w:hAnsi="宋体" w:cs="宋体"/>
                <w:sz w:val="20"/>
                <w:szCs w:val="20"/>
              </w:rPr>
              <w:t>3</w:t>
            </w:r>
          </w:p>
        </w:tc>
        <w:tc>
          <w:tcPr>
            <w:tcW w:w="1438" w:type="dxa"/>
            <w:tcBorders>
              <w:top w:val="single" w:color="000000" w:sz="4" w:space="0"/>
              <w:left w:val="single" w:color="000000" w:sz="4" w:space="0"/>
              <w:bottom w:val="single" w:color="000000" w:sz="4" w:space="0"/>
              <w:right w:val="single" w:color="000000" w:sz="4" w:space="0"/>
            </w:tcBorders>
            <w:vAlign w:val="center"/>
          </w:tcPr>
          <w:p w14:paraId="687ACB08">
            <w:pPr>
              <w:widowControl/>
              <w:snapToGrid w:val="0"/>
              <w:jc w:val="center"/>
              <w:rPr>
                <w:rFonts w:ascii="仿宋_GB2312" w:hAnsi="宋体" w:cs="宋体"/>
                <w:sz w:val="20"/>
                <w:szCs w:val="20"/>
              </w:rPr>
            </w:pPr>
            <w:r>
              <w:rPr>
                <w:rFonts w:hint="eastAsia" w:ascii="仿宋_GB2312" w:hAnsi="宋体" w:cs="宋体"/>
                <w:sz w:val="20"/>
                <w:szCs w:val="20"/>
              </w:rPr>
              <w:t>甘肃省影像共享平台</w:t>
            </w:r>
          </w:p>
        </w:tc>
        <w:tc>
          <w:tcPr>
            <w:tcW w:w="862" w:type="dxa"/>
            <w:tcBorders>
              <w:top w:val="single" w:color="000000" w:sz="4" w:space="0"/>
              <w:left w:val="single" w:color="000000" w:sz="4" w:space="0"/>
              <w:bottom w:val="single" w:color="000000" w:sz="4" w:space="0"/>
              <w:right w:val="single" w:color="000000" w:sz="4" w:space="0"/>
            </w:tcBorders>
            <w:vAlign w:val="center"/>
          </w:tcPr>
          <w:p w14:paraId="32C0815B">
            <w:pPr>
              <w:widowControl/>
              <w:snapToGrid w:val="0"/>
              <w:jc w:val="center"/>
              <w:rPr>
                <w:rFonts w:ascii="仿宋_GB2312" w:hAnsi="宋体" w:cs="宋体"/>
                <w:sz w:val="20"/>
                <w:szCs w:val="20"/>
              </w:rPr>
            </w:pPr>
            <w:r>
              <w:rPr>
                <w:rFonts w:hint="eastAsia" w:ascii="仿宋_GB2312" w:hAnsi="宋体" w:cs="宋体"/>
                <w:sz w:val="20"/>
                <w:szCs w:val="20"/>
              </w:rPr>
              <w:t>/</w:t>
            </w:r>
          </w:p>
        </w:tc>
        <w:tc>
          <w:tcPr>
            <w:tcW w:w="2041" w:type="dxa"/>
            <w:vMerge w:val="continue"/>
            <w:tcBorders>
              <w:left w:val="single" w:color="000000" w:sz="4" w:space="0"/>
              <w:right w:val="single" w:color="000000" w:sz="4" w:space="0"/>
            </w:tcBorders>
            <w:vAlign w:val="center"/>
          </w:tcPr>
          <w:p w14:paraId="4C1E7891">
            <w:pPr>
              <w:widowControl/>
              <w:snapToGrid w:val="0"/>
              <w:jc w:val="center"/>
              <w:rPr>
                <w:rFonts w:ascii="仿宋_GB2312" w:hAnsi="宋体" w:cs="宋体"/>
                <w:sz w:val="20"/>
                <w:szCs w:val="20"/>
              </w:rPr>
            </w:pPr>
          </w:p>
        </w:tc>
        <w:tc>
          <w:tcPr>
            <w:tcW w:w="739" w:type="dxa"/>
            <w:tcBorders>
              <w:top w:val="single" w:color="000000" w:sz="4" w:space="0"/>
              <w:left w:val="single" w:color="000000" w:sz="4" w:space="0"/>
              <w:bottom w:val="single" w:color="000000" w:sz="4" w:space="0"/>
              <w:right w:val="single" w:color="000000" w:sz="4" w:space="0"/>
            </w:tcBorders>
            <w:vAlign w:val="center"/>
          </w:tcPr>
          <w:p w14:paraId="2B934E9F">
            <w:pPr>
              <w:widowControl/>
              <w:snapToGrid w:val="0"/>
              <w:jc w:val="center"/>
              <w:rPr>
                <w:rFonts w:ascii="仿宋_GB2312" w:hAnsi="宋体" w:cs="宋体"/>
                <w:sz w:val="20"/>
                <w:szCs w:val="20"/>
              </w:rPr>
            </w:pPr>
            <w:r>
              <w:rPr>
                <w:rFonts w:hint="eastAsia" w:ascii="仿宋_GB2312" w:hAnsi="宋体" w:cs="宋体"/>
                <w:sz w:val="20"/>
                <w:szCs w:val="20"/>
              </w:rPr>
              <w:t>套</w:t>
            </w:r>
          </w:p>
        </w:tc>
        <w:tc>
          <w:tcPr>
            <w:tcW w:w="782" w:type="dxa"/>
            <w:tcBorders>
              <w:top w:val="single" w:color="000000" w:sz="4" w:space="0"/>
              <w:left w:val="single" w:color="000000" w:sz="4" w:space="0"/>
              <w:bottom w:val="single" w:color="000000" w:sz="4" w:space="0"/>
              <w:right w:val="single" w:color="000000" w:sz="4" w:space="0"/>
            </w:tcBorders>
            <w:vAlign w:val="center"/>
          </w:tcPr>
          <w:p w14:paraId="796793BC">
            <w:pPr>
              <w:widowControl/>
              <w:snapToGrid w:val="0"/>
              <w:jc w:val="center"/>
              <w:rPr>
                <w:rFonts w:ascii="仿宋_GB2312" w:hAnsi="仿宋"/>
                <w:sz w:val="20"/>
                <w:szCs w:val="20"/>
              </w:rPr>
            </w:pPr>
            <w:r>
              <w:rPr>
                <w:rFonts w:hint="eastAsia" w:ascii="仿宋_GB2312" w:hAnsi="仿宋"/>
                <w:sz w:val="20"/>
                <w:szCs w:val="20"/>
              </w:rPr>
              <w:t>1</w:t>
            </w:r>
          </w:p>
        </w:tc>
        <w:tc>
          <w:tcPr>
            <w:tcW w:w="872" w:type="dxa"/>
            <w:tcBorders>
              <w:top w:val="single" w:color="000000" w:sz="4" w:space="0"/>
              <w:left w:val="single" w:color="000000" w:sz="4" w:space="0"/>
              <w:bottom w:val="single" w:color="000000" w:sz="4" w:space="0"/>
              <w:right w:val="single" w:color="000000" w:sz="4" w:space="0"/>
            </w:tcBorders>
            <w:vAlign w:val="center"/>
          </w:tcPr>
          <w:p w14:paraId="545CDEE7">
            <w:pPr>
              <w:widowControl/>
              <w:snapToGrid w:val="0"/>
              <w:jc w:val="center"/>
              <w:rPr>
                <w:rFonts w:ascii="仿宋_GB2312" w:hAnsi="仿宋"/>
                <w:sz w:val="20"/>
                <w:szCs w:val="20"/>
              </w:rPr>
            </w:pPr>
            <w:r>
              <w:rPr>
                <w:rFonts w:hint="eastAsia" w:ascii="仿宋_GB2312" w:hAnsi="仿宋"/>
                <w:sz w:val="20"/>
                <w:szCs w:val="20"/>
              </w:rPr>
              <w:t>5</w:t>
            </w:r>
            <w:r>
              <w:rPr>
                <w:rFonts w:ascii="仿宋_GB2312" w:hAnsi="仿宋"/>
                <w:sz w:val="20"/>
                <w:szCs w:val="20"/>
              </w:rPr>
              <w:t>0000</w:t>
            </w:r>
          </w:p>
        </w:tc>
        <w:tc>
          <w:tcPr>
            <w:tcW w:w="1092" w:type="dxa"/>
            <w:tcBorders>
              <w:top w:val="single" w:color="000000" w:sz="4" w:space="0"/>
              <w:left w:val="single" w:color="000000" w:sz="4" w:space="0"/>
              <w:bottom w:val="single" w:color="000000" w:sz="4" w:space="0"/>
              <w:right w:val="single" w:color="000000" w:sz="4" w:space="0"/>
            </w:tcBorders>
            <w:vAlign w:val="center"/>
          </w:tcPr>
          <w:p w14:paraId="7264B37B">
            <w:pPr>
              <w:widowControl/>
              <w:snapToGrid w:val="0"/>
              <w:jc w:val="center"/>
              <w:rPr>
                <w:rFonts w:ascii="仿宋_GB2312" w:hAnsi="仿宋"/>
                <w:sz w:val="20"/>
                <w:szCs w:val="20"/>
              </w:rPr>
            </w:pPr>
            <w:r>
              <w:rPr>
                <w:rFonts w:hint="eastAsia" w:ascii="仿宋_GB2312" w:hAnsi="仿宋"/>
                <w:sz w:val="20"/>
                <w:szCs w:val="20"/>
              </w:rPr>
              <w:t>5</w:t>
            </w:r>
          </w:p>
        </w:tc>
        <w:tc>
          <w:tcPr>
            <w:tcW w:w="1545" w:type="dxa"/>
            <w:tcBorders>
              <w:top w:val="single" w:color="000000" w:sz="4" w:space="0"/>
              <w:left w:val="single" w:color="000000" w:sz="4" w:space="0"/>
              <w:bottom w:val="single" w:color="000000" w:sz="4" w:space="0"/>
              <w:right w:val="single" w:color="000000" w:sz="4" w:space="0"/>
            </w:tcBorders>
            <w:vAlign w:val="center"/>
          </w:tcPr>
          <w:p w14:paraId="6A7F764F">
            <w:pPr>
              <w:rPr>
                <w:rFonts w:ascii="仿宋_GB2312" w:hAnsi="仿宋"/>
                <w:sz w:val="20"/>
                <w:szCs w:val="20"/>
              </w:rPr>
            </w:pPr>
            <w:r>
              <w:rPr>
                <w:rFonts w:hint="eastAsia" w:ascii="仿宋_GB2312" w:hAnsi="仿宋"/>
                <w:sz w:val="20"/>
                <w:szCs w:val="20"/>
                <w:lang w:eastAsia="zh-CN"/>
              </w:rPr>
              <w:t>兰州</w:t>
            </w:r>
          </w:p>
        </w:tc>
        <w:tc>
          <w:tcPr>
            <w:tcW w:w="1422" w:type="dxa"/>
            <w:tcBorders>
              <w:top w:val="single" w:color="000000" w:sz="4" w:space="0"/>
              <w:left w:val="single" w:color="000000" w:sz="4" w:space="0"/>
              <w:bottom w:val="single" w:color="000000" w:sz="4" w:space="0"/>
              <w:right w:val="single" w:color="000000" w:sz="4" w:space="0"/>
            </w:tcBorders>
            <w:vAlign w:val="center"/>
          </w:tcPr>
          <w:p w14:paraId="0BC4DDF3">
            <w:pPr>
              <w:widowControl/>
              <w:snapToGrid w:val="0"/>
              <w:jc w:val="center"/>
              <w:rPr>
                <w:rFonts w:ascii="仿宋_GB2312" w:hAnsi="宋体" w:cs="宋体"/>
                <w:sz w:val="20"/>
                <w:szCs w:val="20"/>
              </w:rPr>
            </w:pPr>
            <w:r>
              <w:rPr>
                <w:rFonts w:hint="eastAsia" w:ascii="仿宋_GB2312" w:hAnsi="宋体" w:cs="宋体"/>
                <w:sz w:val="20"/>
                <w:szCs w:val="20"/>
              </w:rPr>
              <w:t>合同签订</w:t>
            </w:r>
            <w:r>
              <w:rPr>
                <w:rFonts w:ascii="仿宋_GB2312" w:hAnsi="宋体" w:cs="宋体"/>
                <w:sz w:val="20"/>
                <w:szCs w:val="20"/>
              </w:rPr>
              <w:t>后120</w:t>
            </w:r>
            <w:r>
              <w:rPr>
                <w:rFonts w:hint="eastAsia" w:ascii="仿宋_GB2312" w:hAnsi="宋体" w:cs="宋体"/>
                <w:sz w:val="20"/>
                <w:szCs w:val="20"/>
              </w:rPr>
              <w:t>个自然日</w:t>
            </w:r>
          </w:p>
        </w:tc>
        <w:tc>
          <w:tcPr>
            <w:tcW w:w="1092" w:type="dxa"/>
            <w:tcBorders>
              <w:top w:val="single" w:color="000000" w:sz="4" w:space="0"/>
              <w:left w:val="single" w:color="000000" w:sz="4" w:space="0"/>
              <w:bottom w:val="single" w:color="000000" w:sz="4" w:space="0"/>
              <w:right w:val="single" w:color="000000" w:sz="4" w:space="0"/>
            </w:tcBorders>
            <w:vAlign w:val="center"/>
          </w:tcPr>
          <w:p w14:paraId="2635B332">
            <w:pPr>
              <w:widowControl/>
              <w:snapToGrid w:val="0"/>
              <w:jc w:val="center"/>
              <w:rPr>
                <w:rFonts w:ascii="仿宋_GB2312" w:hAnsi="宋体" w:cs="宋体"/>
                <w:sz w:val="20"/>
                <w:szCs w:val="20"/>
              </w:rPr>
            </w:pPr>
            <w:r>
              <w:rPr>
                <w:rFonts w:hint="eastAsia" w:ascii="仿宋_GB2312" w:hAnsi="宋体" w:cs="宋体"/>
                <w:sz w:val="20"/>
                <w:szCs w:val="20"/>
                <w:lang w:eastAsia="zh-CN"/>
              </w:rPr>
              <w:t>竞争性谈判</w:t>
            </w:r>
          </w:p>
        </w:tc>
        <w:tc>
          <w:tcPr>
            <w:tcW w:w="1067" w:type="dxa"/>
            <w:tcBorders>
              <w:top w:val="single" w:color="000000" w:sz="4" w:space="0"/>
              <w:left w:val="single" w:color="000000" w:sz="4" w:space="0"/>
              <w:bottom w:val="single" w:color="000000" w:sz="4" w:space="0"/>
              <w:right w:val="single" w:color="000000" w:sz="4" w:space="0"/>
            </w:tcBorders>
            <w:vAlign w:val="center"/>
          </w:tcPr>
          <w:p w14:paraId="157A0022">
            <w:pPr>
              <w:widowControl/>
              <w:snapToGrid w:val="0"/>
              <w:jc w:val="center"/>
              <w:rPr>
                <w:rFonts w:ascii="仿宋_GB2312" w:hAnsi="仿宋"/>
                <w:sz w:val="20"/>
                <w:szCs w:val="20"/>
              </w:rPr>
            </w:pPr>
          </w:p>
        </w:tc>
        <w:tc>
          <w:tcPr>
            <w:tcW w:w="1310" w:type="dxa"/>
            <w:tcBorders>
              <w:top w:val="single" w:color="000000" w:sz="4" w:space="0"/>
              <w:left w:val="single" w:color="000000" w:sz="4" w:space="0"/>
              <w:bottom w:val="single" w:color="000000" w:sz="4" w:space="0"/>
              <w:right w:val="single" w:color="000000" w:sz="4" w:space="0"/>
            </w:tcBorders>
            <w:vAlign w:val="center"/>
          </w:tcPr>
          <w:p w14:paraId="64182BE7">
            <w:pPr>
              <w:widowControl/>
              <w:snapToGrid w:val="0"/>
              <w:jc w:val="center"/>
              <w:rPr>
                <w:rFonts w:ascii="宋体" w:cs="宋体"/>
                <w:kern w:val="0"/>
                <w:sz w:val="20"/>
                <w:szCs w:val="20"/>
              </w:rPr>
            </w:pPr>
          </w:p>
        </w:tc>
      </w:tr>
      <w:tr w14:paraId="1993A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14:paraId="3055E784">
            <w:pPr>
              <w:widowControl/>
              <w:snapToGrid w:val="0"/>
              <w:jc w:val="center"/>
              <w:rPr>
                <w:rFonts w:ascii="仿宋_GB2312" w:hAnsi="宋体" w:cs="宋体"/>
                <w:sz w:val="20"/>
                <w:szCs w:val="20"/>
              </w:rPr>
            </w:pPr>
            <w:r>
              <w:rPr>
                <w:rFonts w:hint="eastAsia" w:ascii="仿宋_GB2312" w:hAnsi="宋体" w:cs="宋体"/>
                <w:sz w:val="20"/>
                <w:szCs w:val="20"/>
              </w:rPr>
              <w:t>4</w:t>
            </w:r>
          </w:p>
        </w:tc>
        <w:tc>
          <w:tcPr>
            <w:tcW w:w="1438" w:type="dxa"/>
            <w:tcBorders>
              <w:top w:val="single" w:color="000000" w:sz="4" w:space="0"/>
              <w:left w:val="single" w:color="000000" w:sz="4" w:space="0"/>
              <w:bottom w:val="single" w:color="000000" w:sz="4" w:space="0"/>
              <w:right w:val="single" w:color="000000" w:sz="4" w:space="0"/>
            </w:tcBorders>
            <w:vAlign w:val="center"/>
          </w:tcPr>
          <w:p w14:paraId="79E53DC6">
            <w:pPr>
              <w:widowControl/>
              <w:snapToGrid w:val="0"/>
              <w:jc w:val="center"/>
              <w:rPr>
                <w:rFonts w:ascii="仿宋_GB2312" w:hAnsi="宋体" w:cs="宋体"/>
                <w:sz w:val="20"/>
                <w:szCs w:val="20"/>
              </w:rPr>
            </w:pPr>
            <w:r>
              <w:rPr>
                <w:rFonts w:hint="eastAsia" w:ascii="仿宋_GB2312" w:hAnsi="宋体" w:cs="宋体"/>
                <w:sz w:val="20"/>
                <w:szCs w:val="20"/>
              </w:rPr>
              <w:t>接口及其他个性化开发服务</w:t>
            </w:r>
          </w:p>
        </w:tc>
        <w:tc>
          <w:tcPr>
            <w:tcW w:w="862" w:type="dxa"/>
            <w:tcBorders>
              <w:top w:val="single" w:color="000000" w:sz="4" w:space="0"/>
              <w:left w:val="single" w:color="000000" w:sz="4" w:space="0"/>
              <w:bottom w:val="single" w:color="000000" w:sz="4" w:space="0"/>
              <w:right w:val="single" w:color="000000" w:sz="4" w:space="0"/>
            </w:tcBorders>
            <w:vAlign w:val="center"/>
          </w:tcPr>
          <w:p w14:paraId="7B36FC60">
            <w:pPr>
              <w:widowControl/>
              <w:snapToGrid w:val="0"/>
              <w:jc w:val="center"/>
              <w:rPr>
                <w:rFonts w:ascii="仿宋_GB2312" w:hAnsi="宋体" w:cs="宋体"/>
                <w:sz w:val="20"/>
                <w:szCs w:val="20"/>
              </w:rPr>
            </w:pPr>
            <w:r>
              <w:rPr>
                <w:rFonts w:hint="eastAsia" w:ascii="仿宋_GB2312" w:hAnsi="宋体" w:cs="宋体"/>
                <w:sz w:val="20"/>
                <w:szCs w:val="20"/>
              </w:rPr>
              <w:t>/</w:t>
            </w:r>
          </w:p>
        </w:tc>
        <w:tc>
          <w:tcPr>
            <w:tcW w:w="2041" w:type="dxa"/>
            <w:vMerge w:val="continue"/>
            <w:tcBorders>
              <w:left w:val="single" w:color="000000" w:sz="4" w:space="0"/>
              <w:right w:val="single" w:color="000000" w:sz="4" w:space="0"/>
            </w:tcBorders>
            <w:vAlign w:val="center"/>
          </w:tcPr>
          <w:p w14:paraId="5084880D">
            <w:pPr>
              <w:widowControl/>
              <w:snapToGrid w:val="0"/>
              <w:jc w:val="center"/>
              <w:rPr>
                <w:rFonts w:ascii="仿宋_GB2312" w:hAnsi="宋体" w:cs="宋体"/>
                <w:sz w:val="20"/>
                <w:szCs w:val="20"/>
              </w:rPr>
            </w:pPr>
          </w:p>
        </w:tc>
        <w:tc>
          <w:tcPr>
            <w:tcW w:w="739" w:type="dxa"/>
            <w:tcBorders>
              <w:top w:val="single" w:color="000000" w:sz="4" w:space="0"/>
              <w:left w:val="single" w:color="000000" w:sz="4" w:space="0"/>
              <w:bottom w:val="single" w:color="000000" w:sz="4" w:space="0"/>
              <w:right w:val="single" w:color="000000" w:sz="4" w:space="0"/>
            </w:tcBorders>
            <w:vAlign w:val="center"/>
          </w:tcPr>
          <w:p w14:paraId="362C1587">
            <w:pPr>
              <w:widowControl/>
              <w:snapToGrid w:val="0"/>
              <w:jc w:val="center"/>
              <w:rPr>
                <w:rFonts w:ascii="仿宋_GB2312" w:hAnsi="宋体" w:cs="宋体"/>
                <w:sz w:val="20"/>
                <w:szCs w:val="20"/>
              </w:rPr>
            </w:pPr>
            <w:r>
              <w:rPr>
                <w:rFonts w:hint="eastAsia" w:ascii="仿宋_GB2312" w:hAnsi="宋体" w:cs="宋体"/>
                <w:sz w:val="20"/>
                <w:szCs w:val="20"/>
              </w:rPr>
              <w:t>套</w:t>
            </w:r>
          </w:p>
        </w:tc>
        <w:tc>
          <w:tcPr>
            <w:tcW w:w="782" w:type="dxa"/>
            <w:tcBorders>
              <w:top w:val="single" w:color="000000" w:sz="4" w:space="0"/>
              <w:left w:val="single" w:color="000000" w:sz="4" w:space="0"/>
              <w:bottom w:val="single" w:color="000000" w:sz="4" w:space="0"/>
              <w:right w:val="single" w:color="000000" w:sz="4" w:space="0"/>
            </w:tcBorders>
            <w:vAlign w:val="center"/>
          </w:tcPr>
          <w:p w14:paraId="3BE2A017">
            <w:pPr>
              <w:widowControl/>
              <w:snapToGrid w:val="0"/>
              <w:jc w:val="center"/>
              <w:rPr>
                <w:rFonts w:ascii="仿宋_GB2312" w:hAnsi="仿宋"/>
                <w:sz w:val="20"/>
                <w:szCs w:val="20"/>
              </w:rPr>
            </w:pPr>
            <w:r>
              <w:rPr>
                <w:rFonts w:hint="eastAsia" w:ascii="仿宋_GB2312" w:hAnsi="仿宋"/>
                <w:sz w:val="20"/>
                <w:szCs w:val="20"/>
              </w:rPr>
              <w:t>1</w:t>
            </w:r>
          </w:p>
        </w:tc>
        <w:tc>
          <w:tcPr>
            <w:tcW w:w="872" w:type="dxa"/>
            <w:tcBorders>
              <w:top w:val="single" w:color="000000" w:sz="4" w:space="0"/>
              <w:left w:val="single" w:color="000000" w:sz="4" w:space="0"/>
              <w:bottom w:val="single" w:color="000000" w:sz="4" w:space="0"/>
              <w:right w:val="single" w:color="000000" w:sz="4" w:space="0"/>
            </w:tcBorders>
            <w:vAlign w:val="center"/>
          </w:tcPr>
          <w:p w14:paraId="651A7430">
            <w:pPr>
              <w:widowControl/>
              <w:snapToGrid w:val="0"/>
              <w:jc w:val="center"/>
              <w:rPr>
                <w:rFonts w:ascii="仿宋_GB2312" w:hAnsi="仿宋"/>
                <w:sz w:val="20"/>
                <w:szCs w:val="20"/>
              </w:rPr>
            </w:pPr>
            <w:r>
              <w:rPr>
                <w:rFonts w:hint="eastAsia" w:ascii="仿宋_GB2312" w:hAnsi="仿宋"/>
                <w:sz w:val="20"/>
                <w:szCs w:val="20"/>
              </w:rPr>
              <w:t>25</w:t>
            </w:r>
            <w:r>
              <w:rPr>
                <w:rFonts w:ascii="仿宋_GB2312" w:hAnsi="仿宋"/>
                <w:sz w:val="20"/>
                <w:szCs w:val="20"/>
              </w:rPr>
              <w:t>0000</w:t>
            </w:r>
          </w:p>
        </w:tc>
        <w:tc>
          <w:tcPr>
            <w:tcW w:w="1092" w:type="dxa"/>
            <w:tcBorders>
              <w:top w:val="single" w:color="000000" w:sz="4" w:space="0"/>
              <w:left w:val="single" w:color="000000" w:sz="4" w:space="0"/>
              <w:bottom w:val="single" w:color="000000" w:sz="4" w:space="0"/>
              <w:right w:val="single" w:color="000000" w:sz="4" w:space="0"/>
            </w:tcBorders>
            <w:vAlign w:val="center"/>
          </w:tcPr>
          <w:p w14:paraId="3569FD61">
            <w:pPr>
              <w:widowControl/>
              <w:snapToGrid w:val="0"/>
              <w:jc w:val="center"/>
              <w:rPr>
                <w:rFonts w:ascii="仿宋_GB2312" w:hAnsi="仿宋"/>
                <w:sz w:val="20"/>
                <w:szCs w:val="20"/>
              </w:rPr>
            </w:pPr>
            <w:r>
              <w:rPr>
                <w:rFonts w:hint="eastAsia" w:ascii="仿宋_GB2312" w:hAnsi="仿宋"/>
                <w:sz w:val="20"/>
                <w:szCs w:val="20"/>
              </w:rPr>
              <w:t>25</w:t>
            </w:r>
          </w:p>
        </w:tc>
        <w:tc>
          <w:tcPr>
            <w:tcW w:w="1545" w:type="dxa"/>
            <w:tcBorders>
              <w:top w:val="single" w:color="000000" w:sz="4" w:space="0"/>
              <w:left w:val="single" w:color="000000" w:sz="4" w:space="0"/>
              <w:bottom w:val="single" w:color="000000" w:sz="4" w:space="0"/>
              <w:right w:val="single" w:color="000000" w:sz="4" w:space="0"/>
            </w:tcBorders>
            <w:vAlign w:val="center"/>
          </w:tcPr>
          <w:p w14:paraId="5D8C9629">
            <w:pPr>
              <w:rPr>
                <w:rFonts w:ascii="仿宋_GB2312" w:hAnsi="仿宋"/>
                <w:sz w:val="20"/>
                <w:szCs w:val="20"/>
              </w:rPr>
            </w:pPr>
            <w:r>
              <w:rPr>
                <w:rFonts w:hint="eastAsia" w:ascii="仿宋_GB2312" w:hAnsi="仿宋"/>
                <w:sz w:val="20"/>
                <w:szCs w:val="20"/>
                <w:lang w:eastAsia="zh-CN"/>
              </w:rPr>
              <w:t>兰州</w:t>
            </w:r>
          </w:p>
        </w:tc>
        <w:tc>
          <w:tcPr>
            <w:tcW w:w="1422" w:type="dxa"/>
            <w:tcBorders>
              <w:top w:val="single" w:color="000000" w:sz="4" w:space="0"/>
              <w:left w:val="single" w:color="000000" w:sz="4" w:space="0"/>
              <w:bottom w:val="single" w:color="000000" w:sz="4" w:space="0"/>
              <w:right w:val="single" w:color="000000" w:sz="4" w:space="0"/>
            </w:tcBorders>
            <w:vAlign w:val="center"/>
          </w:tcPr>
          <w:p w14:paraId="29324AEF">
            <w:pPr>
              <w:widowControl/>
              <w:snapToGrid w:val="0"/>
              <w:jc w:val="center"/>
              <w:rPr>
                <w:rFonts w:ascii="仿宋_GB2312" w:hAnsi="宋体" w:cs="宋体"/>
                <w:sz w:val="20"/>
                <w:szCs w:val="20"/>
              </w:rPr>
            </w:pPr>
            <w:r>
              <w:rPr>
                <w:rFonts w:hint="eastAsia" w:ascii="仿宋_GB2312" w:hAnsi="宋体" w:cs="宋体"/>
                <w:sz w:val="20"/>
                <w:szCs w:val="20"/>
              </w:rPr>
              <w:t>合同签订</w:t>
            </w:r>
            <w:r>
              <w:rPr>
                <w:rFonts w:ascii="仿宋_GB2312" w:hAnsi="宋体" w:cs="宋体"/>
                <w:sz w:val="20"/>
                <w:szCs w:val="20"/>
              </w:rPr>
              <w:t>后120</w:t>
            </w:r>
            <w:r>
              <w:rPr>
                <w:rFonts w:hint="eastAsia" w:ascii="仿宋_GB2312" w:hAnsi="宋体" w:cs="宋体"/>
                <w:sz w:val="20"/>
                <w:szCs w:val="20"/>
              </w:rPr>
              <w:t>个自然日</w:t>
            </w:r>
          </w:p>
        </w:tc>
        <w:tc>
          <w:tcPr>
            <w:tcW w:w="1092" w:type="dxa"/>
            <w:tcBorders>
              <w:top w:val="single" w:color="000000" w:sz="4" w:space="0"/>
              <w:left w:val="single" w:color="000000" w:sz="4" w:space="0"/>
              <w:bottom w:val="single" w:color="000000" w:sz="4" w:space="0"/>
              <w:right w:val="single" w:color="000000" w:sz="4" w:space="0"/>
            </w:tcBorders>
            <w:vAlign w:val="center"/>
          </w:tcPr>
          <w:p w14:paraId="74A4FBE6">
            <w:pPr>
              <w:widowControl/>
              <w:snapToGrid w:val="0"/>
              <w:jc w:val="center"/>
              <w:rPr>
                <w:rFonts w:ascii="仿宋_GB2312" w:hAnsi="宋体" w:cs="宋体"/>
                <w:sz w:val="20"/>
                <w:szCs w:val="20"/>
              </w:rPr>
            </w:pPr>
            <w:r>
              <w:rPr>
                <w:rFonts w:hint="eastAsia" w:ascii="仿宋_GB2312" w:hAnsi="宋体" w:cs="宋体"/>
                <w:sz w:val="20"/>
                <w:szCs w:val="20"/>
                <w:lang w:eastAsia="zh-CN"/>
              </w:rPr>
              <w:t>竞争性谈判</w:t>
            </w:r>
          </w:p>
        </w:tc>
        <w:tc>
          <w:tcPr>
            <w:tcW w:w="1067" w:type="dxa"/>
            <w:tcBorders>
              <w:top w:val="single" w:color="000000" w:sz="4" w:space="0"/>
              <w:left w:val="single" w:color="000000" w:sz="4" w:space="0"/>
              <w:bottom w:val="single" w:color="000000" w:sz="4" w:space="0"/>
              <w:right w:val="single" w:color="000000" w:sz="4" w:space="0"/>
            </w:tcBorders>
            <w:vAlign w:val="center"/>
          </w:tcPr>
          <w:p w14:paraId="68EF7ED6">
            <w:pPr>
              <w:widowControl/>
              <w:snapToGrid w:val="0"/>
              <w:jc w:val="center"/>
              <w:rPr>
                <w:rFonts w:ascii="仿宋_GB2312" w:hAnsi="仿宋"/>
                <w:sz w:val="20"/>
                <w:szCs w:val="20"/>
              </w:rPr>
            </w:pPr>
          </w:p>
        </w:tc>
        <w:tc>
          <w:tcPr>
            <w:tcW w:w="1310" w:type="dxa"/>
            <w:tcBorders>
              <w:top w:val="single" w:color="000000" w:sz="4" w:space="0"/>
              <w:left w:val="single" w:color="000000" w:sz="4" w:space="0"/>
              <w:bottom w:val="single" w:color="000000" w:sz="4" w:space="0"/>
              <w:right w:val="single" w:color="000000" w:sz="4" w:space="0"/>
            </w:tcBorders>
            <w:vAlign w:val="center"/>
          </w:tcPr>
          <w:p w14:paraId="24B7B17A">
            <w:pPr>
              <w:widowControl/>
              <w:snapToGrid w:val="0"/>
              <w:jc w:val="center"/>
              <w:rPr>
                <w:rFonts w:ascii="宋体" w:cs="宋体"/>
                <w:kern w:val="0"/>
                <w:sz w:val="20"/>
                <w:szCs w:val="20"/>
              </w:rPr>
            </w:pPr>
          </w:p>
        </w:tc>
      </w:tr>
      <w:tr w14:paraId="6CDA6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14:paraId="25F5F4C8">
            <w:pPr>
              <w:widowControl/>
              <w:snapToGrid w:val="0"/>
              <w:jc w:val="center"/>
              <w:rPr>
                <w:rFonts w:ascii="仿宋_GB2312" w:hAnsi="宋体" w:cs="宋体"/>
                <w:sz w:val="20"/>
                <w:szCs w:val="20"/>
              </w:rPr>
            </w:pPr>
            <w:r>
              <w:rPr>
                <w:rFonts w:hint="eastAsia" w:ascii="仿宋_GB2312" w:hAnsi="宋体" w:cs="宋体"/>
                <w:sz w:val="20"/>
                <w:szCs w:val="20"/>
              </w:rPr>
              <w:t>5</w:t>
            </w:r>
          </w:p>
        </w:tc>
        <w:tc>
          <w:tcPr>
            <w:tcW w:w="1438" w:type="dxa"/>
            <w:tcBorders>
              <w:top w:val="single" w:color="000000" w:sz="4" w:space="0"/>
              <w:left w:val="single" w:color="000000" w:sz="4" w:space="0"/>
              <w:bottom w:val="single" w:color="000000" w:sz="4" w:space="0"/>
              <w:right w:val="single" w:color="000000" w:sz="4" w:space="0"/>
            </w:tcBorders>
            <w:vAlign w:val="center"/>
          </w:tcPr>
          <w:p w14:paraId="7553BD5C">
            <w:pPr>
              <w:widowControl/>
              <w:snapToGrid w:val="0"/>
              <w:jc w:val="center"/>
              <w:rPr>
                <w:rFonts w:ascii="仿宋_GB2312" w:hAnsi="宋体" w:cs="宋体"/>
                <w:sz w:val="20"/>
                <w:szCs w:val="20"/>
              </w:rPr>
            </w:pPr>
            <w:r>
              <w:rPr>
                <w:rFonts w:hint="eastAsia" w:ascii="仿宋_GB2312" w:hAnsi="宋体" w:cs="宋体"/>
                <w:sz w:val="20"/>
                <w:szCs w:val="20"/>
              </w:rPr>
              <w:t>存储服务器</w:t>
            </w:r>
          </w:p>
        </w:tc>
        <w:tc>
          <w:tcPr>
            <w:tcW w:w="862" w:type="dxa"/>
            <w:tcBorders>
              <w:top w:val="single" w:color="000000" w:sz="4" w:space="0"/>
              <w:left w:val="single" w:color="000000" w:sz="4" w:space="0"/>
              <w:bottom w:val="single" w:color="000000" w:sz="4" w:space="0"/>
              <w:right w:val="single" w:color="000000" w:sz="4" w:space="0"/>
            </w:tcBorders>
            <w:vAlign w:val="center"/>
          </w:tcPr>
          <w:p w14:paraId="7B0D45AF">
            <w:pPr>
              <w:widowControl/>
              <w:snapToGrid w:val="0"/>
              <w:jc w:val="center"/>
              <w:rPr>
                <w:rFonts w:ascii="仿宋_GB2312" w:hAnsi="宋体" w:cs="宋体"/>
                <w:sz w:val="20"/>
                <w:szCs w:val="20"/>
              </w:rPr>
            </w:pPr>
            <w:r>
              <w:rPr>
                <w:rFonts w:hint="eastAsia" w:ascii="仿宋_GB2312" w:hAnsi="宋体" w:cs="宋体"/>
                <w:sz w:val="20"/>
                <w:szCs w:val="20"/>
              </w:rPr>
              <w:t>/</w:t>
            </w:r>
          </w:p>
        </w:tc>
        <w:tc>
          <w:tcPr>
            <w:tcW w:w="2041" w:type="dxa"/>
            <w:vMerge w:val="continue"/>
            <w:tcBorders>
              <w:left w:val="single" w:color="000000" w:sz="4" w:space="0"/>
              <w:right w:val="single" w:color="000000" w:sz="4" w:space="0"/>
            </w:tcBorders>
            <w:vAlign w:val="center"/>
          </w:tcPr>
          <w:p w14:paraId="2E9C3019">
            <w:pPr>
              <w:widowControl/>
              <w:snapToGrid w:val="0"/>
              <w:jc w:val="center"/>
              <w:rPr>
                <w:rFonts w:ascii="仿宋_GB2312" w:hAnsi="宋体" w:cs="宋体"/>
                <w:sz w:val="20"/>
                <w:szCs w:val="20"/>
              </w:rPr>
            </w:pPr>
          </w:p>
        </w:tc>
        <w:tc>
          <w:tcPr>
            <w:tcW w:w="739" w:type="dxa"/>
            <w:tcBorders>
              <w:top w:val="single" w:color="000000" w:sz="4" w:space="0"/>
              <w:left w:val="single" w:color="000000" w:sz="4" w:space="0"/>
              <w:bottom w:val="single" w:color="000000" w:sz="4" w:space="0"/>
              <w:right w:val="single" w:color="000000" w:sz="4" w:space="0"/>
            </w:tcBorders>
            <w:vAlign w:val="center"/>
          </w:tcPr>
          <w:p w14:paraId="420656C2">
            <w:pPr>
              <w:widowControl/>
              <w:snapToGrid w:val="0"/>
              <w:jc w:val="center"/>
              <w:rPr>
                <w:rFonts w:ascii="仿宋_GB2312" w:hAnsi="宋体" w:cs="宋体"/>
                <w:sz w:val="20"/>
                <w:szCs w:val="20"/>
              </w:rPr>
            </w:pPr>
            <w:r>
              <w:rPr>
                <w:rFonts w:hint="eastAsia" w:ascii="仿宋_GB2312" w:hAnsi="宋体" w:cs="宋体"/>
                <w:sz w:val="20"/>
                <w:szCs w:val="20"/>
              </w:rPr>
              <w:t>台</w:t>
            </w:r>
          </w:p>
        </w:tc>
        <w:tc>
          <w:tcPr>
            <w:tcW w:w="782" w:type="dxa"/>
            <w:tcBorders>
              <w:top w:val="single" w:color="000000" w:sz="4" w:space="0"/>
              <w:left w:val="single" w:color="000000" w:sz="4" w:space="0"/>
              <w:bottom w:val="single" w:color="000000" w:sz="4" w:space="0"/>
              <w:right w:val="single" w:color="000000" w:sz="4" w:space="0"/>
            </w:tcBorders>
            <w:vAlign w:val="center"/>
          </w:tcPr>
          <w:p w14:paraId="4DC82C0B">
            <w:pPr>
              <w:widowControl/>
              <w:snapToGrid w:val="0"/>
              <w:jc w:val="center"/>
              <w:rPr>
                <w:rFonts w:ascii="仿宋_GB2312" w:hAnsi="仿宋"/>
                <w:sz w:val="20"/>
                <w:szCs w:val="20"/>
              </w:rPr>
            </w:pPr>
            <w:r>
              <w:rPr>
                <w:rFonts w:hint="eastAsia" w:ascii="仿宋_GB2312" w:hAnsi="仿宋"/>
                <w:sz w:val="20"/>
                <w:szCs w:val="20"/>
              </w:rPr>
              <w:t>2</w:t>
            </w:r>
          </w:p>
        </w:tc>
        <w:tc>
          <w:tcPr>
            <w:tcW w:w="872" w:type="dxa"/>
            <w:tcBorders>
              <w:top w:val="single" w:color="000000" w:sz="4" w:space="0"/>
              <w:left w:val="single" w:color="000000" w:sz="4" w:space="0"/>
              <w:bottom w:val="single" w:color="000000" w:sz="4" w:space="0"/>
              <w:right w:val="single" w:color="000000" w:sz="4" w:space="0"/>
            </w:tcBorders>
            <w:vAlign w:val="center"/>
          </w:tcPr>
          <w:p w14:paraId="4456BE6B">
            <w:pPr>
              <w:widowControl/>
              <w:snapToGrid w:val="0"/>
              <w:jc w:val="center"/>
              <w:rPr>
                <w:rFonts w:ascii="仿宋_GB2312" w:hAnsi="仿宋"/>
                <w:sz w:val="20"/>
                <w:szCs w:val="20"/>
              </w:rPr>
            </w:pPr>
            <w:r>
              <w:rPr>
                <w:rFonts w:hint="eastAsia" w:ascii="仿宋_GB2312" w:hAnsi="仿宋"/>
                <w:sz w:val="20"/>
                <w:szCs w:val="20"/>
              </w:rPr>
              <w:t>170000</w:t>
            </w:r>
          </w:p>
        </w:tc>
        <w:tc>
          <w:tcPr>
            <w:tcW w:w="1092" w:type="dxa"/>
            <w:tcBorders>
              <w:top w:val="single" w:color="000000" w:sz="4" w:space="0"/>
              <w:left w:val="single" w:color="000000" w:sz="4" w:space="0"/>
              <w:bottom w:val="single" w:color="000000" w:sz="4" w:space="0"/>
              <w:right w:val="single" w:color="000000" w:sz="4" w:space="0"/>
            </w:tcBorders>
            <w:vAlign w:val="center"/>
          </w:tcPr>
          <w:p w14:paraId="3DA2A4DC">
            <w:pPr>
              <w:widowControl/>
              <w:snapToGrid w:val="0"/>
              <w:jc w:val="center"/>
              <w:rPr>
                <w:rFonts w:ascii="仿宋_GB2312" w:hAnsi="仿宋"/>
                <w:sz w:val="20"/>
                <w:szCs w:val="20"/>
              </w:rPr>
            </w:pPr>
            <w:r>
              <w:rPr>
                <w:rFonts w:hint="eastAsia" w:ascii="仿宋_GB2312" w:hAnsi="仿宋"/>
                <w:sz w:val="20"/>
                <w:szCs w:val="20"/>
              </w:rPr>
              <w:t>17</w:t>
            </w:r>
          </w:p>
        </w:tc>
        <w:tc>
          <w:tcPr>
            <w:tcW w:w="1545" w:type="dxa"/>
            <w:tcBorders>
              <w:top w:val="single" w:color="000000" w:sz="4" w:space="0"/>
              <w:left w:val="single" w:color="000000" w:sz="4" w:space="0"/>
              <w:bottom w:val="single" w:color="000000" w:sz="4" w:space="0"/>
              <w:right w:val="single" w:color="000000" w:sz="4" w:space="0"/>
            </w:tcBorders>
            <w:vAlign w:val="center"/>
          </w:tcPr>
          <w:p w14:paraId="09805855">
            <w:pPr>
              <w:rPr>
                <w:rFonts w:ascii="仿宋_GB2312" w:hAnsi="仿宋"/>
                <w:sz w:val="20"/>
                <w:szCs w:val="20"/>
              </w:rPr>
            </w:pPr>
            <w:r>
              <w:rPr>
                <w:rFonts w:hint="eastAsia" w:ascii="仿宋_GB2312" w:hAnsi="仿宋"/>
                <w:sz w:val="20"/>
                <w:szCs w:val="20"/>
                <w:lang w:eastAsia="zh-CN"/>
              </w:rPr>
              <w:t>兰州</w:t>
            </w:r>
          </w:p>
        </w:tc>
        <w:tc>
          <w:tcPr>
            <w:tcW w:w="1422" w:type="dxa"/>
            <w:tcBorders>
              <w:top w:val="single" w:color="000000" w:sz="4" w:space="0"/>
              <w:left w:val="single" w:color="000000" w:sz="4" w:space="0"/>
              <w:bottom w:val="single" w:color="000000" w:sz="4" w:space="0"/>
              <w:right w:val="single" w:color="000000" w:sz="4" w:space="0"/>
            </w:tcBorders>
            <w:vAlign w:val="center"/>
          </w:tcPr>
          <w:p w14:paraId="2FBAEE0D">
            <w:pPr>
              <w:widowControl/>
              <w:snapToGrid w:val="0"/>
              <w:jc w:val="center"/>
              <w:rPr>
                <w:rFonts w:ascii="仿宋_GB2312" w:hAnsi="宋体" w:cs="宋体"/>
                <w:sz w:val="20"/>
                <w:szCs w:val="20"/>
              </w:rPr>
            </w:pPr>
            <w:r>
              <w:rPr>
                <w:rFonts w:hint="eastAsia" w:ascii="仿宋_GB2312" w:hAnsi="宋体" w:cs="宋体"/>
                <w:sz w:val="20"/>
                <w:szCs w:val="20"/>
              </w:rPr>
              <w:t>合同签订</w:t>
            </w:r>
            <w:r>
              <w:rPr>
                <w:rFonts w:ascii="仿宋_GB2312" w:hAnsi="宋体" w:cs="宋体"/>
                <w:sz w:val="20"/>
                <w:szCs w:val="20"/>
              </w:rPr>
              <w:t>后120</w:t>
            </w:r>
            <w:r>
              <w:rPr>
                <w:rFonts w:hint="eastAsia" w:ascii="仿宋_GB2312" w:hAnsi="宋体" w:cs="宋体"/>
                <w:sz w:val="20"/>
                <w:szCs w:val="20"/>
              </w:rPr>
              <w:t>个自然日</w:t>
            </w:r>
          </w:p>
        </w:tc>
        <w:tc>
          <w:tcPr>
            <w:tcW w:w="1092" w:type="dxa"/>
            <w:tcBorders>
              <w:top w:val="single" w:color="000000" w:sz="4" w:space="0"/>
              <w:left w:val="single" w:color="000000" w:sz="4" w:space="0"/>
              <w:bottom w:val="single" w:color="000000" w:sz="4" w:space="0"/>
              <w:right w:val="single" w:color="000000" w:sz="4" w:space="0"/>
            </w:tcBorders>
            <w:vAlign w:val="center"/>
          </w:tcPr>
          <w:p w14:paraId="4E652F16">
            <w:pPr>
              <w:widowControl/>
              <w:snapToGrid w:val="0"/>
              <w:jc w:val="center"/>
              <w:rPr>
                <w:rFonts w:ascii="仿宋_GB2312" w:hAnsi="宋体" w:cs="宋体"/>
                <w:sz w:val="20"/>
                <w:szCs w:val="20"/>
              </w:rPr>
            </w:pPr>
            <w:r>
              <w:rPr>
                <w:rFonts w:hint="eastAsia" w:ascii="仿宋_GB2312" w:hAnsi="宋体" w:cs="宋体"/>
                <w:sz w:val="20"/>
                <w:szCs w:val="20"/>
                <w:lang w:eastAsia="zh-CN"/>
              </w:rPr>
              <w:t>竞争性谈判</w:t>
            </w:r>
          </w:p>
        </w:tc>
        <w:tc>
          <w:tcPr>
            <w:tcW w:w="1067" w:type="dxa"/>
            <w:tcBorders>
              <w:top w:val="single" w:color="000000" w:sz="4" w:space="0"/>
              <w:left w:val="single" w:color="000000" w:sz="4" w:space="0"/>
              <w:bottom w:val="single" w:color="000000" w:sz="4" w:space="0"/>
              <w:right w:val="single" w:color="000000" w:sz="4" w:space="0"/>
            </w:tcBorders>
            <w:vAlign w:val="center"/>
          </w:tcPr>
          <w:p w14:paraId="02C2BA95">
            <w:pPr>
              <w:widowControl/>
              <w:snapToGrid w:val="0"/>
              <w:jc w:val="center"/>
              <w:rPr>
                <w:rFonts w:ascii="仿宋_GB2312" w:hAnsi="仿宋"/>
                <w:sz w:val="20"/>
                <w:szCs w:val="20"/>
              </w:rPr>
            </w:pPr>
          </w:p>
        </w:tc>
        <w:tc>
          <w:tcPr>
            <w:tcW w:w="1310" w:type="dxa"/>
            <w:tcBorders>
              <w:top w:val="single" w:color="000000" w:sz="4" w:space="0"/>
              <w:left w:val="single" w:color="000000" w:sz="4" w:space="0"/>
              <w:bottom w:val="single" w:color="000000" w:sz="4" w:space="0"/>
              <w:right w:val="single" w:color="000000" w:sz="4" w:space="0"/>
            </w:tcBorders>
            <w:vAlign w:val="center"/>
          </w:tcPr>
          <w:p w14:paraId="6534605E">
            <w:pPr>
              <w:widowControl/>
              <w:snapToGrid w:val="0"/>
              <w:jc w:val="center"/>
              <w:rPr>
                <w:rFonts w:ascii="宋体" w:cs="宋体"/>
                <w:kern w:val="0"/>
                <w:sz w:val="20"/>
                <w:szCs w:val="20"/>
              </w:rPr>
            </w:pPr>
          </w:p>
        </w:tc>
      </w:tr>
    </w:tbl>
    <w:p w14:paraId="26BDC2AD">
      <w:pPr>
        <w:pStyle w:val="2"/>
        <w:rPr>
          <w:rFonts w:hint="eastAsia"/>
        </w:rPr>
      </w:pPr>
    </w:p>
    <w:p w14:paraId="40C295BC">
      <w:pPr>
        <w:sectPr>
          <w:pgSz w:w="16840" w:h="11907" w:orient="landscape"/>
          <w:pgMar w:top="1474" w:right="1418" w:bottom="1559" w:left="1418" w:header="851" w:footer="992" w:gutter="0"/>
          <w:cols w:space="720" w:num="1"/>
          <w:docGrid w:linePitch="606" w:charSpace="4991"/>
        </w:sectPr>
      </w:pPr>
    </w:p>
    <w:p w14:paraId="2EE72447">
      <w:pPr>
        <w:widowControl/>
        <w:spacing w:line="560" w:lineRule="exact"/>
        <w:jc w:val="left"/>
        <w:rPr>
          <w:rFonts w:ascii="黑体" w:hAnsi="黑体" w:eastAsia="黑体" w:cs="黑体"/>
          <w:bCs/>
          <w:sz w:val="32"/>
          <w:szCs w:val="32"/>
        </w:rPr>
      </w:pPr>
      <w:r>
        <w:rPr>
          <w:rFonts w:hint="eastAsia" w:ascii="黑体" w:hAnsi="黑体" w:eastAsia="黑体" w:cs="黑体"/>
          <w:bCs/>
          <w:sz w:val="32"/>
          <w:szCs w:val="32"/>
        </w:rPr>
        <w:t>附件</w:t>
      </w:r>
    </w:p>
    <w:p w14:paraId="3A7B24DA">
      <w:pPr>
        <w:widowControl/>
        <w:spacing w:line="560" w:lineRule="exact"/>
        <w:rPr>
          <w:rFonts w:ascii="方正小标宋简体" w:eastAsia="方正小标宋简体"/>
          <w:sz w:val="44"/>
          <w:szCs w:val="44"/>
        </w:rPr>
      </w:pPr>
      <w:r>
        <w:rPr>
          <w:rFonts w:hint="eastAsia" w:ascii="方正小标宋简体" w:eastAsia="方正小标宋简体"/>
          <w:sz w:val="44"/>
          <w:szCs w:val="44"/>
        </w:rPr>
        <w:t xml:space="preserve">                 技术要求</w:t>
      </w:r>
    </w:p>
    <w:p w14:paraId="092C4343">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一、建设要求</w:t>
      </w:r>
    </w:p>
    <w:p w14:paraId="5115262A">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1、预期效果</w:t>
      </w:r>
    </w:p>
    <w:p w14:paraId="194274D0">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检查检验结果互认平台对接完成后，各医疗机构的医生在接诊患者时，患者不用携带纸质检查检验报告资料，医生可在系统中查看患者近期在其他医疗机构所做的检查检验结果，可提高医疗资源利用效率，简化患者就医环节，杜绝重复检查、重复收费。</w:t>
      </w:r>
    </w:p>
    <w:p w14:paraId="377B507F">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2、过程要求</w:t>
      </w:r>
    </w:p>
    <w:p w14:paraId="10FA15F4">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为确保“检查检验结果互认平台对接项目”顺利实施，乙方需制定详细完善的实施方案与售后方案，对本院基础物理环境、服务器及其他相关系统进行评估，确保以标准化的流程，科学的施工方式，为甲方提供巡检、配置操作、维护、维修、升级、培训技术服务工作。</w:t>
      </w:r>
    </w:p>
    <w:p w14:paraId="74FC2926">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（2）乙方须承诺免费安装实施，实施前须制订详细的进度表及针对相关科室使用人员和系统管理员的详细培训计划。培训内容以技术验收文档形式移交给医院。</w:t>
      </w:r>
    </w:p>
    <w:p w14:paraId="6BE1FCBC">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（3）乙方须为甲方提供不少于3次技术和人员培训，通过系统的培训，使甲方获得工作需要的专业技术知识和经验，从而保障整个系统的顺利运行。</w:t>
      </w:r>
    </w:p>
    <w:p w14:paraId="4409C711">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保密要求</w:t>
      </w:r>
    </w:p>
    <w:p w14:paraId="4B448CB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（1）在项目竣工验收通过之前。乙方必须对技术文件以及由甲方提供的所有内部资料、技术文档和信息予以保密，乙方在整个项目实施、竣工期间做出相应的保密承诺。</w:t>
      </w:r>
    </w:p>
    <w:p w14:paraId="716B517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（2）在项目质保期内。未经甲方书面许可，乙方不得以任何形式向第三方透露本项目规范书以及本项目的任何内容。</w:t>
      </w:r>
    </w:p>
    <w:p w14:paraId="6CF3FFB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（3）在项目质保期满后。甲方发现有涉及甲方网络情况的文件事件发生，查明确实属于乙方泄露的，甲方将有权追究乙方的法律责任。</w:t>
      </w:r>
    </w:p>
    <w:p w14:paraId="4D6C53D9">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4、安全要求</w:t>
      </w:r>
    </w:p>
    <w:p w14:paraId="0479249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针对本项目安全要求，乙方须制定不限于已下内容的安全保障施工机制，确保项目顺利实施竣工。</w:t>
      </w:r>
    </w:p>
    <w:p w14:paraId="37A0AB8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（1）施工安全管理制度</w:t>
      </w:r>
    </w:p>
    <w:p w14:paraId="4001393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乙方需在本次项目实施过程中详细制定出完善的管理办法、管理规定、安全教育、安全检查、安全保障措施、安全操作规范，针对以上要求在投标文件方案中逐一体现内容及阐述说明。</w:t>
      </w:r>
    </w:p>
    <w:p w14:paraId="28021FB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（2）安全保障措施组织机构</w:t>
      </w:r>
    </w:p>
    <w:p w14:paraId="062D14B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本项目要求定制出完善的安全保障措施组织机构图，方案中明确阐述保障措施机构成员责任与具体安全工作内容，做到尽职尽责，责任明确，保障项目工程责任落地实施。</w:t>
      </w:r>
    </w:p>
    <w:p w14:paraId="3661644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（3）项目文明施工要求</w:t>
      </w:r>
    </w:p>
    <w:p w14:paraId="47C66B1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项目实施过程中文明要求，在项目实施过程中严格按照甲方施工要求对施工现场，设备、材料的堆放要遵从规定，施工完毕后对各种材料废弃物及时清理出现场，废弃物应堆放至指定场所，做到工完、料尽、场地清；严禁酒后作业，带病施工，严禁违纪、违规不文明行为，必须按照设备操作规范作业，严禁野蛮、暴力施工，对现场用电安全措施，做出详细的方案阐述。</w:t>
      </w:r>
    </w:p>
    <w:p w14:paraId="1F88570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（4）项目安全技术措施</w:t>
      </w:r>
    </w:p>
    <w:p w14:paraId="2020AD58">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项目开工前编制安全施工组织设计，做好防火、防塌安全工作。施工现场除设置安全宣传标语牌外，危险部位要有安全警示标志。</w:t>
      </w:r>
      <w:r>
        <w:rPr>
          <w:rFonts w:ascii="仿宋_GB2312" w:hAnsi="仿宋_GB2312" w:eastAsia="仿宋_GB2312" w:cs="仿宋_GB2312"/>
          <w:sz w:val="32"/>
          <w:szCs w:val="32"/>
        </w:rPr>
        <w:t>施工人员要掌握本工种的安全操作要领，上岗前禁止饮酒，进入施工现场必须戴安全帽，正确使用劳保用品</w:t>
      </w:r>
      <w:r>
        <w:rPr>
          <w:rFonts w:hint="eastAsia" w:ascii="仿宋_GB2312" w:hAnsi="仿宋_GB2312" w:eastAsia="仿宋_GB2312" w:cs="仿宋_GB2312"/>
          <w:sz w:val="32"/>
          <w:szCs w:val="32"/>
        </w:rPr>
        <w:t>。乙方需在方案中提交包含此项目要求的弱电工程师资格证书证明材料。</w:t>
      </w:r>
    </w:p>
    <w:p w14:paraId="478E50CF">
      <w:pPr>
        <w:pStyle w:val="2"/>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（5）其他要求</w:t>
      </w:r>
    </w:p>
    <w:p w14:paraId="3AD817B4">
      <w:pPr>
        <w:pStyle w:val="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项目实施过程中遇到不可控因素造成项目未在规定日期内完成的，需与甲方共同商定，确保工程顺利完成。乙方需在项目实施前提交完善的实施方案、人员和技术保障方案，</w:t>
      </w:r>
      <w:r>
        <w:rPr>
          <w:rFonts w:ascii="仿宋_GB2312" w:hAnsi="仿宋_GB2312" w:eastAsia="仿宋_GB2312" w:cs="仿宋_GB2312"/>
          <w:sz w:val="32"/>
          <w:szCs w:val="32"/>
        </w:rPr>
        <w:t>在施工过程中须根据甲方实际流程调整</w:t>
      </w:r>
      <w:r>
        <w:rPr>
          <w:rFonts w:hint="eastAsia" w:ascii="仿宋_GB2312" w:hAnsi="仿宋_GB2312" w:eastAsia="仿宋_GB2312" w:cs="仿宋_GB2312"/>
          <w:sz w:val="32"/>
          <w:szCs w:val="32"/>
        </w:rPr>
        <w:t>相应步骤。乙方提供本项目的实施方案应包括货物供货、运输配送、安装调试、验收、项目培训方案各个环节。确保实施方案完整、详细具体、合理可行、操作性强并符合本项目实际情况。</w:t>
      </w:r>
    </w:p>
    <w:p w14:paraId="289EB6B5">
      <w:pPr>
        <w:pStyle w:val="4"/>
        <w:keepNext w:val="0"/>
        <w:keepLines w:val="0"/>
        <w:adjustRightInd w:val="0"/>
        <w:spacing w:before="0" w:after="0" w:line="560" w:lineRule="exact"/>
        <w:ind w:firstLine="640" w:firstLineChars="200"/>
        <w:rPr>
          <w:rFonts w:ascii="黑体" w:hAnsi="黑体" w:cs="黑体"/>
          <w:b w:val="0"/>
          <w:bCs w:val="0"/>
          <w:sz w:val="32"/>
          <w:szCs w:val="32"/>
        </w:rPr>
      </w:pPr>
      <w:r>
        <w:rPr>
          <w:rFonts w:hint="eastAsia" w:ascii="黑体" w:hAnsi="黑体" w:cs="黑体"/>
          <w:b w:val="0"/>
          <w:bCs w:val="0"/>
          <w:sz w:val="32"/>
          <w:szCs w:val="32"/>
        </w:rPr>
        <w:t>二、</w:t>
      </w:r>
      <w:bookmarkStart w:id="0" w:name="_Hlk129332993"/>
      <w:r>
        <w:rPr>
          <w:rFonts w:hint="eastAsia" w:ascii="黑体" w:hAnsi="黑体" w:cs="黑体"/>
          <w:b w:val="0"/>
          <w:bCs w:val="0"/>
          <w:sz w:val="32"/>
          <w:szCs w:val="32"/>
        </w:rPr>
        <w:t>履约验收</w:t>
      </w:r>
      <w:bookmarkEnd w:id="0"/>
    </w:p>
    <w:p w14:paraId="4CA3D6EB">
      <w:pPr>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（一）</w:t>
      </w:r>
      <w:bookmarkStart w:id="1" w:name="_Hlk129302104"/>
      <w:bookmarkStart w:id="2" w:name="_Hlk129333184"/>
      <w:r>
        <w:rPr>
          <w:rFonts w:hint="eastAsia" w:ascii="仿宋_GB2312" w:eastAsia="仿宋_GB2312"/>
          <w:sz w:val="32"/>
          <w:szCs w:val="32"/>
        </w:rPr>
        <w:t>到货</w:t>
      </w:r>
      <w:bookmarkEnd w:id="1"/>
      <w:r>
        <w:rPr>
          <w:rFonts w:hint="eastAsia" w:ascii="仿宋_GB2312" w:eastAsia="仿宋_GB2312"/>
          <w:sz w:val="32"/>
          <w:szCs w:val="32"/>
        </w:rPr>
        <w:t>检验</w:t>
      </w:r>
      <w:bookmarkEnd w:id="2"/>
    </w:p>
    <w:p w14:paraId="649F7D1E">
      <w:pPr>
        <w:adjustRightInd w:val="0"/>
        <w:spacing w:line="560" w:lineRule="exact"/>
        <w:ind w:firstLine="640" w:firstLineChars="200"/>
        <w:rPr>
          <w:rFonts w:ascii="仿宋_GB2312" w:eastAsia="仿宋_GB2312"/>
          <w:sz w:val="32"/>
          <w:szCs w:val="32"/>
        </w:rPr>
      </w:pPr>
      <w:bookmarkStart w:id="3" w:name="_Hlk129301698"/>
      <w:r>
        <w:rPr>
          <w:rFonts w:hint="eastAsia" w:ascii="仿宋_GB2312" w:eastAsia="仿宋_GB2312"/>
          <w:sz w:val="32"/>
          <w:szCs w:val="32"/>
        </w:rPr>
        <w:t>1</w:t>
      </w:r>
      <w:bookmarkStart w:id="4" w:name="_Hlk129302273"/>
      <w:r>
        <w:rPr>
          <w:rFonts w:hint="eastAsia" w:ascii="仿宋_GB2312" w:eastAsia="仿宋_GB2312"/>
          <w:sz w:val="32"/>
          <w:szCs w:val="32"/>
        </w:rPr>
        <w:t>.物资</w:t>
      </w:r>
      <w:bookmarkEnd w:id="4"/>
      <w:r>
        <w:rPr>
          <w:rFonts w:hint="eastAsia" w:ascii="仿宋_GB2312" w:eastAsia="仿宋_GB2312"/>
          <w:sz w:val="32"/>
          <w:szCs w:val="32"/>
        </w:rPr>
        <w:t>交货后，甲方应当在现场检验，包括但不限于外包装、合同号、箱件数、收货单位名称、品名、货号、批次及相关资料等；检验物资品名、型号规格、数量、外观、产品合格证、质量保证书、技术资料、出厂日期、出厂编号、</w:t>
      </w:r>
      <w:bookmarkStart w:id="5" w:name="_Hlk129326561"/>
      <w:r>
        <w:rPr>
          <w:rFonts w:hint="eastAsia" w:ascii="仿宋_GB2312" w:eastAsia="仿宋_GB2312"/>
          <w:sz w:val="32"/>
          <w:szCs w:val="32"/>
        </w:rPr>
        <w:t>物资编目编码、打码贴签</w:t>
      </w:r>
      <w:bookmarkEnd w:id="5"/>
      <w:r>
        <w:rPr>
          <w:rFonts w:hint="eastAsia" w:ascii="仿宋_GB2312" w:eastAsia="仿宋_GB2312"/>
          <w:sz w:val="32"/>
          <w:szCs w:val="32"/>
        </w:rPr>
        <w:t>等。涉及进口产品的，乙方应当出示中华人民共和国海关出具的检验证书等相关证明材料。</w:t>
      </w:r>
    </w:p>
    <w:p w14:paraId="06BD8EC8">
      <w:pPr>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2.到货检验由双方共同进行，乙方应当自费派遣代表到场参加到货检验，甲方应予</w:t>
      </w:r>
      <w:r>
        <w:rPr>
          <w:rFonts w:hint="eastAsia" w:ascii="仿宋_GB2312" w:eastAsia="仿宋_GB2312"/>
          <w:bCs/>
          <w:sz w:val="32"/>
          <w:szCs w:val="32"/>
        </w:rPr>
        <w:t>提供必要的临时办公场所和出入许可等。</w:t>
      </w:r>
    </w:p>
    <w:p w14:paraId="2E9833FB">
      <w:pPr>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3.在</w:t>
      </w:r>
      <w:bookmarkStart w:id="6" w:name="_Hlk129302538"/>
      <w:r>
        <w:rPr>
          <w:rFonts w:hint="eastAsia" w:ascii="仿宋_GB2312" w:eastAsia="仿宋_GB2312"/>
          <w:sz w:val="32"/>
          <w:szCs w:val="32"/>
        </w:rPr>
        <w:t>到货</w:t>
      </w:r>
      <w:bookmarkEnd w:id="6"/>
      <w:r>
        <w:rPr>
          <w:rFonts w:hint="eastAsia" w:ascii="仿宋_GB2312" w:eastAsia="仿宋_GB2312"/>
          <w:sz w:val="32"/>
          <w:szCs w:val="32"/>
        </w:rPr>
        <w:t>检验中发现</w:t>
      </w:r>
      <w:bookmarkStart w:id="7" w:name="_Hlk129302417"/>
      <w:r>
        <w:rPr>
          <w:rFonts w:hint="eastAsia" w:ascii="仿宋_GB2312" w:eastAsia="仿宋_GB2312"/>
          <w:sz w:val="32"/>
          <w:szCs w:val="32"/>
        </w:rPr>
        <w:t>物资</w:t>
      </w:r>
      <w:bookmarkEnd w:id="7"/>
      <w:r>
        <w:rPr>
          <w:rFonts w:hint="eastAsia" w:ascii="仿宋_GB2312" w:eastAsia="仿宋_GB2312"/>
          <w:sz w:val="32"/>
          <w:szCs w:val="32"/>
        </w:rPr>
        <w:t>短缺、损坏或其它与合同约定不符的情形，由乙方负责，乙方应当补齐、更换及采取其他补救措施。</w:t>
      </w:r>
    </w:p>
    <w:p w14:paraId="412B3DA9">
      <w:pPr>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4.在到货检验中，双方应当共同签署检验报告，列明检验结果，包括检验合格或发现的任何短缺、损坏或其它与合同约定不符的情形。</w:t>
      </w:r>
    </w:p>
    <w:p w14:paraId="3011A39A">
      <w:pPr>
        <w:pStyle w:val="2"/>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5.到货检验的检验结果不能对抗在</w:t>
      </w:r>
      <w:bookmarkStart w:id="8" w:name="_Hlk129303145"/>
      <w:r>
        <w:rPr>
          <w:rFonts w:hint="eastAsia" w:ascii="仿宋_GB2312" w:eastAsia="仿宋_GB2312"/>
          <w:sz w:val="32"/>
          <w:szCs w:val="32"/>
        </w:rPr>
        <w:t>物资</w:t>
      </w:r>
      <w:bookmarkEnd w:id="8"/>
      <w:r>
        <w:rPr>
          <w:rFonts w:hint="eastAsia" w:ascii="仿宋_GB2312" w:eastAsia="仿宋_GB2312"/>
          <w:sz w:val="32"/>
          <w:szCs w:val="32"/>
        </w:rPr>
        <w:t>的安装、调试、检测、验收中及质量保证期内发现的物资质量问题，亦不能免除或影响乙方依照合同约定对甲方负有的包括物资质量在内的任何义务或责任。</w:t>
      </w:r>
      <w:bookmarkEnd w:id="3"/>
    </w:p>
    <w:p w14:paraId="163268C6">
      <w:pPr>
        <w:pStyle w:val="2"/>
        <w:adjustRightInd w:val="0"/>
        <w:spacing w:line="560" w:lineRule="exact"/>
        <w:ind w:firstLine="640" w:firstLineChars="200"/>
        <w:rPr>
          <w:rFonts w:ascii="仿宋_GB2312" w:hAnsi="楷体_GB2312" w:eastAsia="仿宋_GB2312" w:cs="楷体_GB2312"/>
          <w:sz w:val="32"/>
          <w:szCs w:val="32"/>
        </w:rPr>
      </w:pPr>
      <w:r>
        <w:rPr>
          <w:rFonts w:hint="eastAsia" w:ascii="仿宋_GB2312" w:eastAsia="仿宋_GB2312"/>
          <w:sz w:val="32"/>
          <w:szCs w:val="32"/>
        </w:rPr>
        <w:t>6.到货检验的时间为：</w:t>
      </w:r>
      <w:r>
        <w:rPr>
          <w:rFonts w:hint="eastAsia" w:ascii="仿宋_GB2312" w:eastAsia="仿宋_GB2312"/>
          <w:sz w:val="32"/>
          <w:szCs w:val="32"/>
          <w:u w:val="single"/>
        </w:rPr>
        <w:t xml:space="preserve">交货后5个自然日内 </w:t>
      </w:r>
      <w:r>
        <w:rPr>
          <w:rFonts w:hint="eastAsia" w:ascii="仿宋_GB2312" w:eastAsia="仿宋_GB2312"/>
          <w:sz w:val="32"/>
          <w:szCs w:val="32"/>
        </w:rPr>
        <w:t>。</w:t>
      </w:r>
    </w:p>
    <w:p w14:paraId="14B9BD08">
      <w:pPr>
        <w:adjustRightInd w:val="0"/>
        <w:spacing w:line="560" w:lineRule="exact"/>
        <w:ind w:firstLine="640" w:firstLineChars="200"/>
        <w:rPr>
          <w:rFonts w:ascii="仿宋_GB2312" w:eastAsia="仿宋_GB2312"/>
          <w:sz w:val="32"/>
          <w:szCs w:val="32"/>
        </w:rPr>
      </w:pPr>
      <w:bookmarkStart w:id="9" w:name="_Hlk129303860"/>
      <w:bookmarkStart w:id="10" w:name="_Hlk129333264"/>
      <w:r>
        <w:rPr>
          <w:rFonts w:hint="eastAsia" w:ascii="仿宋_GB2312" w:eastAsia="仿宋_GB2312"/>
          <w:sz w:val="32"/>
          <w:szCs w:val="32"/>
        </w:rPr>
        <w:t>（二）</w:t>
      </w:r>
      <w:bookmarkEnd w:id="9"/>
      <w:r>
        <w:rPr>
          <w:rFonts w:hint="eastAsia" w:ascii="仿宋_GB2312" w:eastAsia="仿宋_GB2312"/>
          <w:sz w:val="32"/>
          <w:szCs w:val="32"/>
        </w:rPr>
        <w:t>安装、调试</w:t>
      </w:r>
    </w:p>
    <w:bookmarkEnd w:id="10"/>
    <w:p w14:paraId="7D6D2665">
      <w:pPr>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1.到货检验完成后，乙方应当按合同约定对</w:t>
      </w:r>
      <w:bookmarkStart w:id="11" w:name="_Hlk129303208"/>
      <w:r>
        <w:rPr>
          <w:rFonts w:hint="eastAsia" w:ascii="仿宋_GB2312" w:eastAsia="仿宋_GB2312"/>
          <w:sz w:val="32"/>
          <w:szCs w:val="32"/>
        </w:rPr>
        <w:t>物资</w:t>
      </w:r>
      <w:bookmarkEnd w:id="11"/>
      <w:r>
        <w:rPr>
          <w:rFonts w:hint="eastAsia" w:ascii="仿宋_GB2312" w:eastAsia="仿宋_GB2312"/>
          <w:sz w:val="32"/>
          <w:szCs w:val="32"/>
        </w:rPr>
        <w:t>进行安装、调试。</w:t>
      </w:r>
      <w:bookmarkStart w:id="12" w:name="_Hlk129304289"/>
    </w:p>
    <w:bookmarkEnd w:id="12"/>
    <w:p w14:paraId="5A629A69">
      <w:pPr>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2.在安装、调试过程中，如出现安装、调试不成功或造成物资损坏的情况，乙方应当承担责任。</w:t>
      </w:r>
    </w:p>
    <w:p w14:paraId="09BCCBAD">
      <w:pPr>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3.双方应当对物资的安装、调试情况共同进行记录。</w:t>
      </w:r>
    </w:p>
    <w:p w14:paraId="37403F06">
      <w:pPr>
        <w:spacing w:line="560" w:lineRule="exact"/>
        <w:ind w:firstLine="640" w:firstLineChars="200"/>
        <w:rPr>
          <w:rFonts w:ascii="仿宋_GB2312" w:eastAsia="仿宋_GB2312"/>
          <w:sz w:val="32"/>
          <w:szCs w:val="32"/>
        </w:rPr>
      </w:pPr>
      <w:r>
        <w:rPr>
          <w:rFonts w:hint="eastAsia" w:ascii="仿宋_GB2312" w:eastAsia="仿宋_GB2312"/>
          <w:sz w:val="32"/>
          <w:szCs w:val="32"/>
        </w:rPr>
        <w:t>4.物资到货后，乙方应当在接到甲方通知后</w:t>
      </w:r>
      <w:r>
        <w:rPr>
          <w:rFonts w:hint="eastAsia" w:ascii="仿宋_GB2312" w:eastAsia="仿宋_GB2312"/>
          <w:sz w:val="32"/>
          <w:szCs w:val="32"/>
          <w:u w:val="single"/>
        </w:rPr>
        <w:t>60</w:t>
      </w:r>
      <w:r>
        <w:rPr>
          <w:rFonts w:hint="eastAsia" w:ascii="仿宋_GB2312" w:eastAsia="仿宋_GB2312"/>
          <w:sz w:val="32"/>
          <w:szCs w:val="32"/>
        </w:rPr>
        <w:t>日内完成安装调试。</w:t>
      </w:r>
    </w:p>
    <w:p w14:paraId="4C52D74C">
      <w:pPr>
        <w:rPr>
          <w:rFonts w:hint="eastAsia"/>
        </w:rPr>
      </w:pPr>
    </w:p>
    <w:p w14:paraId="41780D9C">
      <w:pPr>
        <w:pStyle w:val="2"/>
        <w:sectPr>
          <w:pgSz w:w="11907" w:h="16840"/>
          <w:pgMar w:top="1418" w:right="1474" w:bottom="1418" w:left="1559" w:header="851" w:footer="992" w:gutter="0"/>
          <w:cols w:space="720" w:num="1"/>
          <w:docGrid w:linePitch="606" w:charSpace="4991"/>
        </w:sectPr>
      </w:pPr>
    </w:p>
    <w:p w14:paraId="1E7CF20B">
      <w:pPr>
        <w:widowControl/>
        <w:spacing w:line="560" w:lineRule="exact"/>
        <w:jc w:val="left"/>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3</w:t>
      </w:r>
    </w:p>
    <w:p w14:paraId="4C64E732">
      <w:pPr>
        <w:widowControl/>
        <w:spacing w:line="560" w:lineRule="exact"/>
        <w:rPr>
          <w:rFonts w:hint="eastAsia" w:ascii="方正小标宋简体" w:eastAsia="方正小标宋简体"/>
          <w:sz w:val="44"/>
          <w:szCs w:val="44"/>
        </w:rPr>
      </w:pPr>
      <w:r>
        <w:rPr>
          <w:rFonts w:hint="eastAsia" w:ascii="方正小标宋简体" w:eastAsia="方正小标宋简体"/>
          <w:sz w:val="44"/>
          <w:szCs w:val="44"/>
        </w:rPr>
        <w:t xml:space="preserve">                 技术参数</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39"/>
        <w:gridCol w:w="5556"/>
        <w:gridCol w:w="578"/>
        <w:gridCol w:w="578"/>
      </w:tblGrid>
      <w:tr w14:paraId="4C5D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4" w:type="pct"/>
            <w:shd w:val="clear" w:color="auto" w:fill="auto"/>
            <w:noWrap/>
            <w:vAlign w:val="center"/>
          </w:tcPr>
          <w:p w14:paraId="10CE14CC">
            <w:pPr>
              <w:spacing w:after="160" w:line="360" w:lineRule="auto"/>
              <w:jc w:val="center"/>
              <w:rPr>
                <w:rFonts w:ascii="仿宋_GB2312" w:hAnsi="宋体" w:eastAsia="仿宋_GB2312" w:cs="宋体"/>
                <w:b/>
                <w:bCs/>
                <w:color w:val="000000"/>
                <w:kern w:val="0"/>
                <w:szCs w:val="21"/>
              </w:rPr>
            </w:pPr>
            <w:bookmarkStart w:id="13" w:name="_Toc168476478"/>
            <w:r>
              <w:rPr>
                <w:rFonts w:hint="eastAsia" w:ascii="仿宋_GB2312" w:hAnsi="宋体" w:eastAsia="仿宋_GB2312" w:cs="宋体"/>
                <w:b/>
                <w:bCs/>
                <w:color w:val="000000"/>
                <w:kern w:val="0"/>
                <w:szCs w:val="21"/>
              </w:rPr>
              <w:t>序号</w:t>
            </w:r>
          </w:p>
        </w:tc>
        <w:tc>
          <w:tcPr>
            <w:tcW w:w="668" w:type="pct"/>
            <w:shd w:val="clear" w:color="auto" w:fill="auto"/>
            <w:noWrap/>
            <w:vAlign w:val="center"/>
          </w:tcPr>
          <w:p w14:paraId="69017476">
            <w:pPr>
              <w:widowControl/>
              <w:spacing w:line="360" w:lineRule="auto"/>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设备名称</w:t>
            </w:r>
          </w:p>
        </w:tc>
        <w:tc>
          <w:tcPr>
            <w:tcW w:w="3260" w:type="pct"/>
            <w:shd w:val="clear" w:color="auto" w:fill="auto"/>
            <w:noWrap/>
            <w:vAlign w:val="center"/>
          </w:tcPr>
          <w:p w14:paraId="588124A6">
            <w:pPr>
              <w:widowControl/>
              <w:spacing w:line="360" w:lineRule="auto"/>
              <w:jc w:val="center"/>
              <w:rPr>
                <w:rFonts w:ascii="仿宋_GB2312" w:hAnsi="宋体" w:eastAsia="仿宋_GB2312" w:cs="宋体"/>
                <w:b/>
                <w:bCs/>
                <w:kern w:val="0"/>
                <w:szCs w:val="21"/>
              </w:rPr>
            </w:pPr>
            <w:r>
              <w:rPr>
                <w:rFonts w:hint="eastAsia" w:ascii="仿宋_GB2312" w:hAnsi="宋体" w:eastAsia="仿宋_GB2312" w:cs="宋体"/>
                <w:b/>
                <w:bCs/>
                <w:kern w:val="0"/>
                <w:szCs w:val="21"/>
              </w:rPr>
              <w:t>参数</w:t>
            </w:r>
          </w:p>
        </w:tc>
        <w:tc>
          <w:tcPr>
            <w:tcW w:w="339" w:type="pct"/>
            <w:shd w:val="clear" w:color="auto" w:fill="auto"/>
            <w:noWrap/>
            <w:vAlign w:val="center"/>
          </w:tcPr>
          <w:p w14:paraId="69BEE3E6">
            <w:pPr>
              <w:widowControl/>
              <w:spacing w:line="360" w:lineRule="auto"/>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数量</w:t>
            </w:r>
          </w:p>
        </w:tc>
        <w:tc>
          <w:tcPr>
            <w:tcW w:w="339" w:type="pct"/>
            <w:shd w:val="clear" w:color="auto" w:fill="auto"/>
            <w:noWrap/>
            <w:vAlign w:val="center"/>
          </w:tcPr>
          <w:p w14:paraId="012853C8">
            <w:pPr>
              <w:widowControl/>
              <w:spacing w:line="360" w:lineRule="auto"/>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单位</w:t>
            </w:r>
          </w:p>
        </w:tc>
      </w:tr>
      <w:tr w14:paraId="667B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94" w:type="pct"/>
            <w:vAlign w:val="center"/>
          </w:tcPr>
          <w:p w14:paraId="1126B2E9">
            <w:pPr>
              <w:widowControl/>
              <w:spacing w:line="360" w:lineRule="auto"/>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1</w:t>
            </w:r>
          </w:p>
        </w:tc>
        <w:tc>
          <w:tcPr>
            <w:tcW w:w="668" w:type="pct"/>
            <w:vAlign w:val="center"/>
          </w:tcPr>
          <w:p w14:paraId="745B2BF6">
            <w:pPr>
              <w:widowControl/>
              <w:spacing w:line="360" w:lineRule="auto"/>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影像调度平台</w:t>
            </w:r>
          </w:p>
        </w:tc>
        <w:tc>
          <w:tcPr>
            <w:tcW w:w="3260" w:type="pct"/>
            <w:shd w:val="clear" w:color="auto" w:fill="auto"/>
            <w:vAlign w:val="center"/>
          </w:tcPr>
          <w:p w14:paraId="177C2950">
            <w:pPr>
              <w:spacing w:line="360" w:lineRule="exact"/>
              <w:rPr>
                <w:rFonts w:hint="eastAsia" w:ascii="仿宋_GB2312" w:hAnsi="宋体" w:eastAsia="仿宋_GB2312"/>
                <w:szCs w:val="21"/>
              </w:rPr>
            </w:pPr>
            <w:r>
              <w:rPr>
                <w:rFonts w:hint="eastAsia" w:ascii="仿宋_GB2312" w:hAnsi="宋体" w:eastAsia="仿宋_GB2312"/>
                <w:szCs w:val="21"/>
              </w:rPr>
              <w:t>1.检查检验实时数据采集服务：实现各类检查检验报告文档、影像文档数据的实时采集；</w:t>
            </w:r>
          </w:p>
          <w:p w14:paraId="419A9624">
            <w:pPr>
              <w:spacing w:line="360" w:lineRule="exact"/>
              <w:rPr>
                <w:rFonts w:hint="eastAsia" w:ascii="仿宋_GB2312" w:hAnsi="宋体" w:eastAsia="仿宋_GB2312"/>
                <w:szCs w:val="21"/>
              </w:rPr>
            </w:pPr>
            <w:r>
              <w:rPr>
                <w:rFonts w:hint="eastAsia" w:ascii="仿宋_GB2312" w:hAnsi="宋体" w:eastAsia="仿宋_GB2312"/>
                <w:szCs w:val="21"/>
              </w:rPr>
              <w:t>2.挂号实时采集服务：实时抽取、采集本医院的预约挂号人员信息；</w:t>
            </w:r>
          </w:p>
          <w:p w14:paraId="46975C82">
            <w:pPr>
              <w:rPr>
                <w:rFonts w:hint="eastAsia" w:ascii="仿宋_GB2312" w:hAnsi="宋体" w:eastAsia="仿宋_GB2312"/>
                <w:szCs w:val="21"/>
              </w:rPr>
            </w:pPr>
            <w:r>
              <w:rPr>
                <w:rFonts w:hint="eastAsia" w:ascii="仿宋_GB2312" w:hAnsi="宋体" w:eastAsia="仿宋_GB2312"/>
                <w:szCs w:val="21"/>
              </w:rPr>
              <w:t>3.检查检验互认数据预存储服务：根据医院挂号数据，通过甘肃省全民健康信息平台的数据交换共享系统，从检查检验数据中心抽取三个月内患者规范完整的检查检验数据推送至医院，实现检查检验数据预存储服务；</w:t>
            </w:r>
          </w:p>
          <w:p w14:paraId="12C750E5">
            <w:pPr>
              <w:spacing w:line="360" w:lineRule="exact"/>
              <w:rPr>
                <w:rFonts w:hint="eastAsia" w:ascii="仿宋_GB2312" w:hAnsi="宋体" w:eastAsia="仿宋_GB2312"/>
                <w:szCs w:val="21"/>
              </w:rPr>
            </w:pPr>
            <w:r>
              <w:rPr>
                <w:rFonts w:hint="eastAsia" w:ascii="仿宋_GB2312" w:hAnsi="宋体" w:eastAsia="仿宋_GB2312"/>
                <w:szCs w:val="21"/>
              </w:rPr>
              <w:t>4.检查检验互认服务：根据甘肃省全民健康信息平台检查检验数据中心的检查检验互认项目、互认规则，为医院提供检查检验互认服务；</w:t>
            </w:r>
          </w:p>
          <w:p w14:paraId="2807D93C">
            <w:pPr>
              <w:spacing w:line="360" w:lineRule="exact"/>
              <w:rPr>
                <w:rFonts w:hint="eastAsia" w:ascii="仿宋_GB2312" w:hAnsi="宋体" w:eastAsia="仿宋_GB2312"/>
                <w:szCs w:val="21"/>
              </w:rPr>
            </w:pPr>
            <w:r>
              <w:rPr>
                <w:rFonts w:hint="eastAsia" w:ascii="仿宋_GB2312" w:hAnsi="宋体" w:eastAsia="仿宋_GB2312"/>
                <w:szCs w:val="21"/>
              </w:rPr>
              <w:t>5.检查检验报告调阅服务：根据检查检验互认数据预存储服务，提供患者近期检查检验记录，方便医生掌握就诊患者历时检查检验情况；</w:t>
            </w:r>
          </w:p>
          <w:p w14:paraId="5B5B1F2F">
            <w:pPr>
              <w:widowControl/>
              <w:spacing w:line="360" w:lineRule="auto"/>
              <w:jc w:val="left"/>
              <w:rPr>
                <w:rFonts w:ascii="仿宋_GB2312" w:hAnsi="宋体" w:eastAsia="仿宋_GB2312"/>
                <w:szCs w:val="21"/>
              </w:rPr>
            </w:pPr>
            <w:r>
              <w:rPr>
                <w:rFonts w:hint="eastAsia" w:ascii="仿宋_GB2312" w:hAnsi="宋体" w:eastAsia="仿宋_GB2312"/>
                <w:szCs w:val="21"/>
              </w:rPr>
              <w:t>6.服务保障：提供检查检验交换统一调度服务应用系统三年免费运维服务承诺。</w:t>
            </w:r>
          </w:p>
        </w:tc>
        <w:tc>
          <w:tcPr>
            <w:tcW w:w="339" w:type="pct"/>
            <w:vAlign w:val="center"/>
          </w:tcPr>
          <w:p w14:paraId="43311E19">
            <w:pPr>
              <w:widowControl/>
              <w:spacing w:line="360" w:lineRule="auto"/>
              <w:ind w:firstLine="482"/>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1</w:t>
            </w:r>
          </w:p>
          <w:p w14:paraId="0CF38398">
            <w:pPr>
              <w:jc w:val="center"/>
              <w:rPr>
                <w:rFonts w:ascii="仿宋_GB2312" w:hAnsi="宋体" w:eastAsia="仿宋_GB2312" w:cs="宋体"/>
                <w:szCs w:val="21"/>
              </w:rPr>
            </w:pPr>
            <w:r>
              <w:rPr>
                <w:rFonts w:hint="eastAsia" w:ascii="仿宋_GB2312" w:hAnsi="宋体" w:eastAsia="仿宋_GB2312" w:cs="宋体"/>
                <w:szCs w:val="21"/>
              </w:rPr>
              <w:t>1</w:t>
            </w:r>
          </w:p>
        </w:tc>
        <w:tc>
          <w:tcPr>
            <w:tcW w:w="339" w:type="pct"/>
            <w:vAlign w:val="center"/>
          </w:tcPr>
          <w:p w14:paraId="1D1D8113">
            <w:pPr>
              <w:widowControl/>
              <w:spacing w:line="360" w:lineRule="auto"/>
              <w:ind w:firstLine="482"/>
              <w:jc w:val="center"/>
              <w:rPr>
                <w:rFonts w:ascii="仿宋_GB2312" w:hAnsi="宋体" w:eastAsia="仿宋_GB2312" w:cs="宋体"/>
                <w:b/>
                <w:bCs/>
                <w:color w:val="000000"/>
                <w:kern w:val="0"/>
                <w:szCs w:val="21"/>
              </w:rPr>
            </w:pPr>
          </w:p>
          <w:p w14:paraId="61C2814D">
            <w:pPr>
              <w:jc w:val="center"/>
              <w:rPr>
                <w:rFonts w:ascii="仿宋_GB2312" w:hAnsi="宋体" w:eastAsia="仿宋_GB2312" w:cs="宋体"/>
                <w:szCs w:val="21"/>
              </w:rPr>
            </w:pPr>
            <w:r>
              <w:rPr>
                <w:rFonts w:hint="eastAsia" w:ascii="仿宋_GB2312" w:hAnsi="宋体" w:eastAsia="仿宋_GB2312" w:cs="宋体"/>
                <w:szCs w:val="21"/>
              </w:rPr>
              <w:t>套</w:t>
            </w:r>
          </w:p>
        </w:tc>
      </w:tr>
      <w:tr w14:paraId="4E32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94" w:type="pct"/>
            <w:vAlign w:val="center"/>
          </w:tcPr>
          <w:p w14:paraId="287D87DD">
            <w:pPr>
              <w:widowControl/>
              <w:spacing w:line="360" w:lineRule="auto"/>
              <w:jc w:val="center"/>
              <w:rPr>
                <w:rFonts w:ascii="仿宋_GB2312" w:hAnsi="宋体" w:eastAsia="仿宋_GB2312" w:cs="宋体"/>
                <w:b/>
                <w:kern w:val="0"/>
                <w:szCs w:val="21"/>
              </w:rPr>
            </w:pPr>
            <w:r>
              <w:rPr>
                <w:rFonts w:hint="eastAsia" w:ascii="仿宋_GB2312" w:hAnsi="宋体" w:eastAsia="仿宋_GB2312" w:cs="宋体"/>
                <w:b/>
                <w:kern w:val="0"/>
                <w:szCs w:val="21"/>
              </w:rPr>
              <w:t>2</w:t>
            </w:r>
          </w:p>
        </w:tc>
        <w:tc>
          <w:tcPr>
            <w:tcW w:w="668" w:type="pct"/>
            <w:vAlign w:val="center"/>
          </w:tcPr>
          <w:p w14:paraId="5A906C6B">
            <w:pPr>
              <w:widowControl/>
              <w:spacing w:line="360" w:lineRule="auto"/>
              <w:jc w:val="left"/>
              <w:rPr>
                <w:rFonts w:hint="eastAsia" w:ascii="仿宋_GB2312" w:hAnsi="宋体" w:eastAsia="仿宋_GB2312" w:cs="宋体"/>
                <w:b/>
                <w:kern w:val="0"/>
                <w:szCs w:val="21"/>
              </w:rPr>
            </w:pPr>
            <w:r>
              <w:rPr>
                <w:rFonts w:hint="eastAsia" w:ascii="仿宋_GB2312" w:hAnsi="宋体" w:eastAsia="仿宋_GB2312" w:cs="宋体"/>
                <w:b/>
                <w:color w:val="000000"/>
                <w:kern w:val="0"/>
                <w:szCs w:val="21"/>
              </w:rPr>
              <w:t>安全影像共享交换调阅平台</w:t>
            </w:r>
          </w:p>
        </w:tc>
        <w:tc>
          <w:tcPr>
            <w:tcW w:w="3260" w:type="pct"/>
            <w:shd w:val="clear" w:color="auto" w:fill="auto"/>
            <w:vAlign w:val="center"/>
          </w:tcPr>
          <w:p w14:paraId="1BFA844D">
            <w:pPr>
              <w:rPr>
                <w:rFonts w:hint="eastAsia" w:ascii="仿宋_GB2312" w:hAnsi="宋体" w:eastAsia="仿宋_GB2312"/>
                <w:szCs w:val="21"/>
              </w:rPr>
            </w:pPr>
            <w:r>
              <w:rPr>
                <w:rFonts w:hint="eastAsia" w:ascii="仿宋_GB2312" w:hAnsi="宋体" w:eastAsia="仿宋_GB2312"/>
                <w:szCs w:val="21"/>
              </w:rPr>
              <w:t>1.集成基于 HTML5，支持多系统（Windows，iOS，Android，macOS）、多平台的（包括手机，平板）的通用 Dicom 浏览器；</w:t>
            </w:r>
          </w:p>
          <w:p w14:paraId="264399EF">
            <w:pPr>
              <w:spacing w:line="360" w:lineRule="exact"/>
              <w:rPr>
                <w:rFonts w:hint="eastAsia" w:ascii="仿宋_GB2312" w:hAnsi="宋体" w:eastAsia="仿宋_GB2312"/>
                <w:szCs w:val="21"/>
              </w:rPr>
            </w:pPr>
            <w:r>
              <w:rPr>
                <w:rFonts w:hint="eastAsia" w:ascii="仿宋_GB2312" w:hAnsi="宋体" w:eastAsia="仿宋_GB2312"/>
                <w:szCs w:val="21"/>
              </w:rPr>
              <w:t>2.具备 Dicom 图像支持、2D 图像浏览、3D 绘制、MPR 绘制、CPR 绘制功能；</w:t>
            </w:r>
          </w:p>
          <w:p w14:paraId="3A8E99A2">
            <w:pPr>
              <w:widowControl/>
              <w:spacing w:line="360" w:lineRule="auto"/>
              <w:jc w:val="left"/>
              <w:rPr>
                <w:rFonts w:hint="eastAsia" w:ascii="仿宋_GB2312" w:hAnsi="宋体" w:eastAsia="仿宋_GB2312" w:cs="宋体"/>
                <w:kern w:val="0"/>
                <w:szCs w:val="21"/>
              </w:rPr>
            </w:pPr>
            <w:r>
              <w:rPr>
                <w:rFonts w:hint="eastAsia" w:ascii="仿宋_GB2312" w:hAnsi="宋体" w:eastAsia="仿宋_GB2312"/>
                <w:szCs w:val="21"/>
              </w:rPr>
              <w:t>3.具备虚拟内窥镜、高级分割工具、虚拟手术刀等功能。</w:t>
            </w:r>
          </w:p>
        </w:tc>
        <w:tc>
          <w:tcPr>
            <w:tcW w:w="339" w:type="pct"/>
            <w:vAlign w:val="center"/>
          </w:tcPr>
          <w:p w14:paraId="0FC6C810">
            <w:pPr>
              <w:widowControl/>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39" w:type="pct"/>
            <w:vAlign w:val="center"/>
          </w:tcPr>
          <w:p w14:paraId="78DEC254">
            <w:pPr>
              <w:widowControl/>
              <w:spacing w:line="360" w:lineRule="auto"/>
              <w:jc w:val="center"/>
              <w:rPr>
                <w:rFonts w:ascii="仿宋_GB2312" w:hAnsi="宋体" w:eastAsia="仿宋_GB2312" w:cs="宋体"/>
                <w:kern w:val="0"/>
                <w:szCs w:val="21"/>
              </w:rPr>
            </w:pPr>
            <w:r>
              <w:rPr>
                <w:rFonts w:hint="eastAsia" w:ascii="仿宋_GB2312" w:hAnsi="宋体" w:eastAsia="仿宋_GB2312" w:cs="宋体"/>
                <w:szCs w:val="21"/>
              </w:rPr>
              <w:t>套</w:t>
            </w:r>
          </w:p>
        </w:tc>
      </w:tr>
      <w:tr w14:paraId="4CD5E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94" w:type="pct"/>
            <w:vAlign w:val="center"/>
          </w:tcPr>
          <w:p w14:paraId="07BF3D29">
            <w:pPr>
              <w:widowControl/>
              <w:spacing w:line="360" w:lineRule="auto"/>
              <w:jc w:val="center"/>
              <w:rPr>
                <w:rFonts w:ascii="仿宋_GB2312" w:hAnsi="宋体" w:eastAsia="仿宋_GB2312" w:cs="宋体"/>
                <w:b/>
                <w:kern w:val="0"/>
                <w:szCs w:val="21"/>
              </w:rPr>
            </w:pPr>
            <w:r>
              <w:rPr>
                <w:rFonts w:hint="eastAsia" w:ascii="仿宋_GB2312" w:hAnsi="宋体" w:eastAsia="仿宋_GB2312" w:cs="宋体"/>
                <w:b/>
                <w:kern w:val="0"/>
                <w:szCs w:val="21"/>
              </w:rPr>
              <w:t>3</w:t>
            </w:r>
          </w:p>
        </w:tc>
        <w:tc>
          <w:tcPr>
            <w:tcW w:w="668" w:type="pct"/>
            <w:vAlign w:val="center"/>
          </w:tcPr>
          <w:p w14:paraId="53810BC2">
            <w:pPr>
              <w:widowControl/>
              <w:spacing w:line="360" w:lineRule="auto"/>
              <w:jc w:val="left"/>
              <w:rPr>
                <w:rFonts w:hint="eastAsia" w:ascii="仿宋_GB2312" w:hAnsi="仿宋" w:eastAsia="仿宋_GB2312" w:cs="宋体"/>
                <w:b/>
                <w:kern w:val="0"/>
                <w:szCs w:val="21"/>
              </w:rPr>
            </w:pPr>
            <w:r>
              <w:rPr>
                <w:rFonts w:hint="eastAsia" w:ascii="仿宋_GB2312" w:hAnsi="仿宋" w:eastAsia="仿宋_GB2312" w:cs="宋体"/>
                <w:b/>
                <w:color w:val="000000"/>
                <w:kern w:val="0"/>
                <w:szCs w:val="21"/>
              </w:rPr>
              <w:t>甘肃省影像共享平台</w:t>
            </w:r>
          </w:p>
        </w:tc>
        <w:tc>
          <w:tcPr>
            <w:tcW w:w="3260" w:type="pct"/>
            <w:shd w:val="clear" w:color="auto" w:fill="auto"/>
            <w:vAlign w:val="center"/>
          </w:tcPr>
          <w:p w14:paraId="6D4B0DBD">
            <w:pPr>
              <w:widowControl/>
              <w:spacing w:line="360" w:lineRule="auto"/>
              <w:jc w:val="left"/>
              <w:rPr>
                <w:rFonts w:hint="eastAsia" w:ascii="仿宋_GB2312" w:hAnsi="宋体" w:eastAsia="仿宋_GB2312" w:cs="宋体"/>
                <w:kern w:val="0"/>
                <w:szCs w:val="21"/>
              </w:rPr>
            </w:pPr>
            <w:r>
              <w:rPr>
                <w:rFonts w:hint="eastAsia" w:ascii="仿宋_GB2312" w:hAnsi="宋体" w:eastAsia="仿宋_GB2312"/>
                <w:szCs w:val="21"/>
              </w:rPr>
              <w:t>依托全民健康信息平台搭建全省医学影像交换平台和检验检查结果共享平台，减少重复检查，提升区域内医疗机构临床检查检验质量，减轻患者负担，推进分级诊疗制度的落地见效。完成院内HIS、LIS、PACS、心电接口改造和与省医学影像共享交换平台的对接，实现影像、心电、超声等检查结果共享。</w:t>
            </w:r>
          </w:p>
        </w:tc>
        <w:tc>
          <w:tcPr>
            <w:tcW w:w="339" w:type="pct"/>
            <w:vAlign w:val="center"/>
          </w:tcPr>
          <w:p w14:paraId="746E3F72">
            <w:pPr>
              <w:widowControl/>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39" w:type="pct"/>
            <w:vAlign w:val="center"/>
          </w:tcPr>
          <w:p w14:paraId="5B8785C1">
            <w:pPr>
              <w:widowControl/>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套</w:t>
            </w:r>
          </w:p>
        </w:tc>
      </w:tr>
      <w:tr w14:paraId="40831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94" w:type="pct"/>
            <w:vAlign w:val="center"/>
          </w:tcPr>
          <w:p w14:paraId="38ED9E20">
            <w:pPr>
              <w:widowControl/>
              <w:spacing w:line="360" w:lineRule="auto"/>
              <w:jc w:val="center"/>
              <w:rPr>
                <w:rFonts w:ascii="仿宋_GB2312" w:hAnsi="宋体" w:eastAsia="仿宋_GB2312" w:cs="宋体"/>
                <w:b/>
                <w:kern w:val="0"/>
                <w:szCs w:val="21"/>
              </w:rPr>
            </w:pPr>
            <w:r>
              <w:rPr>
                <w:rFonts w:hint="eastAsia" w:ascii="仿宋_GB2312" w:hAnsi="宋体" w:eastAsia="仿宋_GB2312" w:cs="宋体"/>
                <w:b/>
                <w:kern w:val="0"/>
                <w:szCs w:val="21"/>
              </w:rPr>
              <w:t>4</w:t>
            </w:r>
          </w:p>
        </w:tc>
        <w:tc>
          <w:tcPr>
            <w:tcW w:w="668" w:type="pct"/>
            <w:vAlign w:val="center"/>
          </w:tcPr>
          <w:p w14:paraId="0EB074D4">
            <w:pPr>
              <w:widowControl/>
              <w:spacing w:line="360" w:lineRule="auto"/>
              <w:jc w:val="center"/>
              <w:rPr>
                <w:rFonts w:hint="eastAsia" w:ascii="仿宋_GB2312" w:hAnsi="宋体" w:eastAsia="仿宋_GB2312" w:cs="宋体"/>
                <w:b/>
                <w:kern w:val="0"/>
                <w:szCs w:val="21"/>
              </w:rPr>
            </w:pPr>
            <w:r>
              <w:rPr>
                <w:rFonts w:hint="eastAsia" w:ascii="仿宋_GB2312" w:hAnsi="宋体" w:eastAsia="仿宋_GB2312" w:cs="宋体"/>
                <w:b/>
                <w:color w:val="000000"/>
                <w:kern w:val="0"/>
                <w:szCs w:val="21"/>
              </w:rPr>
              <w:t>接口及其他个性化开发服务</w:t>
            </w:r>
          </w:p>
        </w:tc>
        <w:tc>
          <w:tcPr>
            <w:tcW w:w="3260" w:type="pct"/>
            <w:shd w:val="clear" w:color="auto" w:fill="auto"/>
            <w:vAlign w:val="center"/>
          </w:tcPr>
          <w:p w14:paraId="339DC329">
            <w:pPr>
              <w:widowControl/>
              <w:spacing w:line="360" w:lineRule="auto"/>
              <w:jc w:val="left"/>
              <w:rPr>
                <w:rFonts w:hint="eastAsia" w:ascii="仿宋_GB2312" w:hAnsi="宋体" w:eastAsia="仿宋_GB2312" w:cs="宋体"/>
                <w:kern w:val="0"/>
                <w:szCs w:val="21"/>
              </w:rPr>
            </w:pPr>
            <w:r>
              <w:rPr>
                <w:rFonts w:hint="eastAsia" w:ascii="仿宋_GB2312" w:hAnsi="宋体" w:eastAsia="仿宋_GB2312"/>
                <w:szCs w:val="21"/>
              </w:rPr>
              <w:t>与医院HIS、PACS、LIS及心电系统完成对接，具体要求按照《甘肃省全民健康信息平台与医疗卫生机构信息系统对接接口文档V2.8.1》、《甘肃省人口健康信息平台数据采集接口规范值域代码V2.8.1》、《甘肃省检查检验结果互认平台数据交换接口规范》、《甘肃省检查检验结果互认平台对接技术方案》等文档执行。</w:t>
            </w:r>
          </w:p>
        </w:tc>
        <w:tc>
          <w:tcPr>
            <w:tcW w:w="339" w:type="pct"/>
            <w:vAlign w:val="center"/>
          </w:tcPr>
          <w:p w14:paraId="41CD7CA5">
            <w:pPr>
              <w:widowControl/>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39" w:type="pct"/>
            <w:vAlign w:val="center"/>
          </w:tcPr>
          <w:p w14:paraId="3353F9C8">
            <w:pPr>
              <w:widowControl/>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套</w:t>
            </w:r>
          </w:p>
        </w:tc>
      </w:tr>
      <w:tr w14:paraId="56710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94" w:type="pct"/>
            <w:vAlign w:val="center"/>
          </w:tcPr>
          <w:p w14:paraId="439098D0">
            <w:pPr>
              <w:widowControl/>
              <w:spacing w:line="360" w:lineRule="auto"/>
              <w:jc w:val="center"/>
              <w:rPr>
                <w:rFonts w:hint="eastAsia" w:ascii="仿宋_GB2312" w:hAnsi="宋体" w:eastAsia="仿宋_GB2312" w:cs="宋体"/>
                <w:b/>
                <w:kern w:val="0"/>
                <w:szCs w:val="21"/>
              </w:rPr>
            </w:pPr>
            <w:r>
              <w:rPr>
                <w:rFonts w:hint="eastAsia" w:ascii="仿宋_GB2312" w:hAnsi="宋体" w:eastAsia="仿宋_GB2312" w:cs="宋体"/>
                <w:b/>
                <w:kern w:val="0"/>
                <w:szCs w:val="21"/>
              </w:rPr>
              <w:t>5</w:t>
            </w:r>
          </w:p>
        </w:tc>
        <w:tc>
          <w:tcPr>
            <w:tcW w:w="668" w:type="pct"/>
            <w:vAlign w:val="center"/>
          </w:tcPr>
          <w:p w14:paraId="6FBD70F2">
            <w:pPr>
              <w:widowControl/>
              <w:spacing w:line="360" w:lineRule="auto"/>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存储服务器</w:t>
            </w:r>
          </w:p>
        </w:tc>
        <w:tc>
          <w:tcPr>
            <w:tcW w:w="3260" w:type="pct"/>
            <w:shd w:val="clear" w:color="auto" w:fill="auto"/>
            <w:vAlign w:val="center"/>
          </w:tcPr>
          <w:p w14:paraId="6AB89CBE">
            <w:pPr>
              <w:spacing w:line="3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1.机架式服务器，含标准滑轨及前面板；</w:t>
            </w:r>
          </w:p>
          <w:p w14:paraId="68FF7B18">
            <w:pPr>
              <w:spacing w:line="3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2.CPU数量≥2颗，单颗CPU核心数≥16核，单颗主频≥2.8GHz；</w:t>
            </w:r>
          </w:p>
          <w:p w14:paraId="49E20DCD">
            <w:pPr>
              <w:spacing w:line="3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3.配置≥256GB DDR5；</w:t>
            </w:r>
          </w:p>
          <w:p w14:paraId="703997F3">
            <w:pPr>
              <w:spacing w:line="3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4.系统盘≥2*480GB SSD，缓存盘≥配置2*3.2TB NVMe读写混合型SSD，数据盘≥12块16TB 7.2K SATA；</w:t>
            </w:r>
          </w:p>
          <w:p w14:paraId="0D78709B">
            <w:pPr>
              <w:spacing w:line="3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5.配置≥1块独立RAID卡，缓存≥4GB，支持RAID 0/1/5/6/10/50/60；</w:t>
            </w:r>
          </w:p>
          <w:p w14:paraId="22FCD105">
            <w:pPr>
              <w:spacing w:line="3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6.接口：配置≥4个千兆电口，配置≥4个万兆光口,配置≥2个25Gb光口；所有光口包含本端及对端光模块；</w:t>
            </w:r>
          </w:p>
          <w:p w14:paraId="2668F3CC">
            <w:pPr>
              <w:spacing w:line="3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7.含交流冗余双电源，满配冗余风扇；</w:t>
            </w:r>
          </w:p>
          <w:p w14:paraId="17BF06D9">
            <w:pPr>
              <w:spacing w:line="3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8.具备数据安全擦除功能，能够彻底删除NVDIMM、SD模块、HDD、SSD物理盘以及逻辑盘中的数据并恢复BIOS和BMC出厂默认值，提供软件功能截图或国家认可的权威检测机构出具的测试报告;</w:t>
            </w:r>
          </w:p>
          <w:p w14:paraId="43042D37">
            <w:pPr>
              <w:widowControl/>
              <w:spacing w:line="360" w:lineRule="auto"/>
              <w:jc w:val="left"/>
              <w:rPr>
                <w:rFonts w:hint="eastAsia" w:ascii="仿宋_GB2312" w:hAnsi="宋体" w:eastAsia="仿宋_GB2312"/>
                <w:szCs w:val="21"/>
              </w:rPr>
            </w:pPr>
            <w:r>
              <w:rPr>
                <w:rFonts w:hint="eastAsia" w:ascii="仿宋_GB2312" w:eastAsia="仿宋_GB2312"/>
              </w:rPr>
              <w:t>9.提供3年免费质保及升级服务，含原厂调试及技术支持；具备现网分布式存储系统192TB存储扩容授权，使服务器能接入该平台完成PACS存储扩容，提供容量授权函并加盖鲜章。</w:t>
            </w:r>
          </w:p>
        </w:tc>
        <w:tc>
          <w:tcPr>
            <w:tcW w:w="339" w:type="pct"/>
            <w:vAlign w:val="center"/>
          </w:tcPr>
          <w:p w14:paraId="2CF14948">
            <w:pPr>
              <w:widowControl/>
              <w:spacing w:line="36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339" w:type="pct"/>
            <w:vAlign w:val="center"/>
          </w:tcPr>
          <w:p w14:paraId="7EB4E162">
            <w:pPr>
              <w:widowControl/>
              <w:spacing w:line="36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rPr>
              <w:t>台</w:t>
            </w:r>
          </w:p>
        </w:tc>
      </w:tr>
      <w:bookmarkEnd w:id="13"/>
    </w:tbl>
    <w:p w14:paraId="0DD87D2B">
      <w:pPr>
        <w:pStyle w:val="2"/>
        <w:spacing w:line="560" w:lineRule="exact"/>
        <w:ind w:firstLine="640" w:firstLineChars="200"/>
        <w:rPr>
          <w:rFonts w:hint="eastAsia"/>
        </w:rPr>
      </w:pPr>
      <w:r>
        <w:rPr>
          <w:rFonts w:hint="eastAsia" w:ascii="仿宋_GB2312" w:hAnsi="仿宋" w:eastAsia="仿宋_GB2312"/>
          <w:color w:val="000000"/>
          <w:sz w:val="32"/>
          <w:szCs w:val="32"/>
        </w:rPr>
        <w:t>带★技术参数为关键技术参数，带▲技术参数为重要技术参数，其它为一般参数。带"★"号条款均为实质性响应指标要求，必须全部响应。若有一项带"★"条款未响应或不满足，均视为非实质性响应招标文件，按无效投标处理。</w:t>
      </w:r>
    </w:p>
    <w:p w14:paraId="07E02C17">
      <w:pPr>
        <w:rPr>
          <w:rFonts w:hint="eastAsia"/>
        </w:rPr>
      </w:pPr>
    </w:p>
    <w:p w14:paraId="59F25A65">
      <w:pPr>
        <w:pStyle w:val="2"/>
        <w:sectPr>
          <w:pgSz w:w="11906" w:h="16838"/>
          <w:pgMar w:top="1440" w:right="1800" w:bottom="1440" w:left="1800" w:header="851" w:footer="992" w:gutter="0"/>
          <w:cols w:space="425" w:num="1"/>
          <w:docGrid w:type="lines" w:linePitch="312" w:charSpace="0"/>
        </w:sectPr>
      </w:pPr>
    </w:p>
    <w:p w14:paraId="5E0AA2AE">
      <w:pPr>
        <w:widowControl/>
        <w:spacing w:line="560" w:lineRule="exact"/>
        <w:jc w:val="left"/>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4</w:t>
      </w:r>
    </w:p>
    <w:p w14:paraId="2C1462D6">
      <w:pPr>
        <w:widowControl/>
        <w:spacing w:beforeLines="100" w:afterLines="50" w:line="560" w:lineRule="exact"/>
        <w:jc w:val="center"/>
        <w:rPr>
          <w:rFonts w:ascii="方正小标宋简体" w:eastAsia="方正小标宋简体"/>
          <w:sz w:val="44"/>
          <w:szCs w:val="44"/>
        </w:rPr>
      </w:pPr>
      <w:r>
        <w:rPr>
          <w:rFonts w:hint="eastAsia" w:ascii="方正小标宋简体" w:eastAsia="方正小标宋简体"/>
          <w:sz w:val="44"/>
          <w:szCs w:val="44"/>
        </w:rPr>
        <w:t>经济要求</w:t>
      </w:r>
    </w:p>
    <w:p w14:paraId="37B80D2E">
      <w:pPr>
        <w:pStyle w:val="4"/>
        <w:keepNext w:val="0"/>
        <w:keepLines w:val="0"/>
        <w:adjustRightInd w:val="0"/>
        <w:spacing w:before="0" w:after="0" w:line="560" w:lineRule="exact"/>
        <w:ind w:firstLine="643" w:firstLineChars="200"/>
        <w:rPr>
          <w:rFonts w:ascii="黑体" w:hAnsi="黑体" w:cs="黑体"/>
          <w:b w:val="0"/>
          <w:bCs w:val="0"/>
          <w:sz w:val="32"/>
          <w:szCs w:val="32"/>
        </w:rPr>
      </w:pPr>
      <w:bookmarkStart w:id="14" w:name="_Toc128151031"/>
      <w:bookmarkStart w:id="15" w:name="_Toc127820568"/>
      <w:bookmarkStart w:id="16" w:name="_Toc128150782"/>
      <w:bookmarkStart w:id="17" w:name="_Toc128397974"/>
      <w:bookmarkStart w:id="18" w:name="_Toc128150138"/>
      <w:r>
        <w:rPr>
          <w:rFonts w:hint="eastAsia" w:ascii="黑体" w:hAnsi="黑体" w:cs="黑体"/>
          <w:sz w:val="32"/>
          <w:szCs w:val="32"/>
        </w:rPr>
        <w:t>★</w:t>
      </w:r>
      <w:r>
        <w:rPr>
          <w:rFonts w:hint="eastAsia" w:ascii="黑体" w:hAnsi="黑体" w:cs="黑体"/>
          <w:b w:val="0"/>
          <w:bCs w:val="0"/>
          <w:sz w:val="32"/>
          <w:szCs w:val="32"/>
        </w:rPr>
        <w:t>一、</w:t>
      </w:r>
      <w:bookmarkEnd w:id="14"/>
      <w:bookmarkEnd w:id="15"/>
      <w:bookmarkEnd w:id="16"/>
      <w:bookmarkEnd w:id="17"/>
      <w:bookmarkEnd w:id="18"/>
      <w:bookmarkStart w:id="19" w:name="_Hlk129329253"/>
      <w:r>
        <w:rPr>
          <w:rFonts w:hint="eastAsia" w:ascii="黑体" w:hAnsi="黑体" w:cs="黑体"/>
          <w:b w:val="0"/>
          <w:bCs w:val="0"/>
          <w:sz w:val="32"/>
          <w:szCs w:val="32"/>
        </w:rPr>
        <w:t>交付时间</w:t>
      </w:r>
      <w:bookmarkEnd w:id="19"/>
      <w:r>
        <w:rPr>
          <w:rFonts w:hint="eastAsia" w:ascii="黑体" w:hAnsi="黑体" w:cs="黑体"/>
          <w:b w:val="0"/>
          <w:bCs w:val="0"/>
          <w:sz w:val="32"/>
          <w:szCs w:val="32"/>
        </w:rPr>
        <w:t>、地点及方式</w:t>
      </w:r>
    </w:p>
    <w:p w14:paraId="4C51F3AC">
      <w:pPr>
        <w:adjustRightInd w:val="0"/>
        <w:spacing w:line="560" w:lineRule="exact"/>
        <w:ind w:firstLine="640" w:firstLineChars="200"/>
        <w:rPr>
          <w:rFonts w:ascii="仿宋_GB2312" w:hAnsi="仿宋" w:eastAsia="仿宋_GB2312" w:cs="宋体"/>
          <w:bCs/>
          <w:sz w:val="32"/>
          <w:szCs w:val="32"/>
        </w:rPr>
      </w:pPr>
      <w:bookmarkStart w:id="20" w:name="_Hlk129332881"/>
      <w:r>
        <w:rPr>
          <w:rFonts w:hint="eastAsia" w:ascii="仿宋_GB2312" w:hAnsi="仿宋" w:eastAsia="仿宋_GB2312" w:cs="宋体"/>
          <w:bCs/>
          <w:sz w:val="32"/>
          <w:szCs w:val="32"/>
        </w:rPr>
        <w:t>（一）</w:t>
      </w:r>
      <w:bookmarkEnd w:id="20"/>
      <w:r>
        <w:rPr>
          <w:rFonts w:hint="eastAsia" w:ascii="仿宋_GB2312" w:hAnsi="仿宋" w:eastAsia="仿宋_GB2312" w:cs="宋体"/>
          <w:bCs/>
          <w:sz w:val="32"/>
          <w:szCs w:val="32"/>
        </w:rPr>
        <w:t>交付时间：</w:t>
      </w:r>
      <w:r>
        <w:rPr>
          <w:rFonts w:hint="eastAsia" w:ascii="仿宋_GB2312" w:hAnsi="仿宋" w:eastAsia="仿宋_GB2312" w:cs="宋体"/>
          <w:bCs/>
          <w:sz w:val="32"/>
          <w:szCs w:val="32"/>
          <w:u w:val="single"/>
        </w:rPr>
        <w:t>自合同签订后120个自然日。</w:t>
      </w:r>
    </w:p>
    <w:p w14:paraId="65FDE7A7">
      <w:pPr>
        <w:adjustRightInd w:val="0"/>
        <w:spacing w:line="560" w:lineRule="exact"/>
        <w:ind w:firstLine="640" w:firstLineChars="200"/>
        <w:rPr>
          <w:rFonts w:ascii="仿宋_GB2312" w:hAnsi="仿宋" w:eastAsia="仿宋_GB2312" w:cs="宋体"/>
          <w:bCs/>
          <w:sz w:val="32"/>
          <w:szCs w:val="32"/>
          <w:u w:val="single"/>
        </w:rPr>
      </w:pPr>
      <w:r>
        <w:rPr>
          <w:rFonts w:hint="eastAsia" w:ascii="仿宋_GB2312" w:hAnsi="仿宋" w:eastAsia="仿宋_GB2312" w:cs="宋体"/>
          <w:bCs/>
          <w:sz w:val="32"/>
          <w:szCs w:val="32"/>
        </w:rPr>
        <w:t>（二）交付地点：</w:t>
      </w:r>
      <w:r>
        <w:rPr>
          <w:rFonts w:hint="eastAsia" w:ascii="仿宋_GB2312" w:hAnsi="仿宋" w:eastAsia="仿宋_GB2312"/>
          <w:color w:val="000000"/>
          <w:sz w:val="32"/>
          <w:szCs w:val="32"/>
          <w:u w:val="single"/>
        </w:rPr>
        <w:t>甘肃省兰州市七里河区南滨河路333号</w:t>
      </w:r>
      <w:r>
        <w:rPr>
          <w:rFonts w:hint="eastAsia" w:ascii="仿宋_GB2312" w:hAnsi="仿宋_GB2312" w:eastAsia="仿宋_GB2312" w:cs="仿宋_GB2312"/>
          <w:color w:val="000000"/>
          <w:sz w:val="32"/>
          <w:szCs w:val="32"/>
          <w:u w:val="single"/>
        </w:rPr>
        <w:t>。</w:t>
      </w:r>
    </w:p>
    <w:p w14:paraId="78DC3CF2">
      <w:pPr>
        <w:adjustRightInd w:val="0"/>
        <w:spacing w:line="560" w:lineRule="exact"/>
        <w:ind w:firstLine="640" w:firstLineChars="200"/>
        <w:rPr>
          <w:rFonts w:ascii="楷体_GB2312" w:eastAsia="楷体_GB2312"/>
          <w:sz w:val="28"/>
          <w:szCs w:val="28"/>
          <w:lang w:val="zh-CN"/>
        </w:rPr>
      </w:pPr>
      <w:r>
        <w:rPr>
          <w:rFonts w:hint="eastAsia" w:ascii="仿宋_GB2312" w:hAnsi="仿宋" w:eastAsia="仿宋_GB2312" w:cs="宋体"/>
          <w:bCs/>
          <w:sz w:val="32"/>
          <w:szCs w:val="32"/>
        </w:rPr>
        <w:t>（三）交付方式：</w:t>
      </w:r>
      <w:r>
        <w:rPr>
          <w:rFonts w:hint="eastAsia" w:ascii="仿宋_GB2312" w:hAnsi="仿宋" w:eastAsia="仿宋_GB2312" w:cs="宋体"/>
          <w:bCs/>
          <w:sz w:val="32"/>
          <w:szCs w:val="32"/>
          <w:u w:val="single"/>
        </w:rPr>
        <w:t>现场交付。</w:t>
      </w:r>
    </w:p>
    <w:p w14:paraId="0714999F">
      <w:pPr>
        <w:pStyle w:val="4"/>
        <w:keepNext w:val="0"/>
        <w:keepLines w:val="0"/>
        <w:adjustRightInd w:val="0"/>
        <w:spacing w:before="0" w:after="0" w:line="560" w:lineRule="exact"/>
        <w:ind w:firstLine="643" w:firstLineChars="200"/>
        <w:rPr>
          <w:rFonts w:ascii="黑体" w:hAnsi="黑体" w:cs="黑体"/>
          <w:b w:val="0"/>
          <w:bCs w:val="0"/>
          <w:sz w:val="32"/>
          <w:szCs w:val="32"/>
        </w:rPr>
      </w:pPr>
      <w:r>
        <w:rPr>
          <w:rFonts w:hint="eastAsia" w:ascii="黑体" w:hAnsi="黑体" w:cs="黑体"/>
          <w:sz w:val="32"/>
          <w:szCs w:val="32"/>
        </w:rPr>
        <w:t>★</w:t>
      </w:r>
      <w:r>
        <w:rPr>
          <w:rFonts w:hint="eastAsia" w:ascii="黑体" w:hAnsi="黑体" w:cs="黑体"/>
          <w:b w:val="0"/>
          <w:bCs w:val="0"/>
          <w:sz w:val="32"/>
          <w:szCs w:val="32"/>
        </w:rPr>
        <w:t>二、包装及技术材料</w:t>
      </w:r>
    </w:p>
    <w:p w14:paraId="41DA741D">
      <w:pPr>
        <w:adjustRightInd w:val="0"/>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（一）乙方提供的物资采用国家或行业规定的标准进行包装，包装费用由乙方承担。</w:t>
      </w:r>
    </w:p>
    <w:p w14:paraId="24B35F7F">
      <w:pPr>
        <w:adjustRightInd w:val="0"/>
        <w:spacing w:line="560" w:lineRule="exact"/>
        <w:ind w:firstLine="640" w:firstLineChars="200"/>
        <w:rPr>
          <w:rFonts w:ascii="仿宋_GB2312" w:hAnsi="仿宋" w:eastAsia="仿宋_GB2312"/>
          <w:bCs/>
          <w:sz w:val="32"/>
          <w:szCs w:val="32"/>
        </w:rPr>
      </w:pPr>
      <w:bookmarkStart w:id="21" w:name="_Hlk129330044"/>
      <w:r>
        <w:rPr>
          <w:rFonts w:hint="eastAsia" w:ascii="仿宋_GB2312" w:hAnsi="仿宋" w:eastAsia="仿宋_GB2312"/>
          <w:bCs/>
          <w:sz w:val="32"/>
          <w:szCs w:val="32"/>
        </w:rPr>
        <w:t>（二）</w:t>
      </w:r>
      <w:bookmarkEnd w:id="21"/>
      <w:r>
        <w:rPr>
          <w:rFonts w:hint="eastAsia" w:ascii="仿宋_GB2312" w:hAnsi="仿宋" w:eastAsia="仿宋_GB2312"/>
          <w:bCs/>
          <w:sz w:val="32"/>
          <w:szCs w:val="32"/>
        </w:rPr>
        <w:t>乙方提供的物资、技术材料，应当有详细的说明，包括物资的规格、技术指标及外观质量情况等，并附检验合格证和保修保养证书。</w:t>
      </w:r>
    </w:p>
    <w:p w14:paraId="526C4101">
      <w:pPr>
        <w:adjustRightInd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1.乙方所出售的全部物资均应</w:t>
      </w:r>
      <w:r>
        <w:rPr>
          <w:rFonts w:hint="eastAsia" w:ascii="仿宋_GB2312" w:eastAsia="仿宋_GB2312"/>
          <w:sz w:val="32"/>
          <w:szCs w:val="32"/>
        </w:rPr>
        <w:t>当</w:t>
      </w:r>
      <w:r>
        <w:rPr>
          <w:rFonts w:hint="eastAsia" w:ascii="仿宋_GB2312" w:eastAsia="仿宋_GB2312"/>
          <w:bCs/>
          <w:sz w:val="32"/>
          <w:szCs w:val="32"/>
        </w:rPr>
        <w:t>按标准保护措施进行包装，包装应</w:t>
      </w:r>
      <w:r>
        <w:rPr>
          <w:rFonts w:hint="eastAsia" w:ascii="仿宋_GB2312" w:eastAsia="仿宋_GB2312"/>
          <w:sz w:val="32"/>
          <w:szCs w:val="32"/>
        </w:rPr>
        <w:t>当</w:t>
      </w:r>
      <w:r>
        <w:rPr>
          <w:rFonts w:hint="eastAsia" w:ascii="仿宋_GB2312" w:eastAsia="仿宋_GB2312"/>
          <w:bCs/>
          <w:sz w:val="32"/>
          <w:szCs w:val="32"/>
        </w:rPr>
        <w:t>适应于远距离运输、防潮、防震、防锈和防野蛮装卸等要求，以确保物资安全无损地运抵指定现场。由于包装防护措施不妥而引起的损坏、丢失由乙方负责。</w:t>
      </w:r>
    </w:p>
    <w:p w14:paraId="2498FB62">
      <w:pPr>
        <w:adjustRightInd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2.每一个包装箱内应</w:t>
      </w:r>
      <w:r>
        <w:rPr>
          <w:rFonts w:hint="eastAsia" w:ascii="仿宋_GB2312" w:eastAsia="仿宋_GB2312"/>
          <w:sz w:val="32"/>
          <w:szCs w:val="32"/>
        </w:rPr>
        <w:t>当</w:t>
      </w:r>
      <w:r>
        <w:rPr>
          <w:rFonts w:hint="eastAsia" w:ascii="仿宋_GB2312" w:eastAsia="仿宋_GB2312"/>
          <w:bCs/>
          <w:sz w:val="32"/>
          <w:szCs w:val="32"/>
        </w:rPr>
        <w:t>附一份详细装箱清单。</w:t>
      </w:r>
    </w:p>
    <w:p w14:paraId="358ED049">
      <w:pPr>
        <w:pStyle w:val="4"/>
        <w:keepNext w:val="0"/>
        <w:keepLines w:val="0"/>
        <w:adjustRightInd w:val="0"/>
        <w:spacing w:before="0" w:after="0" w:line="560" w:lineRule="exact"/>
        <w:ind w:firstLine="643" w:firstLineChars="200"/>
        <w:rPr>
          <w:rFonts w:ascii="黑体" w:hAnsi="黑体" w:cs="黑体"/>
          <w:b w:val="0"/>
          <w:bCs w:val="0"/>
          <w:sz w:val="32"/>
          <w:szCs w:val="32"/>
        </w:rPr>
      </w:pPr>
      <w:r>
        <w:rPr>
          <w:rFonts w:hint="eastAsia" w:ascii="黑体" w:hAnsi="黑体" w:cs="黑体"/>
          <w:sz w:val="32"/>
          <w:szCs w:val="32"/>
        </w:rPr>
        <w:t>★</w:t>
      </w:r>
      <w:r>
        <w:rPr>
          <w:rFonts w:hint="eastAsia" w:ascii="黑体" w:hAnsi="黑体" w:cs="黑体"/>
          <w:b w:val="0"/>
          <w:bCs w:val="0"/>
          <w:sz w:val="32"/>
          <w:szCs w:val="32"/>
        </w:rPr>
        <w:t>三、运输和保险</w:t>
      </w:r>
    </w:p>
    <w:p w14:paraId="7CD3ADE9">
      <w:pPr>
        <w:adjustRightInd w:val="0"/>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（一）乙方负责将物资运抵合同约定的甲方指定地点或其他同意的地点。以上所发生的相关费用应</w:t>
      </w:r>
      <w:r>
        <w:rPr>
          <w:rFonts w:hint="eastAsia" w:ascii="仿宋_GB2312" w:hAnsi="仿宋" w:eastAsia="仿宋_GB2312"/>
          <w:sz w:val="32"/>
          <w:szCs w:val="32"/>
        </w:rPr>
        <w:t>当</w:t>
      </w:r>
      <w:r>
        <w:rPr>
          <w:rFonts w:hint="eastAsia" w:ascii="仿宋_GB2312" w:hAnsi="仿宋" w:eastAsia="仿宋_GB2312"/>
          <w:bCs/>
          <w:sz w:val="32"/>
          <w:szCs w:val="32"/>
        </w:rPr>
        <w:t>包括在合同总价中。</w:t>
      </w:r>
    </w:p>
    <w:p w14:paraId="783E9E5C">
      <w:pPr>
        <w:pStyle w:val="2"/>
        <w:adjustRightInd w:val="0"/>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（二）物资交付前，乙方应</w:t>
      </w:r>
      <w:r>
        <w:rPr>
          <w:rFonts w:hint="eastAsia" w:ascii="仿宋_GB2312" w:hAnsi="仿宋" w:eastAsia="仿宋_GB2312"/>
          <w:sz w:val="32"/>
          <w:szCs w:val="32"/>
        </w:rPr>
        <w:t>当</w:t>
      </w:r>
      <w:r>
        <w:rPr>
          <w:rFonts w:hint="eastAsia" w:ascii="仿宋_GB2312" w:hAnsi="仿宋" w:eastAsia="仿宋_GB2312"/>
          <w:bCs/>
          <w:sz w:val="32"/>
          <w:szCs w:val="32"/>
        </w:rPr>
        <w:t>对运输、搬卸和交接过程中的丢失或损坏等问题负责。</w:t>
      </w:r>
    </w:p>
    <w:p w14:paraId="100093A1">
      <w:pPr>
        <w:pStyle w:val="4"/>
        <w:keepNext w:val="0"/>
        <w:keepLines w:val="0"/>
        <w:adjustRightInd w:val="0"/>
        <w:spacing w:before="0" w:after="0" w:line="560" w:lineRule="exact"/>
        <w:ind w:firstLine="640" w:firstLineChars="200"/>
        <w:rPr>
          <w:rFonts w:ascii="黑体" w:hAnsi="黑体" w:cs="黑体"/>
          <w:b w:val="0"/>
          <w:bCs w:val="0"/>
          <w:sz w:val="32"/>
          <w:szCs w:val="32"/>
        </w:rPr>
      </w:pPr>
      <w:r>
        <w:rPr>
          <w:rFonts w:hint="eastAsia" w:ascii="黑体" w:hAnsi="黑体" w:cs="黑体"/>
          <w:b w:val="0"/>
          <w:bCs w:val="0"/>
          <w:sz w:val="32"/>
          <w:szCs w:val="32"/>
        </w:rPr>
        <w:t>四、质量标准和保证</w:t>
      </w:r>
    </w:p>
    <w:p w14:paraId="4D89BBC7">
      <w:pPr>
        <w:adjustRightInd w:val="0"/>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（一）质量标准</w:t>
      </w:r>
    </w:p>
    <w:p w14:paraId="221B84D3">
      <w:pPr>
        <w:adjustRightInd w:val="0"/>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1.</w:t>
      </w:r>
      <w:bookmarkStart w:id="22" w:name="_Hlk129298658"/>
      <w:r>
        <w:rPr>
          <w:rFonts w:hint="eastAsia" w:ascii="仿宋_GB2312" w:hAnsi="仿宋" w:eastAsia="仿宋_GB2312"/>
          <w:bCs/>
          <w:sz w:val="32"/>
          <w:szCs w:val="32"/>
        </w:rPr>
        <w:t>乙方交付</w:t>
      </w:r>
      <w:bookmarkEnd w:id="22"/>
      <w:r>
        <w:rPr>
          <w:rFonts w:hint="eastAsia" w:ascii="仿宋_GB2312" w:hAnsi="仿宋" w:eastAsia="仿宋_GB2312"/>
          <w:bCs/>
          <w:sz w:val="32"/>
          <w:szCs w:val="32"/>
        </w:rPr>
        <w:t>的</w:t>
      </w:r>
      <w:bookmarkStart w:id="23" w:name="_Hlk129298245"/>
      <w:r>
        <w:rPr>
          <w:rFonts w:hint="eastAsia" w:ascii="仿宋_GB2312" w:hAnsi="仿宋" w:eastAsia="仿宋_GB2312"/>
          <w:bCs/>
          <w:sz w:val="32"/>
          <w:szCs w:val="32"/>
        </w:rPr>
        <w:t>物资</w:t>
      </w:r>
      <w:bookmarkEnd w:id="23"/>
      <w:r>
        <w:rPr>
          <w:rFonts w:hint="eastAsia" w:ascii="仿宋_GB2312" w:hAnsi="仿宋" w:eastAsia="仿宋_GB2312"/>
          <w:bCs/>
          <w:sz w:val="32"/>
          <w:szCs w:val="32"/>
        </w:rPr>
        <w:t>应当符合采购文件所述的标准。如果没有提及适用标准，则应当符合中华人民共和国有关机构发布的最新版本的标准。</w:t>
      </w:r>
    </w:p>
    <w:p w14:paraId="26780DEA">
      <w:pPr>
        <w:adjustRightInd w:val="0"/>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2.采用中华人民共和国法定计量单位。</w:t>
      </w:r>
    </w:p>
    <w:p w14:paraId="4A0E4444">
      <w:pPr>
        <w:adjustRightInd w:val="0"/>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3.乙方</w:t>
      </w:r>
      <w:bookmarkStart w:id="24" w:name="_Hlk129298842"/>
      <w:r>
        <w:rPr>
          <w:rFonts w:hint="eastAsia" w:ascii="仿宋_GB2312" w:hAnsi="仿宋" w:eastAsia="仿宋_GB2312"/>
          <w:bCs/>
          <w:sz w:val="32"/>
          <w:szCs w:val="32"/>
        </w:rPr>
        <w:t>交付</w:t>
      </w:r>
      <w:bookmarkEnd w:id="24"/>
      <w:r>
        <w:rPr>
          <w:rFonts w:hint="eastAsia" w:ascii="仿宋_GB2312" w:hAnsi="仿宋" w:eastAsia="仿宋_GB2312"/>
          <w:bCs/>
          <w:sz w:val="32"/>
          <w:szCs w:val="32"/>
        </w:rPr>
        <w:t>的</w:t>
      </w:r>
      <w:bookmarkStart w:id="25" w:name="_Hlk129298745"/>
      <w:r>
        <w:rPr>
          <w:rFonts w:hint="eastAsia" w:ascii="仿宋_GB2312" w:hAnsi="仿宋" w:eastAsia="仿宋_GB2312"/>
          <w:bCs/>
          <w:sz w:val="32"/>
          <w:szCs w:val="32"/>
        </w:rPr>
        <w:t>物资</w:t>
      </w:r>
      <w:bookmarkEnd w:id="25"/>
      <w:r>
        <w:rPr>
          <w:rFonts w:hint="eastAsia" w:ascii="仿宋_GB2312" w:hAnsi="仿宋" w:eastAsia="仿宋_GB2312"/>
          <w:bCs/>
          <w:sz w:val="32"/>
          <w:szCs w:val="32"/>
        </w:rPr>
        <w:t>还应当符合国家有关安全、环保、卫生等规定。</w:t>
      </w:r>
    </w:p>
    <w:p w14:paraId="7C081FB4">
      <w:pPr>
        <w:adjustRightInd w:val="0"/>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（二）质量保证</w:t>
      </w:r>
    </w:p>
    <w:p w14:paraId="5814611B">
      <w:pPr>
        <w:adjustRightInd w:val="0"/>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1.乙方应当保证交付物资是全新的、未使用过的，并完全符合合同约定的质量、规格和性能的要求。</w:t>
      </w:r>
    </w:p>
    <w:p w14:paraId="341F8BE7">
      <w:pPr>
        <w:adjustRightInd w:val="0"/>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2.在质量保证期内出现的产品质量问题，甲方应当以书面形式通知乙方。乙方收到通知后应当在约定的响应时间内免费维修或更换有缺陷的物资或部件。</w:t>
      </w:r>
    </w:p>
    <w:p w14:paraId="3648F59A">
      <w:pPr>
        <w:adjustRightInd w:val="0"/>
        <w:spacing w:line="56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3.乙方在约定的时间内未能解决质量问题，甲方可采取必要的补救措施，但其风险和费用将由乙方承担，甲方根据合同约定对乙方行使的其他权利不受影响。</w:t>
      </w:r>
    </w:p>
    <w:p w14:paraId="0524CA7D">
      <w:pPr>
        <w:tabs>
          <w:tab w:val="left" w:pos="0"/>
        </w:tabs>
        <w:autoSpaceDE w:val="0"/>
        <w:autoSpaceDN w:val="0"/>
        <w:adjustRightInd w:val="0"/>
        <w:spacing w:line="560" w:lineRule="exact"/>
        <w:ind w:firstLine="560"/>
        <w:rPr>
          <w:rFonts w:ascii="黑体" w:hAnsi="黑体" w:eastAsia="黑体" w:cs="黑体"/>
          <w:sz w:val="32"/>
          <w:szCs w:val="32"/>
        </w:rPr>
      </w:pPr>
      <w:r>
        <w:rPr>
          <w:rFonts w:hint="eastAsia" w:ascii="黑体" w:hAnsi="黑体" w:eastAsia="黑体" w:cs="黑体"/>
          <w:sz w:val="32"/>
          <w:szCs w:val="32"/>
        </w:rPr>
        <w:t>★五、履约保证金及质量保证金</w:t>
      </w:r>
    </w:p>
    <w:p w14:paraId="35B15723">
      <w:pPr>
        <w:adjustRightInd w:val="0"/>
        <w:snapToGrid w:val="0"/>
        <w:spacing w:line="560" w:lineRule="exact"/>
        <w:ind w:firstLine="640" w:firstLineChars="200"/>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sz w:val="32"/>
          <w:szCs w:val="32"/>
        </w:rPr>
        <w:t>（一）本合同履约保证金为合同金额的5%，乙方应当在签订合同前10日内缴纳履约保证金</w:t>
      </w:r>
      <w:r>
        <w:rPr>
          <w:rFonts w:hint="eastAsia" w:ascii="仿宋_GB2312" w:eastAsia="仿宋_GB2312" w:hAnsiTheme="minorEastAsia"/>
          <w:sz w:val="32"/>
          <w:szCs w:val="32"/>
        </w:rPr>
        <w:t>（汇款时请注明“</w:t>
      </w:r>
      <w:r>
        <w:rPr>
          <w:rFonts w:hint="eastAsia" w:ascii="仿宋_GB2312" w:hAnsi="仿宋" w:eastAsia="仿宋_GB2312"/>
          <w:sz w:val="32"/>
          <w:szCs w:val="32"/>
        </w:rPr>
        <w:t>检查检验结果互认平台对接采购项目</w:t>
      </w:r>
      <w:r>
        <w:rPr>
          <w:rFonts w:hint="eastAsia" w:ascii="仿宋_GB2312" w:eastAsia="仿宋_GB2312" w:hAnsiTheme="minorEastAsia"/>
          <w:sz w:val="32"/>
          <w:szCs w:val="32"/>
        </w:rPr>
        <w:t>履约保证金”字样）。</w:t>
      </w:r>
    </w:p>
    <w:p w14:paraId="3925CA5C">
      <w:pPr>
        <w:adjustRightInd w:val="0"/>
        <w:spacing w:line="560" w:lineRule="exact"/>
        <w:ind w:firstLine="640" w:firstLineChars="200"/>
        <w:rPr>
          <w:rFonts w:ascii="仿宋_GB2312" w:hAnsi="仿宋" w:eastAsia="仿宋_GB2312" w:cs="宋体"/>
          <w:color w:val="000000" w:themeColor="text1"/>
          <w:sz w:val="32"/>
          <w:szCs w:val="32"/>
        </w:rPr>
      </w:pPr>
      <w:bookmarkStart w:id="26" w:name="_Toc128150142"/>
      <w:bookmarkStart w:id="27" w:name="_Toc128397978"/>
      <w:bookmarkStart w:id="28" w:name="_Toc128151035"/>
      <w:bookmarkStart w:id="29" w:name="_Toc127820572"/>
      <w:bookmarkStart w:id="30" w:name="_Toc128150786"/>
      <w:r>
        <w:rPr>
          <w:rFonts w:hint="eastAsia" w:ascii="仿宋_GB2312" w:hAnsi="仿宋" w:eastAsia="仿宋_GB2312" w:cs="宋体"/>
          <w:color w:val="000000" w:themeColor="text1"/>
          <w:sz w:val="32"/>
          <w:szCs w:val="32"/>
        </w:rPr>
        <w:t>（二）若乙方未按时交付物资，或物资履约验收不合格，甲方有权终止合同，并没收乙方履约保证金。</w:t>
      </w:r>
    </w:p>
    <w:p w14:paraId="76DA1173">
      <w:pPr>
        <w:adjustRightInd w:val="0"/>
        <w:spacing w:line="560" w:lineRule="exact"/>
        <w:ind w:firstLine="640" w:firstLineChars="200"/>
        <w:rPr>
          <w:rFonts w:ascii="仿宋_GB2312" w:hAnsi="仿宋" w:eastAsia="仿宋_GB2312" w:cs="宋体"/>
          <w:color w:val="000000" w:themeColor="text1"/>
          <w:sz w:val="32"/>
          <w:szCs w:val="32"/>
        </w:rPr>
      </w:pPr>
      <w:bookmarkStart w:id="31" w:name="_Hlk129335643"/>
      <w:r>
        <w:rPr>
          <w:rFonts w:hint="eastAsia" w:ascii="仿宋_GB2312" w:hAnsi="仿宋" w:eastAsia="仿宋_GB2312" w:cs="宋体"/>
          <w:color w:val="000000" w:themeColor="text1"/>
          <w:sz w:val="32"/>
          <w:szCs w:val="32"/>
        </w:rPr>
        <w:t>（三）乙方应当向甲方支付合同项下的违约金或赔偿金时，甲方有权从履约保证金中予以扣除。</w:t>
      </w:r>
      <w:bookmarkEnd w:id="31"/>
    </w:p>
    <w:bookmarkEnd w:id="26"/>
    <w:bookmarkEnd w:id="27"/>
    <w:bookmarkEnd w:id="28"/>
    <w:bookmarkEnd w:id="29"/>
    <w:bookmarkEnd w:id="30"/>
    <w:p w14:paraId="19E941A7">
      <w:pPr>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（四）质量保证金从履约保证金中扣留。在质保期内，物资因乙方责任产生质量问题未予以补救，或者予以补救后仍然造成损失的，甲方有权直接从质量保证金扣除相应损失。</w:t>
      </w:r>
    </w:p>
    <w:p w14:paraId="2F56627C">
      <w:pPr>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（五）质量保证金在质保期满且无质量问题时全额无息退还。本合同约定的质保期满，甲方接到乙方质量保证金返还申请后，办理质量保证金返还。</w:t>
      </w:r>
    </w:p>
    <w:p w14:paraId="526DAEC4">
      <w:pPr>
        <w:pStyle w:val="30"/>
        <w:spacing w:line="560" w:lineRule="exact"/>
        <w:ind w:firstLine="640"/>
        <w:rPr>
          <w:rFonts w:ascii="黑体" w:hAnsi="黑体" w:eastAsia="黑体" w:cs="黑体"/>
          <w:kern w:val="2"/>
          <w:sz w:val="32"/>
          <w:szCs w:val="32"/>
        </w:rPr>
      </w:pPr>
      <w:r>
        <w:rPr>
          <w:rFonts w:hint="eastAsia" w:ascii="黑体" w:hAnsi="黑体" w:eastAsia="黑体" w:cs="黑体"/>
          <w:kern w:val="2"/>
          <w:sz w:val="32"/>
          <w:szCs w:val="32"/>
        </w:rPr>
        <w:t>★六、资金结算</w:t>
      </w:r>
    </w:p>
    <w:p w14:paraId="009F3AF8">
      <w:pPr>
        <w:spacing w:line="560" w:lineRule="exact"/>
        <w:ind w:firstLine="640" w:firstLineChars="200"/>
        <w:rPr>
          <w:rFonts w:ascii="仿宋_GB2312" w:hAnsi="仿宋" w:eastAsia="仿宋_GB2312"/>
          <w:sz w:val="32"/>
          <w:szCs w:val="32"/>
        </w:rPr>
      </w:pPr>
      <w:r>
        <w:rPr>
          <w:rFonts w:hint="eastAsia" w:ascii="仿宋_GB2312" w:hAnsi="仿宋" w:eastAsia="仿宋_GB2312" w:cstheme="minorBidi"/>
          <w:bCs/>
          <w:sz w:val="32"/>
          <w:szCs w:val="32"/>
          <w:lang w:val="zh-CN"/>
        </w:rPr>
        <w:t>（一）</w:t>
      </w:r>
      <w:r>
        <w:rPr>
          <w:rFonts w:hint="eastAsia" w:ascii="仿宋_GB2312" w:hAnsi="仿宋" w:eastAsia="仿宋_GB2312"/>
          <w:sz w:val="32"/>
          <w:szCs w:val="32"/>
        </w:rPr>
        <w:t>中标方中标价即为合同价，合同价包含货款、利润、税金、装卸载费、运杂费、安装费、人员培训费、售后服务费及相应的不可预测风险等一切费用。本项目不付预付款，待所有硬件设备到货验收合格后支付合同金额的30%，待软、硬件设备安装调试完成，验收合格后再支付合同金额的65%，剩余5%作为质量保证金，待质保期满后一次性无息退还。</w:t>
      </w:r>
    </w:p>
    <w:p w14:paraId="40511E18">
      <w:pPr>
        <w:pStyle w:val="2"/>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kern w:val="0"/>
          <w:sz w:val="32"/>
          <w:szCs w:val="32"/>
        </w:rPr>
        <w:t>（二）乙方应</w:t>
      </w:r>
      <w:r>
        <w:rPr>
          <w:rFonts w:hint="eastAsia" w:ascii="仿宋_GB2312" w:hAnsi="仿宋" w:eastAsia="仿宋_GB2312"/>
          <w:sz w:val="32"/>
          <w:szCs w:val="32"/>
        </w:rPr>
        <w:t>当</w:t>
      </w:r>
      <w:r>
        <w:rPr>
          <w:rFonts w:hint="eastAsia" w:ascii="仿宋_GB2312" w:hAnsi="仿宋" w:eastAsia="仿宋_GB2312"/>
          <w:kern w:val="0"/>
          <w:sz w:val="32"/>
          <w:szCs w:val="32"/>
        </w:rPr>
        <w:t>向甲方支付合同项下的违约金或赔偿金时，甲方有权从上述任何一笔应</w:t>
      </w:r>
      <w:r>
        <w:rPr>
          <w:rFonts w:hint="eastAsia" w:ascii="仿宋_GB2312" w:hAnsi="仿宋" w:eastAsia="仿宋_GB2312"/>
          <w:sz w:val="32"/>
          <w:szCs w:val="32"/>
        </w:rPr>
        <w:t>当</w:t>
      </w:r>
      <w:r>
        <w:rPr>
          <w:rFonts w:hint="eastAsia" w:ascii="仿宋_GB2312" w:hAnsi="仿宋" w:eastAsia="仿宋_GB2312"/>
          <w:kern w:val="0"/>
          <w:sz w:val="32"/>
          <w:szCs w:val="32"/>
        </w:rPr>
        <w:t>付款中予以扣除。</w:t>
      </w:r>
    </w:p>
    <w:p w14:paraId="74F82DC2">
      <w:pPr>
        <w:pStyle w:val="2"/>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（三）在结算过程中，乙方出具虚假发票或其他虚假材料的，按照提供虚假材料情况处理。</w:t>
      </w:r>
    </w:p>
    <w:p w14:paraId="2AFFFC8E">
      <w:pPr>
        <w:pStyle w:val="2"/>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（四）未经军队采购平台合同管理信息系统编号或者未按照要求进行备案的物资工程服务采购合同书，不得办理支付手续。</w:t>
      </w:r>
    </w:p>
    <w:p w14:paraId="72383F2A">
      <w:pPr>
        <w:pStyle w:val="2"/>
        <w:spacing w:line="560" w:lineRule="exact"/>
        <w:ind w:firstLine="640" w:firstLineChars="200"/>
      </w:pPr>
      <w:r>
        <w:rPr>
          <w:rFonts w:hint="eastAsia" w:ascii="仿宋_GB2312" w:hAnsi="仿宋" w:eastAsia="仿宋_GB2312"/>
          <w:sz w:val="32"/>
          <w:szCs w:val="32"/>
        </w:rPr>
        <w:t>（五）若后期军队审计部门、军队采购管理部门、纪检监察部门等职能部门抽查，提出价格虚高等问题，乙方需无条件配合甲方进行调查，积极提供相关审价资料，若审价结果低于合同价，乙方需无条件退还虚高款项；若审价结果高于合同价，按合同价进行结算。</w:t>
      </w:r>
    </w:p>
    <w:p w14:paraId="40066DFA">
      <w:pPr>
        <w:pStyle w:val="4"/>
        <w:keepNext w:val="0"/>
        <w:keepLines w:val="0"/>
        <w:adjustRightInd w:val="0"/>
        <w:spacing w:before="0" w:after="0" w:line="560" w:lineRule="exact"/>
        <w:ind w:firstLine="640" w:firstLineChars="200"/>
        <w:rPr>
          <w:rFonts w:ascii="黑体" w:hAnsi="黑体" w:cs="黑体"/>
          <w:b w:val="0"/>
          <w:bCs w:val="0"/>
          <w:sz w:val="32"/>
          <w:szCs w:val="32"/>
        </w:rPr>
      </w:pPr>
      <w:r>
        <w:rPr>
          <w:rFonts w:hint="eastAsia" w:ascii="黑体" w:hAnsi="黑体" w:cs="黑体"/>
          <w:b w:val="0"/>
          <w:bCs w:val="0"/>
          <w:sz w:val="32"/>
          <w:szCs w:val="32"/>
        </w:rPr>
        <w:t>七、售后服务</w:t>
      </w:r>
    </w:p>
    <w:p w14:paraId="2D153726">
      <w:pPr>
        <w:spacing w:line="560" w:lineRule="exact"/>
        <w:ind w:firstLine="640" w:firstLineChars="200"/>
        <w:rPr>
          <w:rFonts w:hint="eastAsia" w:ascii="仿宋" w:hAnsi="仿宋" w:eastAsia="仿宋"/>
          <w:sz w:val="32"/>
          <w:szCs w:val="32"/>
        </w:rPr>
      </w:pPr>
      <w:r>
        <w:rPr>
          <w:rFonts w:hint="eastAsia" w:ascii="仿宋_GB2312" w:hAnsi="仿宋" w:eastAsia="仿宋_GB2312"/>
          <w:bCs/>
          <w:sz w:val="32"/>
          <w:szCs w:val="32"/>
        </w:rPr>
        <w:t>（一）自</w:t>
      </w:r>
      <w:bookmarkStart w:id="32" w:name="_Hlk129331333"/>
      <w:r>
        <w:rPr>
          <w:rFonts w:hint="eastAsia" w:ascii="仿宋_GB2312" w:hAnsi="仿宋" w:eastAsia="仿宋_GB2312"/>
          <w:bCs/>
          <w:sz w:val="32"/>
          <w:szCs w:val="32"/>
        </w:rPr>
        <w:t>物资</w:t>
      </w:r>
      <w:bookmarkEnd w:id="32"/>
      <w:r>
        <w:rPr>
          <w:rFonts w:hint="eastAsia" w:ascii="仿宋_GB2312" w:hAnsi="仿宋" w:eastAsia="仿宋_GB2312"/>
          <w:bCs/>
          <w:sz w:val="32"/>
          <w:szCs w:val="32"/>
        </w:rPr>
        <w:t>验收合格之日起，物资免费质保期为36个月，</w:t>
      </w:r>
      <w:r>
        <w:rPr>
          <w:rFonts w:hint="eastAsia" w:ascii="仿宋" w:hAnsi="仿宋" w:eastAsia="仿宋"/>
          <w:sz w:val="32"/>
          <w:szCs w:val="32"/>
        </w:rPr>
        <w:t>质保期内，免费提供系统维护服务和技术支持。</w:t>
      </w:r>
    </w:p>
    <w:p w14:paraId="6543216C">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宋体"/>
          <w:color w:val="000000"/>
          <w:kern w:val="0"/>
          <w:sz w:val="32"/>
          <w:szCs w:val="32"/>
        </w:rPr>
        <w:t>★</w:t>
      </w:r>
      <w:r>
        <w:rPr>
          <w:rFonts w:hint="eastAsia" w:ascii="仿宋_GB2312" w:hAnsi="仿宋" w:eastAsia="仿宋_GB2312"/>
          <w:sz w:val="32"/>
          <w:szCs w:val="32"/>
        </w:rPr>
        <w:t>（二）质保期内，因甲方系统新建、升级或更换原因需要和该平台对接或重新对接的，乙方须承诺免费开放接口并提供技术支持和技术保障（提供承诺函）。</w:t>
      </w:r>
    </w:p>
    <w:p w14:paraId="481DB65B">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（三）质保期内，乙方每季度为甲方提供一次现场技术指导和全面系统巡检。</w:t>
      </w:r>
    </w:p>
    <w:p w14:paraId="622FA80E">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（四）质保期内，乙方提供售后服务7x24 小时的故障响应机制，具体响应时间为1小时内响应。</w:t>
      </w:r>
    </w:p>
    <w:p w14:paraId="4D620379">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质保期内，乙方对于系统紧急性故障，在接到医院报修后，如远程指导无法解决的，本地售后服务工程师须在2小时内到达现场，查找原因，提出解决方案，直至故障完全修复、系统恢复正常服务为止；如果因为维修时间过长，对医院医疗工作造成重大影响或经济损失的，乙方必须承担相应的法律责任和经济赔偿。</w:t>
      </w:r>
    </w:p>
    <w:p w14:paraId="0D84FA80">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（六）质保期内，乙方须提供系统运行的服务报告。包括重大故障维修报告、每月故障总结报告、每季度的设备和系统巡检报告等相关报告。</w:t>
      </w:r>
    </w:p>
    <w:p w14:paraId="571E57F6">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（七）在质保期内，乙方须根据甲方需求免费进行客户化开发。</w:t>
      </w:r>
    </w:p>
    <w:p w14:paraId="2035D05D">
      <w:pPr>
        <w:adjustRightIn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（八）乙方为所供系统终生无偿提供技术培训和技术支持。</w:t>
      </w:r>
    </w:p>
    <w:p w14:paraId="58518D81">
      <w:pPr>
        <w:pStyle w:val="2"/>
        <w:adjustRightInd w:val="0"/>
        <w:spacing w:line="560" w:lineRule="exact"/>
        <w:ind w:firstLine="640" w:firstLineChars="200"/>
        <w:rPr>
          <w:rFonts w:ascii="仿宋_GB2312" w:eastAsia="仿宋_GB2312"/>
          <w:sz w:val="32"/>
          <w:szCs w:val="32"/>
        </w:rPr>
      </w:pPr>
      <w:r>
        <w:rPr>
          <w:rFonts w:hint="eastAsia" w:ascii="仿宋_GB2312" w:hAnsi="仿宋" w:eastAsia="仿宋_GB2312"/>
          <w:sz w:val="32"/>
          <w:szCs w:val="32"/>
        </w:rPr>
        <w:t>（九）</w:t>
      </w:r>
      <w:r>
        <w:rPr>
          <w:rFonts w:hint="eastAsia" w:ascii="仿宋_GB2312" w:hAnsi="仿宋" w:eastAsia="仿宋_GB2312"/>
          <w:bCs/>
          <w:sz w:val="32"/>
          <w:szCs w:val="32"/>
        </w:rPr>
        <w:t>提供全套中文技术文档。</w:t>
      </w:r>
    </w:p>
    <w:p w14:paraId="6A388619">
      <w:pPr>
        <w:adjustRightIn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供应商须提供现场专业技术咨询、安装、调试、初验、终验和试运行保障及维修保养服务（提供安装、测试所用的测试设备、工具等），并按照需求方要求进行产品客户化。在投标文件中提交安装、调试、验收实施计划书，在安装调试验收无误后，提交安装实施、调试、检测报告、验收报告、技术资料、系统技术说明书、使用说明书、维护手册等。</w:t>
      </w:r>
    </w:p>
    <w:p w14:paraId="5AE46DB2">
      <w:pPr>
        <w:adjustRightInd w:val="0"/>
        <w:spacing w:line="560" w:lineRule="exact"/>
        <w:ind w:firstLine="640" w:firstLineChars="200"/>
        <w:rPr>
          <w:rFonts w:hint="eastAsia" w:ascii="仿宋_GB2312" w:hAnsi="仿宋" w:eastAsia="仿宋_GB2312"/>
          <w:sz w:val="32"/>
          <w:szCs w:val="32"/>
        </w:rPr>
      </w:pPr>
      <w:r>
        <w:rPr>
          <w:rFonts w:hint="eastAsia" w:ascii="仿宋_GB2312" w:hAnsi="仿宋_GB2312" w:eastAsia="仿宋_GB2312" w:cs="仿宋_GB2312"/>
          <w:bCs/>
          <w:sz w:val="32"/>
          <w:szCs w:val="32"/>
        </w:rPr>
        <w:t>交货时要求中标方就所投产品提供产品合格证、产品说明书、质保承诺函和检测报告等证明文件，我方有权核实招标要求的产品功能，有权要求中标方对产品的合法供货渠道进行说明。经核实，如中标方所提供产品与招、投标文件中的产品功能不一致，或提供非法渠道的商品，即视为欺诈，为维护我方合法权益，中标方要承担商品价值双倍的赔偿；同时，依据现行的国家法律法规追究其他责任，并连带追究所投产品制造商的责任。</w:t>
      </w:r>
    </w:p>
    <w:p w14:paraId="53871252">
      <w:pPr>
        <w:spacing w:line="560" w:lineRule="exact"/>
        <w:ind w:firstLine="645"/>
        <w:rPr>
          <w:rFonts w:ascii="黑体" w:hAnsi="黑体" w:eastAsia="黑体" w:cs="黑体"/>
          <w:sz w:val="32"/>
          <w:szCs w:val="32"/>
        </w:rPr>
      </w:pPr>
      <w:r>
        <w:rPr>
          <w:rFonts w:hint="eastAsia" w:ascii="黑体" w:hAnsi="黑体" w:eastAsia="黑体" w:cs="黑体"/>
          <w:sz w:val="32"/>
          <w:szCs w:val="32"/>
        </w:rPr>
        <w:t>★八、知识产权</w:t>
      </w:r>
    </w:p>
    <w:p w14:paraId="5C42977D">
      <w:pPr>
        <w:adjustRightInd w:val="0"/>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乙方应当保证甲方在使用物资和服务时不受第三方提出侵犯其知识产权的指控，对此甲方不承担任何连带责任或赔偿责任。</w:t>
      </w:r>
    </w:p>
    <w:p w14:paraId="5F24A51B">
      <w:pPr>
        <w:pStyle w:val="4"/>
        <w:keepNext w:val="0"/>
        <w:keepLines w:val="0"/>
        <w:adjustRightInd w:val="0"/>
        <w:spacing w:before="0" w:after="0" w:line="560" w:lineRule="exact"/>
        <w:ind w:firstLine="643" w:firstLineChars="200"/>
        <w:rPr>
          <w:rFonts w:ascii="黑体" w:hAnsi="黑体" w:cs="黑体"/>
          <w:b w:val="0"/>
          <w:bCs w:val="0"/>
          <w:sz w:val="32"/>
          <w:szCs w:val="32"/>
        </w:rPr>
      </w:pPr>
      <w:r>
        <w:rPr>
          <w:rFonts w:hint="eastAsia" w:ascii="黑体" w:hAnsi="黑体" w:cs="黑体"/>
          <w:sz w:val="32"/>
          <w:szCs w:val="32"/>
        </w:rPr>
        <w:t>★</w:t>
      </w:r>
      <w:r>
        <w:rPr>
          <w:rFonts w:hint="eastAsia" w:ascii="黑体" w:hAnsi="黑体" w:cs="黑体"/>
          <w:b w:val="0"/>
          <w:bCs w:val="0"/>
          <w:sz w:val="32"/>
          <w:szCs w:val="32"/>
        </w:rPr>
        <w:t>九、</w:t>
      </w:r>
      <w:bookmarkStart w:id="33" w:name="_Hlk129326502"/>
      <w:r>
        <w:rPr>
          <w:rFonts w:hint="eastAsia" w:ascii="黑体" w:hAnsi="黑体" w:cs="黑体"/>
          <w:b w:val="0"/>
          <w:bCs w:val="0"/>
          <w:sz w:val="32"/>
          <w:szCs w:val="32"/>
        </w:rPr>
        <w:t>物资编目编码、打码贴签要求</w:t>
      </w:r>
      <w:bookmarkEnd w:id="33"/>
    </w:p>
    <w:p w14:paraId="629980D4">
      <w:pPr>
        <w:adjustRightInd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一）乙方应当配合甲方完成合同内采购物资的编目编码工作，按照统一要求，提供物资相关数据信息，配合甲方做好编目数据采集工作。涉密信息应当按照国家、军队安全保密有关规定进行处理，确保不发生失泄密问题。</w:t>
      </w:r>
    </w:p>
    <w:p w14:paraId="4271534C">
      <w:pPr>
        <w:adjustRightInd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1.乙方可通过军队采购网互联网网站（www.plap.mil.cn），下载安装编目用户终端软件。按要求录入采购物资数据，导入技术规范、产品说明书、图片等便于物资识别的电子文件资料，生成编目申请数据包，提交甲方或承担军队资产编目编码职能的单位。</w:t>
      </w:r>
    </w:p>
    <w:p w14:paraId="22D45B25">
      <w:pPr>
        <w:adjustRightInd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2.乙方应当配合甲方或承担军队资产编目编码职能的单位，补充完善编目数据。</w:t>
      </w:r>
    </w:p>
    <w:p w14:paraId="14063859">
      <w:pPr>
        <w:adjustRightInd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3.乙方通过甲方接收赋码后的编目数据包，导入编目用户终端软件，获取品种码，正确填入合同文本，用于打码贴签、验收结算等。</w:t>
      </w:r>
    </w:p>
    <w:p w14:paraId="3DA7A4FA">
      <w:pPr>
        <w:adjustRightInd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4.甲方有单件管理需要的，乙方应当依据规则或示例程序自行生成单件码。</w:t>
      </w:r>
    </w:p>
    <w:p w14:paraId="46DFEFBC">
      <w:pPr>
        <w:adjustRightInd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（二）乙方应当按照统一要求在物资交付前完成打码贴签工作。</w:t>
      </w:r>
    </w:p>
    <w:p w14:paraId="40810B4C">
      <w:pPr>
        <w:adjustRightInd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1.物资标识标签格式、张挂位置、材质、码制等内容，应当符合军队有关要求。</w:t>
      </w:r>
    </w:p>
    <w:p w14:paraId="5D5551DA">
      <w:pPr>
        <w:adjustRightInd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2.物资标识标签上的品种码应当与合同物资明细表中的品种码完全一致。</w:t>
      </w:r>
    </w:p>
    <w:p w14:paraId="2A5AAA22">
      <w:pPr>
        <w:adjustRightInd w:val="0"/>
        <w:spacing w:line="560" w:lineRule="exact"/>
        <w:ind w:firstLine="640" w:firstLineChars="200"/>
        <w:rPr>
          <w:rFonts w:ascii="仿宋_GB2312" w:eastAsia="仿宋_GB2312"/>
          <w:bCs/>
          <w:sz w:val="32"/>
          <w:szCs w:val="32"/>
          <w:highlight w:val="yellow"/>
        </w:rPr>
      </w:pPr>
      <w:r>
        <w:rPr>
          <w:rFonts w:hint="eastAsia" w:ascii="仿宋_GB2312" w:eastAsia="仿宋_GB2312"/>
          <w:bCs/>
          <w:sz w:val="32"/>
          <w:szCs w:val="32"/>
        </w:rPr>
        <w:t>（三）物资编目数据填报和打码贴签情况，列入出厂检验、到货检验内容，编目数据、标识标签不符合规范要求的，不予通过，不得进入物资储存单位。乙方应当在7日内完成整改，并重新进行检验。</w:t>
      </w:r>
    </w:p>
    <w:p w14:paraId="4C1FA2C0">
      <w:pPr>
        <w:spacing w:line="560" w:lineRule="exact"/>
        <w:ind w:firstLine="645"/>
        <w:rPr>
          <w:rFonts w:ascii="黑体" w:hAnsi="黑体" w:eastAsia="黑体" w:cs="黑体"/>
          <w:sz w:val="32"/>
          <w:szCs w:val="32"/>
        </w:rPr>
      </w:pPr>
      <w:r>
        <w:rPr>
          <w:rFonts w:hint="eastAsia" w:ascii="黑体" w:hAnsi="黑体" w:eastAsia="黑体" w:cs="黑体"/>
          <w:sz w:val="32"/>
          <w:szCs w:val="32"/>
        </w:rPr>
        <w:t>★十、合同履约要求</w:t>
      </w:r>
    </w:p>
    <w:p w14:paraId="4F4AF979">
      <w:pPr>
        <w:spacing w:line="560" w:lineRule="exact"/>
        <w:ind w:firstLine="645"/>
        <w:rPr>
          <w:rFonts w:ascii="仿宋_GB2312" w:hAnsi="黑体" w:eastAsia="仿宋_GB2312" w:cs="黑体"/>
          <w:b/>
          <w:sz w:val="32"/>
          <w:szCs w:val="32"/>
        </w:rPr>
      </w:pPr>
      <w:r>
        <w:rPr>
          <w:rFonts w:hint="eastAsia" w:ascii="仿宋_GB2312" w:hAnsi="黑体" w:eastAsia="仿宋_GB2312" w:cs="黑体"/>
          <w:b/>
          <w:sz w:val="32"/>
          <w:szCs w:val="32"/>
        </w:rPr>
        <w:t>（一）违约责任</w:t>
      </w:r>
    </w:p>
    <w:p w14:paraId="5C044799">
      <w:pPr>
        <w:adjustRightInd w:val="0"/>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1.乙方未经甲方同意而延期交付时，应当向甲方偿付违约金，违约金每天按违约金额的</w:t>
      </w:r>
      <w:r>
        <w:rPr>
          <w:rFonts w:hint="eastAsia" w:ascii="仿宋_GB2312" w:hAnsi="仿宋" w:eastAsia="仿宋_GB2312"/>
          <w:bCs/>
          <w:sz w:val="32"/>
          <w:szCs w:val="32"/>
          <w:u w:val="single"/>
        </w:rPr>
        <w:t xml:space="preserve">  5‰  </w:t>
      </w:r>
      <w:r>
        <w:rPr>
          <w:rFonts w:hint="eastAsia" w:ascii="仿宋_GB2312" w:hAnsi="仿宋" w:eastAsia="仿宋_GB2312"/>
          <w:bCs/>
          <w:sz w:val="32"/>
          <w:szCs w:val="32"/>
        </w:rPr>
        <w:t>计算，违约金最高限额为违约金额的</w:t>
      </w:r>
      <w:r>
        <w:rPr>
          <w:rFonts w:hint="eastAsia" w:ascii="仿宋_GB2312" w:hAnsi="仿宋" w:eastAsia="仿宋_GB2312"/>
          <w:bCs/>
          <w:sz w:val="32"/>
          <w:szCs w:val="32"/>
          <w:u w:val="single"/>
        </w:rPr>
        <w:t xml:space="preserve">  5%  </w:t>
      </w:r>
      <w:r>
        <w:rPr>
          <w:rFonts w:hint="eastAsia" w:ascii="仿宋_GB2312" w:eastAsia="仿宋_GB2312"/>
          <w:bCs/>
          <w:sz w:val="32"/>
          <w:szCs w:val="32"/>
        </w:rPr>
        <w:t>。</w:t>
      </w:r>
      <w:r>
        <w:rPr>
          <w:rFonts w:hint="eastAsia" w:ascii="仿宋_GB2312" w:hAnsi="仿宋" w:eastAsia="仿宋_GB2312"/>
          <w:bCs/>
          <w:sz w:val="32"/>
          <w:szCs w:val="32"/>
        </w:rPr>
        <w:t>如果达到违约金最高限额时仍不能交付，或因延期交付影响甲方任务实施，甲方可以终止合同，而由此给甲方造成的实际损失，乙方应</w:t>
      </w:r>
      <w:r>
        <w:rPr>
          <w:rFonts w:hint="eastAsia" w:ascii="仿宋_GB2312" w:hAnsi="仿宋" w:eastAsia="仿宋_GB2312"/>
          <w:sz w:val="32"/>
          <w:szCs w:val="32"/>
        </w:rPr>
        <w:t>当</w:t>
      </w:r>
      <w:r>
        <w:rPr>
          <w:rFonts w:hint="eastAsia" w:ascii="仿宋_GB2312" w:hAnsi="仿宋" w:eastAsia="仿宋_GB2312"/>
          <w:bCs/>
          <w:sz w:val="32"/>
          <w:szCs w:val="32"/>
        </w:rPr>
        <w:t>给予足额赔偿。</w:t>
      </w:r>
    </w:p>
    <w:p w14:paraId="50BCA40E">
      <w:pPr>
        <w:adjustRightInd w:val="0"/>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2.乙方未按合同约定履行义务或产品技术性能指标不达标而给甲方或产品使用单位造成损失的，乙方应按损失金额予以赔偿。因甲方不具备接收条件或拒绝接收，致使乙方无法按期交付并造成损失的，甲方应按损失金额予以赔偿。</w:t>
      </w:r>
    </w:p>
    <w:p w14:paraId="764EDE00">
      <w:pPr>
        <w:adjustRightInd w:val="0"/>
        <w:spacing w:line="560" w:lineRule="exact"/>
        <w:ind w:firstLine="640" w:firstLineChars="200"/>
        <w:rPr>
          <w:rFonts w:ascii="仿宋_GB2312" w:hAnsi="仿宋" w:eastAsia="仿宋_GB2312"/>
          <w:bCs/>
          <w:sz w:val="32"/>
          <w:szCs w:val="32"/>
        </w:rPr>
      </w:pPr>
      <w:bookmarkStart w:id="34" w:name="_Hlk129349156"/>
      <w:r>
        <w:rPr>
          <w:rFonts w:hint="eastAsia" w:ascii="仿宋_GB2312" w:hAnsi="仿宋" w:eastAsia="仿宋_GB2312"/>
          <w:bCs/>
          <w:sz w:val="32"/>
          <w:szCs w:val="32"/>
        </w:rPr>
        <w:t>3.甲方</w:t>
      </w:r>
      <w:bookmarkEnd w:id="34"/>
      <w:r>
        <w:rPr>
          <w:rFonts w:hint="eastAsia" w:ascii="仿宋_GB2312" w:hAnsi="仿宋" w:eastAsia="仿宋_GB2312"/>
          <w:bCs/>
          <w:sz w:val="32"/>
          <w:szCs w:val="32"/>
        </w:rPr>
        <w:t>需按约定及时足额支付货款，未按约定及时足额支付货款时，甲方向乙方偿付违约金。每迟付一天按应付款金额的</w:t>
      </w:r>
      <w:r>
        <w:rPr>
          <w:rFonts w:hint="eastAsia" w:ascii="仿宋_GB2312" w:hAnsi="仿宋" w:eastAsia="仿宋_GB2312"/>
          <w:bCs/>
          <w:sz w:val="32"/>
          <w:szCs w:val="32"/>
          <w:u w:val="single"/>
        </w:rPr>
        <w:t xml:space="preserve"> 1‰</w:t>
      </w:r>
      <w:r>
        <w:rPr>
          <w:rFonts w:hint="eastAsia" w:ascii="仿宋_GB2312" w:hAnsi="楷体_GB2312" w:eastAsia="仿宋_GB2312" w:cs="楷体_GB2312"/>
          <w:bCs/>
          <w:sz w:val="32"/>
          <w:szCs w:val="32"/>
        </w:rPr>
        <w:t>（通常为1‰-1%，可按照项目实际情况设定）</w:t>
      </w:r>
      <w:r>
        <w:rPr>
          <w:rFonts w:hint="eastAsia" w:ascii="仿宋_GB2312" w:hAnsi="仿宋" w:eastAsia="仿宋_GB2312"/>
          <w:bCs/>
          <w:sz w:val="32"/>
          <w:szCs w:val="32"/>
        </w:rPr>
        <w:t>向乙方偿付违约金，违约金最高限额为应付款金额的</w:t>
      </w:r>
      <w:r>
        <w:rPr>
          <w:rFonts w:hint="eastAsia" w:ascii="仿宋_GB2312" w:hAnsi="仿宋" w:eastAsia="仿宋_GB2312"/>
          <w:bCs/>
          <w:sz w:val="32"/>
          <w:szCs w:val="32"/>
          <w:u w:val="single"/>
        </w:rPr>
        <w:t xml:space="preserve"> 5%   </w:t>
      </w:r>
      <w:bookmarkStart w:id="35" w:name="_GoBack"/>
      <w:bookmarkEnd w:id="35"/>
      <w:r>
        <w:rPr>
          <w:rFonts w:hint="eastAsia" w:ascii="仿宋_GB2312" w:hAnsi="仿宋" w:eastAsia="仿宋_GB2312"/>
          <w:bCs/>
          <w:sz w:val="32"/>
          <w:szCs w:val="32"/>
        </w:rPr>
        <w:t>。</w:t>
      </w:r>
    </w:p>
    <w:p w14:paraId="494CF380">
      <w:pPr>
        <w:adjustRightInd w:val="0"/>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4.如因不可抗力事件导致一方无法履行合同，该方应立即书面通知对方，并在合理期限内提供权威机构出具的证明。受影响方应尽力减轻不可抗力事件所造成的影响。如法律对不可抗力有其他规定，或合同迟延履行后发生不可抗力事件，本条款不免除违约方的责任。</w:t>
      </w:r>
    </w:p>
    <w:p w14:paraId="1F3C4AF8">
      <w:pPr>
        <w:spacing w:line="560" w:lineRule="exact"/>
        <w:ind w:firstLine="645"/>
        <w:rPr>
          <w:rFonts w:ascii="仿宋_GB2312" w:hAnsi="黑体" w:eastAsia="仿宋_GB2312" w:cs="黑体"/>
          <w:b/>
          <w:sz w:val="32"/>
          <w:szCs w:val="32"/>
        </w:rPr>
      </w:pPr>
      <w:r>
        <w:rPr>
          <w:rFonts w:hint="eastAsia" w:ascii="仿宋_GB2312" w:hAnsi="黑体" w:eastAsia="仿宋_GB2312" w:cs="黑体"/>
          <w:b/>
          <w:sz w:val="32"/>
          <w:szCs w:val="32"/>
        </w:rPr>
        <w:t>（二）争议处理</w:t>
      </w:r>
    </w:p>
    <w:p w14:paraId="72304766">
      <w:pPr>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合同履行过程中，发生争议时，甲方和乙方协商解决。协商不一致的，甲方或者乙方向采购机构负责合同履约的部门反映情况，请求第一次调解处理；第一次调解不成功的，向军级单位采购管理部门或者同等权限的采购管理部门请求第二次调解处理。 </w:t>
      </w:r>
    </w:p>
    <w:p w14:paraId="383B40D9">
      <w:pPr>
        <w:adjustRightIn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调解不成功的，甲方或者乙方向甲方所在地仲裁机构提起仲裁或向甲方所在地人民法院提起诉讼。诉讼费由承担责任的一方承担。在诉讼期间，除正在诉讼的部分外，合同的其他部分应继续执行。</w:t>
      </w:r>
    </w:p>
    <w:sectPr>
      <w:pgSz w:w="11907" w:h="16840"/>
      <w:pgMar w:top="1418" w:right="1474" w:bottom="1418" w:left="1559" w:header="851" w:footer="992" w:gutter="0"/>
      <w:cols w:space="720" w:num="1"/>
      <w:docGrid w:linePitch="606" w:charSpace="49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C22AB">
    <w:pPr>
      <w:pStyle w:val="10"/>
      <w:framePr w:wrap="around" w:vAnchor="text" w:hAnchor="margin" w:xAlign="right" w:y="1"/>
      <w:rPr>
        <w:rStyle w:val="16"/>
        <w:rFonts w:ascii="仿宋_GB2312"/>
        <w:sz w:val="28"/>
        <w:szCs w:val="28"/>
      </w:rPr>
    </w:pPr>
  </w:p>
  <w:p w14:paraId="426A8C9D">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D0965">
    <w:pPr>
      <w:pStyle w:val="10"/>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evenAndOddHeaders w:val="1"/>
  <w:drawingGridHorizontalSpacing w:val="117"/>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BE1"/>
    <w:rsid w:val="0000133E"/>
    <w:rsid w:val="00002810"/>
    <w:rsid w:val="00003048"/>
    <w:rsid w:val="000059D9"/>
    <w:rsid w:val="000069CE"/>
    <w:rsid w:val="000107BA"/>
    <w:rsid w:val="000114F6"/>
    <w:rsid w:val="0001193D"/>
    <w:rsid w:val="00015121"/>
    <w:rsid w:val="000153FF"/>
    <w:rsid w:val="0001696B"/>
    <w:rsid w:val="00017C61"/>
    <w:rsid w:val="00020339"/>
    <w:rsid w:val="000209EE"/>
    <w:rsid w:val="00021832"/>
    <w:rsid w:val="00021A0E"/>
    <w:rsid w:val="00022D7A"/>
    <w:rsid w:val="00025EAB"/>
    <w:rsid w:val="00025F7B"/>
    <w:rsid w:val="000264B0"/>
    <w:rsid w:val="00026569"/>
    <w:rsid w:val="00026F80"/>
    <w:rsid w:val="00027661"/>
    <w:rsid w:val="000304CD"/>
    <w:rsid w:val="00030809"/>
    <w:rsid w:val="00031102"/>
    <w:rsid w:val="00031A2C"/>
    <w:rsid w:val="00031E54"/>
    <w:rsid w:val="0003263F"/>
    <w:rsid w:val="000338FD"/>
    <w:rsid w:val="000400A0"/>
    <w:rsid w:val="000402C4"/>
    <w:rsid w:val="00042343"/>
    <w:rsid w:val="0004304F"/>
    <w:rsid w:val="000444B8"/>
    <w:rsid w:val="00044AC5"/>
    <w:rsid w:val="0004517F"/>
    <w:rsid w:val="00046863"/>
    <w:rsid w:val="00050645"/>
    <w:rsid w:val="0005192E"/>
    <w:rsid w:val="000520D7"/>
    <w:rsid w:val="000567B2"/>
    <w:rsid w:val="000567C4"/>
    <w:rsid w:val="00057113"/>
    <w:rsid w:val="00060403"/>
    <w:rsid w:val="00060B59"/>
    <w:rsid w:val="0006244F"/>
    <w:rsid w:val="00062672"/>
    <w:rsid w:val="000626F4"/>
    <w:rsid w:val="00063065"/>
    <w:rsid w:val="00063F3C"/>
    <w:rsid w:val="00064F2B"/>
    <w:rsid w:val="00066600"/>
    <w:rsid w:val="00067E36"/>
    <w:rsid w:val="00070205"/>
    <w:rsid w:val="00070E36"/>
    <w:rsid w:val="000751F4"/>
    <w:rsid w:val="000770C3"/>
    <w:rsid w:val="0008491B"/>
    <w:rsid w:val="00084AF7"/>
    <w:rsid w:val="00085EE3"/>
    <w:rsid w:val="00086D1E"/>
    <w:rsid w:val="00093D4F"/>
    <w:rsid w:val="00094113"/>
    <w:rsid w:val="0009433E"/>
    <w:rsid w:val="00097EAD"/>
    <w:rsid w:val="000A01A6"/>
    <w:rsid w:val="000A10CF"/>
    <w:rsid w:val="000A1112"/>
    <w:rsid w:val="000A3006"/>
    <w:rsid w:val="000A388F"/>
    <w:rsid w:val="000A4772"/>
    <w:rsid w:val="000A52DB"/>
    <w:rsid w:val="000B0777"/>
    <w:rsid w:val="000B0A12"/>
    <w:rsid w:val="000B1762"/>
    <w:rsid w:val="000B1976"/>
    <w:rsid w:val="000B2327"/>
    <w:rsid w:val="000B2CF0"/>
    <w:rsid w:val="000B3DC7"/>
    <w:rsid w:val="000B4E2B"/>
    <w:rsid w:val="000B5309"/>
    <w:rsid w:val="000B563A"/>
    <w:rsid w:val="000C0157"/>
    <w:rsid w:val="000C01CD"/>
    <w:rsid w:val="000C03E4"/>
    <w:rsid w:val="000C27DB"/>
    <w:rsid w:val="000C34FD"/>
    <w:rsid w:val="000C5191"/>
    <w:rsid w:val="000C6816"/>
    <w:rsid w:val="000D1842"/>
    <w:rsid w:val="000D1DC4"/>
    <w:rsid w:val="000D1E4C"/>
    <w:rsid w:val="000D25F7"/>
    <w:rsid w:val="000D29A8"/>
    <w:rsid w:val="000D5251"/>
    <w:rsid w:val="000D6512"/>
    <w:rsid w:val="000D7FC0"/>
    <w:rsid w:val="000E0521"/>
    <w:rsid w:val="000E3F80"/>
    <w:rsid w:val="000E41F4"/>
    <w:rsid w:val="000E6621"/>
    <w:rsid w:val="000E664B"/>
    <w:rsid w:val="000F1971"/>
    <w:rsid w:val="000F294F"/>
    <w:rsid w:val="000F2A5E"/>
    <w:rsid w:val="000F68B3"/>
    <w:rsid w:val="00101142"/>
    <w:rsid w:val="00102F96"/>
    <w:rsid w:val="001034C5"/>
    <w:rsid w:val="00110403"/>
    <w:rsid w:val="00110BBB"/>
    <w:rsid w:val="0011279F"/>
    <w:rsid w:val="001133FF"/>
    <w:rsid w:val="00113AAE"/>
    <w:rsid w:val="00114783"/>
    <w:rsid w:val="001156FE"/>
    <w:rsid w:val="00116DF0"/>
    <w:rsid w:val="00117F67"/>
    <w:rsid w:val="00120368"/>
    <w:rsid w:val="00121685"/>
    <w:rsid w:val="00123164"/>
    <w:rsid w:val="001248B0"/>
    <w:rsid w:val="00126012"/>
    <w:rsid w:val="00126F67"/>
    <w:rsid w:val="00127071"/>
    <w:rsid w:val="0013035C"/>
    <w:rsid w:val="00130BC1"/>
    <w:rsid w:val="001319E3"/>
    <w:rsid w:val="001321B0"/>
    <w:rsid w:val="001345C8"/>
    <w:rsid w:val="00140ECF"/>
    <w:rsid w:val="001410FA"/>
    <w:rsid w:val="00142132"/>
    <w:rsid w:val="00144687"/>
    <w:rsid w:val="00151DBB"/>
    <w:rsid w:val="001520FD"/>
    <w:rsid w:val="0015291F"/>
    <w:rsid w:val="00152DEC"/>
    <w:rsid w:val="00152EDB"/>
    <w:rsid w:val="00153898"/>
    <w:rsid w:val="001550EC"/>
    <w:rsid w:val="00155125"/>
    <w:rsid w:val="00162DD0"/>
    <w:rsid w:val="00165478"/>
    <w:rsid w:val="00166827"/>
    <w:rsid w:val="0016690D"/>
    <w:rsid w:val="00167A56"/>
    <w:rsid w:val="00167BCD"/>
    <w:rsid w:val="001737C7"/>
    <w:rsid w:val="001755F4"/>
    <w:rsid w:val="00177C00"/>
    <w:rsid w:val="0018130B"/>
    <w:rsid w:val="00182412"/>
    <w:rsid w:val="00184D2E"/>
    <w:rsid w:val="00185C5A"/>
    <w:rsid w:val="00185D54"/>
    <w:rsid w:val="0018605F"/>
    <w:rsid w:val="001901E8"/>
    <w:rsid w:val="001904D4"/>
    <w:rsid w:val="00190F0F"/>
    <w:rsid w:val="001954AC"/>
    <w:rsid w:val="001A048E"/>
    <w:rsid w:val="001A0A2C"/>
    <w:rsid w:val="001A138F"/>
    <w:rsid w:val="001A4386"/>
    <w:rsid w:val="001A72D9"/>
    <w:rsid w:val="001B3489"/>
    <w:rsid w:val="001B3D3C"/>
    <w:rsid w:val="001B7867"/>
    <w:rsid w:val="001B7DAB"/>
    <w:rsid w:val="001C03E6"/>
    <w:rsid w:val="001C0CBA"/>
    <w:rsid w:val="001C2A73"/>
    <w:rsid w:val="001C2D6D"/>
    <w:rsid w:val="001C318E"/>
    <w:rsid w:val="001C5092"/>
    <w:rsid w:val="001C6DE5"/>
    <w:rsid w:val="001D15B3"/>
    <w:rsid w:val="001D22EA"/>
    <w:rsid w:val="001D4B78"/>
    <w:rsid w:val="001D53A9"/>
    <w:rsid w:val="001D5F21"/>
    <w:rsid w:val="001D6431"/>
    <w:rsid w:val="001E699E"/>
    <w:rsid w:val="001E7086"/>
    <w:rsid w:val="001E72A4"/>
    <w:rsid w:val="001E7BE6"/>
    <w:rsid w:val="001F081A"/>
    <w:rsid w:val="001F382C"/>
    <w:rsid w:val="001F4009"/>
    <w:rsid w:val="001F6448"/>
    <w:rsid w:val="001F6AD5"/>
    <w:rsid w:val="002002F8"/>
    <w:rsid w:val="0020222B"/>
    <w:rsid w:val="002030A1"/>
    <w:rsid w:val="00204A78"/>
    <w:rsid w:val="002075DC"/>
    <w:rsid w:val="002100CF"/>
    <w:rsid w:val="00211E4E"/>
    <w:rsid w:val="002164C4"/>
    <w:rsid w:val="002172C1"/>
    <w:rsid w:val="002172E9"/>
    <w:rsid w:val="002204DC"/>
    <w:rsid w:val="0022119D"/>
    <w:rsid w:val="00224101"/>
    <w:rsid w:val="00224E8F"/>
    <w:rsid w:val="00230FC8"/>
    <w:rsid w:val="00231526"/>
    <w:rsid w:val="002327AF"/>
    <w:rsid w:val="002342E6"/>
    <w:rsid w:val="002345CA"/>
    <w:rsid w:val="0023637E"/>
    <w:rsid w:val="00237CAE"/>
    <w:rsid w:val="00240698"/>
    <w:rsid w:val="002446EF"/>
    <w:rsid w:val="0024523F"/>
    <w:rsid w:val="0025036F"/>
    <w:rsid w:val="002506AB"/>
    <w:rsid w:val="00250954"/>
    <w:rsid w:val="0025140B"/>
    <w:rsid w:val="00257C19"/>
    <w:rsid w:val="00260BBA"/>
    <w:rsid w:val="002611B7"/>
    <w:rsid w:val="00262DFB"/>
    <w:rsid w:val="00263A2E"/>
    <w:rsid w:val="0026525F"/>
    <w:rsid w:val="00270570"/>
    <w:rsid w:val="00270E2C"/>
    <w:rsid w:val="0027299C"/>
    <w:rsid w:val="00273F03"/>
    <w:rsid w:val="0027421A"/>
    <w:rsid w:val="00274857"/>
    <w:rsid w:val="002759B8"/>
    <w:rsid w:val="002760D0"/>
    <w:rsid w:val="00276AAE"/>
    <w:rsid w:val="00276F68"/>
    <w:rsid w:val="00276FD2"/>
    <w:rsid w:val="00280EA3"/>
    <w:rsid w:val="00284C84"/>
    <w:rsid w:val="00284D7D"/>
    <w:rsid w:val="002851C2"/>
    <w:rsid w:val="0028583A"/>
    <w:rsid w:val="0029023E"/>
    <w:rsid w:val="00293292"/>
    <w:rsid w:val="00293521"/>
    <w:rsid w:val="00293C56"/>
    <w:rsid w:val="00293CDB"/>
    <w:rsid w:val="00295742"/>
    <w:rsid w:val="00295A9F"/>
    <w:rsid w:val="00295E72"/>
    <w:rsid w:val="002962FE"/>
    <w:rsid w:val="00297652"/>
    <w:rsid w:val="002A4C61"/>
    <w:rsid w:val="002A519E"/>
    <w:rsid w:val="002A6622"/>
    <w:rsid w:val="002A6B11"/>
    <w:rsid w:val="002B03D1"/>
    <w:rsid w:val="002B196C"/>
    <w:rsid w:val="002B2E7B"/>
    <w:rsid w:val="002B6473"/>
    <w:rsid w:val="002C1C18"/>
    <w:rsid w:val="002C1E11"/>
    <w:rsid w:val="002C1F6D"/>
    <w:rsid w:val="002C2729"/>
    <w:rsid w:val="002C37F9"/>
    <w:rsid w:val="002C494B"/>
    <w:rsid w:val="002C5380"/>
    <w:rsid w:val="002C6743"/>
    <w:rsid w:val="002C6845"/>
    <w:rsid w:val="002C7868"/>
    <w:rsid w:val="002C796C"/>
    <w:rsid w:val="002D1A18"/>
    <w:rsid w:val="002D323E"/>
    <w:rsid w:val="002D4EE9"/>
    <w:rsid w:val="002D506E"/>
    <w:rsid w:val="002D5975"/>
    <w:rsid w:val="002E0157"/>
    <w:rsid w:val="002E1A4B"/>
    <w:rsid w:val="002E217A"/>
    <w:rsid w:val="002E281A"/>
    <w:rsid w:val="002E2A46"/>
    <w:rsid w:val="002E4223"/>
    <w:rsid w:val="002E5368"/>
    <w:rsid w:val="002E78C2"/>
    <w:rsid w:val="002F18F9"/>
    <w:rsid w:val="002F57FE"/>
    <w:rsid w:val="002F772D"/>
    <w:rsid w:val="002F7DCE"/>
    <w:rsid w:val="002F7EC7"/>
    <w:rsid w:val="0030020F"/>
    <w:rsid w:val="0030033F"/>
    <w:rsid w:val="00300B12"/>
    <w:rsid w:val="00301B20"/>
    <w:rsid w:val="0030275C"/>
    <w:rsid w:val="00303275"/>
    <w:rsid w:val="00304BC5"/>
    <w:rsid w:val="00306566"/>
    <w:rsid w:val="00307391"/>
    <w:rsid w:val="003104E4"/>
    <w:rsid w:val="00312425"/>
    <w:rsid w:val="003173DA"/>
    <w:rsid w:val="003174A9"/>
    <w:rsid w:val="0032098A"/>
    <w:rsid w:val="003210E5"/>
    <w:rsid w:val="0032130F"/>
    <w:rsid w:val="00322E41"/>
    <w:rsid w:val="00323149"/>
    <w:rsid w:val="00324004"/>
    <w:rsid w:val="00325447"/>
    <w:rsid w:val="0032579F"/>
    <w:rsid w:val="003304D5"/>
    <w:rsid w:val="00333753"/>
    <w:rsid w:val="00335AC8"/>
    <w:rsid w:val="00335E7C"/>
    <w:rsid w:val="003378D4"/>
    <w:rsid w:val="00340722"/>
    <w:rsid w:val="00341298"/>
    <w:rsid w:val="0034373D"/>
    <w:rsid w:val="00352086"/>
    <w:rsid w:val="0035257E"/>
    <w:rsid w:val="00352A66"/>
    <w:rsid w:val="00352BDE"/>
    <w:rsid w:val="0035330C"/>
    <w:rsid w:val="00355C22"/>
    <w:rsid w:val="00356B7D"/>
    <w:rsid w:val="00360FE0"/>
    <w:rsid w:val="0036247E"/>
    <w:rsid w:val="00362C27"/>
    <w:rsid w:val="00363716"/>
    <w:rsid w:val="00366C1E"/>
    <w:rsid w:val="0036768F"/>
    <w:rsid w:val="00367A46"/>
    <w:rsid w:val="00371D47"/>
    <w:rsid w:val="003737C4"/>
    <w:rsid w:val="003761EE"/>
    <w:rsid w:val="00377D64"/>
    <w:rsid w:val="00380609"/>
    <w:rsid w:val="003825DA"/>
    <w:rsid w:val="00382F14"/>
    <w:rsid w:val="00383C14"/>
    <w:rsid w:val="003842DC"/>
    <w:rsid w:val="00386C6C"/>
    <w:rsid w:val="003877BA"/>
    <w:rsid w:val="003877E5"/>
    <w:rsid w:val="0039046D"/>
    <w:rsid w:val="00390F57"/>
    <w:rsid w:val="00391D6C"/>
    <w:rsid w:val="00391EBB"/>
    <w:rsid w:val="00392AEA"/>
    <w:rsid w:val="0039320C"/>
    <w:rsid w:val="003959E2"/>
    <w:rsid w:val="00396DBD"/>
    <w:rsid w:val="00397A76"/>
    <w:rsid w:val="003A0B66"/>
    <w:rsid w:val="003A203F"/>
    <w:rsid w:val="003A23F0"/>
    <w:rsid w:val="003A3AFF"/>
    <w:rsid w:val="003A415A"/>
    <w:rsid w:val="003A5B42"/>
    <w:rsid w:val="003B0086"/>
    <w:rsid w:val="003B0B07"/>
    <w:rsid w:val="003B31D6"/>
    <w:rsid w:val="003B339D"/>
    <w:rsid w:val="003B4C4D"/>
    <w:rsid w:val="003B7F8D"/>
    <w:rsid w:val="003C02EC"/>
    <w:rsid w:val="003C1770"/>
    <w:rsid w:val="003C22DE"/>
    <w:rsid w:val="003C2BA9"/>
    <w:rsid w:val="003C35A8"/>
    <w:rsid w:val="003C3C45"/>
    <w:rsid w:val="003C487E"/>
    <w:rsid w:val="003C7512"/>
    <w:rsid w:val="003D13DA"/>
    <w:rsid w:val="003D1798"/>
    <w:rsid w:val="003D2847"/>
    <w:rsid w:val="003D2F45"/>
    <w:rsid w:val="003D46DE"/>
    <w:rsid w:val="003E0FFD"/>
    <w:rsid w:val="003E2568"/>
    <w:rsid w:val="003F27AE"/>
    <w:rsid w:val="003F383C"/>
    <w:rsid w:val="003F5DBF"/>
    <w:rsid w:val="003F5DF0"/>
    <w:rsid w:val="003F68B6"/>
    <w:rsid w:val="004001E8"/>
    <w:rsid w:val="004009AA"/>
    <w:rsid w:val="00403967"/>
    <w:rsid w:val="00403BF8"/>
    <w:rsid w:val="004060BE"/>
    <w:rsid w:val="0040661D"/>
    <w:rsid w:val="00407F46"/>
    <w:rsid w:val="00411C45"/>
    <w:rsid w:val="00422F94"/>
    <w:rsid w:val="004236C3"/>
    <w:rsid w:val="004241D0"/>
    <w:rsid w:val="0043114D"/>
    <w:rsid w:val="00431496"/>
    <w:rsid w:val="004354C6"/>
    <w:rsid w:val="00435817"/>
    <w:rsid w:val="00437B87"/>
    <w:rsid w:val="0044124F"/>
    <w:rsid w:val="0044298C"/>
    <w:rsid w:val="00444639"/>
    <w:rsid w:val="0044464E"/>
    <w:rsid w:val="00444BF5"/>
    <w:rsid w:val="00444C3B"/>
    <w:rsid w:val="0044785C"/>
    <w:rsid w:val="00451824"/>
    <w:rsid w:val="00451E07"/>
    <w:rsid w:val="00452FDB"/>
    <w:rsid w:val="00455487"/>
    <w:rsid w:val="0045595C"/>
    <w:rsid w:val="004566F7"/>
    <w:rsid w:val="0045692B"/>
    <w:rsid w:val="004575C5"/>
    <w:rsid w:val="00457DBF"/>
    <w:rsid w:val="00461FC6"/>
    <w:rsid w:val="00462988"/>
    <w:rsid w:val="00462CA3"/>
    <w:rsid w:val="00464A5A"/>
    <w:rsid w:val="004650FC"/>
    <w:rsid w:val="0046642E"/>
    <w:rsid w:val="004702F3"/>
    <w:rsid w:val="0047123D"/>
    <w:rsid w:val="00471B90"/>
    <w:rsid w:val="004727ED"/>
    <w:rsid w:val="00475E27"/>
    <w:rsid w:val="00477B0F"/>
    <w:rsid w:val="004804B7"/>
    <w:rsid w:val="0048112E"/>
    <w:rsid w:val="0048220F"/>
    <w:rsid w:val="0049164E"/>
    <w:rsid w:val="00492851"/>
    <w:rsid w:val="00493B36"/>
    <w:rsid w:val="00494645"/>
    <w:rsid w:val="00497662"/>
    <w:rsid w:val="00497C46"/>
    <w:rsid w:val="004A5549"/>
    <w:rsid w:val="004A6CC8"/>
    <w:rsid w:val="004A7FD1"/>
    <w:rsid w:val="004B00DF"/>
    <w:rsid w:val="004B0706"/>
    <w:rsid w:val="004B29FE"/>
    <w:rsid w:val="004B3575"/>
    <w:rsid w:val="004B3E08"/>
    <w:rsid w:val="004B410E"/>
    <w:rsid w:val="004B55E9"/>
    <w:rsid w:val="004B585E"/>
    <w:rsid w:val="004B65AE"/>
    <w:rsid w:val="004C1975"/>
    <w:rsid w:val="004C34FA"/>
    <w:rsid w:val="004C66CB"/>
    <w:rsid w:val="004C7AAA"/>
    <w:rsid w:val="004C7C2A"/>
    <w:rsid w:val="004D0B09"/>
    <w:rsid w:val="004D16B5"/>
    <w:rsid w:val="004D1B84"/>
    <w:rsid w:val="004D54DE"/>
    <w:rsid w:val="004E069B"/>
    <w:rsid w:val="004E17C7"/>
    <w:rsid w:val="004E2776"/>
    <w:rsid w:val="004E5E6F"/>
    <w:rsid w:val="004E6941"/>
    <w:rsid w:val="004E7E11"/>
    <w:rsid w:val="004F0D14"/>
    <w:rsid w:val="004F18DF"/>
    <w:rsid w:val="004F2359"/>
    <w:rsid w:val="004F2F41"/>
    <w:rsid w:val="004F6330"/>
    <w:rsid w:val="005029AB"/>
    <w:rsid w:val="005059CB"/>
    <w:rsid w:val="00506F79"/>
    <w:rsid w:val="00507DCF"/>
    <w:rsid w:val="00511093"/>
    <w:rsid w:val="00513E62"/>
    <w:rsid w:val="00514629"/>
    <w:rsid w:val="00515207"/>
    <w:rsid w:val="0051694D"/>
    <w:rsid w:val="005220B6"/>
    <w:rsid w:val="00522934"/>
    <w:rsid w:val="00523A5C"/>
    <w:rsid w:val="00523BA8"/>
    <w:rsid w:val="00523BC4"/>
    <w:rsid w:val="00523C76"/>
    <w:rsid w:val="005245FD"/>
    <w:rsid w:val="005251D3"/>
    <w:rsid w:val="00525214"/>
    <w:rsid w:val="00525A02"/>
    <w:rsid w:val="005260D3"/>
    <w:rsid w:val="00530A77"/>
    <w:rsid w:val="00530DC3"/>
    <w:rsid w:val="005319B0"/>
    <w:rsid w:val="0053459C"/>
    <w:rsid w:val="00534AB8"/>
    <w:rsid w:val="00535877"/>
    <w:rsid w:val="005364C0"/>
    <w:rsid w:val="0053660C"/>
    <w:rsid w:val="00541A10"/>
    <w:rsid w:val="00541DE7"/>
    <w:rsid w:val="00542AF2"/>
    <w:rsid w:val="00545989"/>
    <w:rsid w:val="00547DA8"/>
    <w:rsid w:val="00547EC5"/>
    <w:rsid w:val="00550977"/>
    <w:rsid w:val="005540FC"/>
    <w:rsid w:val="005579E2"/>
    <w:rsid w:val="00560574"/>
    <w:rsid w:val="00562FB6"/>
    <w:rsid w:val="00564584"/>
    <w:rsid w:val="00564D58"/>
    <w:rsid w:val="00566DB2"/>
    <w:rsid w:val="0057069C"/>
    <w:rsid w:val="00570EF1"/>
    <w:rsid w:val="00571072"/>
    <w:rsid w:val="0057225B"/>
    <w:rsid w:val="0057236F"/>
    <w:rsid w:val="005729AB"/>
    <w:rsid w:val="00573D1C"/>
    <w:rsid w:val="00573E70"/>
    <w:rsid w:val="00574105"/>
    <w:rsid w:val="005871E6"/>
    <w:rsid w:val="005873FF"/>
    <w:rsid w:val="005875EF"/>
    <w:rsid w:val="00592570"/>
    <w:rsid w:val="00593960"/>
    <w:rsid w:val="00593961"/>
    <w:rsid w:val="005A1B79"/>
    <w:rsid w:val="005A1DAA"/>
    <w:rsid w:val="005A3905"/>
    <w:rsid w:val="005A4711"/>
    <w:rsid w:val="005A6692"/>
    <w:rsid w:val="005B27C5"/>
    <w:rsid w:val="005B49B8"/>
    <w:rsid w:val="005B4BA1"/>
    <w:rsid w:val="005B652A"/>
    <w:rsid w:val="005C10DE"/>
    <w:rsid w:val="005C23C3"/>
    <w:rsid w:val="005C44EF"/>
    <w:rsid w:val="005C5BE1"/>
    <w:rsid w:val="005C666A"/>
    <w:rsid w:val="005D2521"/>
    <w:rsid w:val="005D299E"/>
    <w:rsid w:val="005D3851"/>
    <w:rsid w:val="005D53CD"/>
    <w:rsid w:val="005E0FC3"/>
    <w:rsid w:val="005E2F02"/>
    <w:rsid w:val="005E448E"/>
    <w:rsid w:val="005E47AF"/>
    <w:rsid w:val="005E6BAF"/>
    <w:rsid w:val="005E6DE1"/>
    <w:rsid w:val="005E7DA1"/>
    <w:rsid w:val="005F20FD"/>
    <w:rsid w:val="005F2509"/>
    <w:rsid w:val="005F4C8B"/>
    <w:rsid w:val="00600D49"/>
    <w:rsid w:val="006021F5"/>
    <w:rsid w:val="00605961"/>
    <w:rsid w:val="0060689C"/>
    <w:rsid w:val="00606CB9"/>
    <w:rsid w:val="00606CF7"/>
    <w:rsid w:val="00607AE6"/>
    <w:rsid w:val="00611753"/>
    <w:rsid w:val="00612EB2"/>
    <w:rsid w:val="00615E1A"/>
    <w:rsid w:val="0061629B"/>
    <w:rsid w:val="0062544C"/>
    <w:rsid w:val="00625548"/>
    <w:rsid w:val="00625C05"/>
    <w:rsid w:val="0062625A"/>
    <w:rsid w:val="0062702C"/>
    <w:rsid w:val="00632FFB"/>
    <w:rsid w:val="00633517"/>
    <w:rsid w:val="00633588"/>
    <w:rsid w:val="006341E1"/>
    <w:rsid w:val="00634629"/>
    <w:rsid w:val="00635099"/>
    <w:rsid w:val="00636B02"/>
    <w:rsid w:val="00637C03"/>
    <w:rsid w:val="00640B49"/>
    <w:rsid w:val="00640BF8"/>
    <w:rsid w:val="00642EBF"/>
    <w:rsid w:val="006449D2"/>
    <w:rsid w:val="00645CF3"/>
    <w:rsid w:val="0064605C"/>
    <w:rsid w:val="006471BE"/>
    <w:rsid w:val="006514F3"/>
    <w:rsid w:val="00651AD1"/>
    <w:rsid w:val="00652ABA"/>
    <w:rsid w:val="00654F48"/>
    <w:rsid w:val="006566D3"/>
    <w:rsid w:val="006608A9"/>
    <w:rsid w:val="00662B21"/>
    <w:rsid w:val="006635B1"/>
    <w:rsid w:val="00664E78"/>
    <w:rsid w:val="0066512C"/>
    <w:rsid w:val="00665E13"/>
    <w:rsid w:val="00671402"/>
    <w:rsid w:val="00671FD0"/>
    <w:rsid w:val="006725FD"/>
    <w:rsid w:val="0067278E"/>
    <w:rsid w:val="00673318"/>
    <w:rsid w:val="006746DE"/>
    <w:rsid w:val="00674E45"/>
    <w:rsid w:val="00676B22"/>
    <w:rsid w:val="006809AC"/>
    <w:rsid w:val="00682D81"/>
    <w:rsid w:val="00685981"/>
    <w:rsid w:val="00687368"/>
    <w:rsid w:val="006914A2"/>
    <w:rsid w:val="00696C2E"/>
    <w:rsid w:val="006A0CC7"/>
    <w:rsid w:val="006A1123"/>
    <w:rsid w:val="006A2D55"/>
    <w:rsid w:val="006A535C"/>
    <w:rsid w:val="006B4398"/>
    <w:rsid w:val="006B4E93"/>
    <w:rsid w:val="006B505C"/>
    <w:rsid w:val="006B5454"/>
    <w:rsid w:val="006B6CFC"/>
    <w:rsid w:val="006C0E04"/>
    <w:rsid w:val="006C0FC0"/>
    <w:rsid w:val="006C1BAF"/>
    <w:rsid w:val="006C2662"/>
    <w:rsid w:val="006C2EE9"/>
    <w:rsid w:val="006C3261"/>
    <w:rsid w:val="006C4FD9"/>
    <w:rsid w:val="006C6A2A"/>
    <w:rsid w:val="006C6A4C"/>
    <w:rsid w:val="006D0147"/>
    <w:rsid w:val="006D215E"/>
    <w:rsid w:val="006D2F74"/>
    <w:rsid w:val="006D4CDB"/>
    <w:rsid w:val="006D57E3"/>
    <w:rsid w:val="006D586E"/>
    <w:rsid w:val="006D5F03"/>
    <w:rsid w:val="006D61FB"/>
    <w:rsid w:val="006D6DFA"/>
    <w:rsid w:val="006E211E"/>
    <w:rsid w:val="006E2A4E"/>
    <w:rsid w:val="006E47F0"/>
    <w:rsid w:val="006E497D"/>
    <w:rsid w:val="006F10DE"/>
    <w:rsid w:val="006F270B"/>
    <w:rsid w:val="006F5E6C"/>
    <w:rsid w:val="006F6442"/>
    <w:rsid w:val="006F7382"/>
    <w:rsid w:val="007021B6"/>
    <w:rsid w:val="007029FB"/>
    <w:rsid w:val="007072AE"/>
    <w:rsid w:val="00707BA5"/>
    <w:rsid w:val="00710160"/>
    <w:rsid w:val="00710845"/>
    <w:rsid w:val="0071281D"/>
    <w:rsid w:val="0071296D"/>
    <w:rsid w:val="00714496"/>
    <w:rsid w:val="00714526"/>
    <w:rsid w:val="00716665"/>
    <w:rsid w:val="00717BFD"/>
    <w:rsid w:val="00720ED8"/>
    <w:rsid w:val="00722134"/>
    <w:rsid w:val="007245D8"/>
    <w:rsid w:val="00724609"/>
    <w:rsid w:val="007254BC"/>
    <w:rsid w:val="007257A0"/>
    <w:rsid w:val="0072768B"/>
    <w:rsid w:val="00727E4F"/>
    <w:rsid w:val="00731201"/>
    <w:rsid w:val="00734346"/>
    <w:rsid w:val="007349E5"/>
    <w:rsid w:val="007401A2"/>
    <w:rsid w:val="00741376"/>
    <w:rsid w:val="00743214"/>
    <w:rsid w:val="007458CA"/>
    <w:rsid w:val="007472A7"/>
    <w:rsid w:val="00752C66"/>
    <w:rsid w:val="00753C53"/>
    <w:rsid w:val="00755145"/>
    <w:rsid w:val="00755167"/>
    <w:rsid w:val="0075547D"/>
    <w:rsid w:val="00756418"/>
    <w:rsid w:val="0075745B"/>
    <w:rsid w:val="007603D6"/>
    <w:rsid w:val="007606D4"/>
    <w:rsid w:val="00760748"/>
    <w:rsid w:val="00760BF9"/>
    <w:rsid w:val="007614BC"/>
    <w:rsid w:val="00761549"/>
    <w:rsid w:val="00761907"/>
    <w:rsid w:val="00763090"/>
    <w:rsid w:val="00763A4D"/>
    <w:rsid w:val="007640AA"/>
    <w:rsid w:val="00764C05"/>
    <w:rsid w:val="0076719D"/>
    <w:rsid w:val="00770738"/>
    <w:rsid w:val="00772376"/>
    <w:rsid w:val="007730B6"/>
    <w:rsid w:val="0077432C"/>
    <w:rsid w:val="00775C44"/>
    <w:rsid w:val="007769B3"/>
    <w:rsid w:val="00780242"/>
    <w:rsid w:val="00781BC0"/>
    <w:rsid w:val="00781DE8"/>
    <w:rsid w:val="00785EF2"/>
    <w:rsid w:val="00790663"/>
    <w:rsid w:val="007915A8"/>
    <w:rsid w:val="007919F1"/>
    <w:rsid w:val="0079783C"/>
    <w:rsid w:val="007A039A"/>
    <w:rsid w:val="007A059B"/>
    <w:rsid w:val="007A3336"/>
    <w:rsid w:val="007A415A"/>
    <w:rsid w:val="007A772A"/>
    <w:rsid w:val="007B2EA5"/>
    <w:rsid w:val="007B312A"/>
    <w:rsid w:val="007B3155"/>
    <w:rsid w:val="007B4F44"/>
    <w:rsid w:val="007B71DE"/>
    <w:rsid w:val="007C3D52"/>
    <w:rsid w:val="007C57BE"/>
    <w:rsid w:val="007C5BB8"/>
    <w:rsid w:val="007C7882"/>
    <w:rsid w:val="007D1116"/>
    <w:rsid w:val="007D1457"/>
    <w:rsid w:val="007D1725"/>
    <w:rsid w:val="007D1BE7"/>
    <w:rsid w:val="007D23F9"/>
    <w:rsid w:val="007D35D5"/>
    <w:rsid w:val="007D5835"/>
    <w:rsid w:val="007D5FF4"/>
    <w:rsid w:val="007D7994"/>
    <w:rsid w:val="007E11A0"/>
    <w:rsid w:val="007E292C"/>
    <w:rsid w:val="007E52FF"/>
    <w:rsid w:val="007E61AD"/>
    <w:rsid w:val="007E6DF8"/>
    <w:rsid w:val="007F141E"/>
    <w:rsid w:val="007F1AE1"/>
    <w:rsid w:val="007F296E"/>
    <w:rsid w:val="007F2B40"/>
    <w:rsid w:val="007F3294"/>
    <w:rsid w:val="007F4C57"/>
    <w:rsid w:val="007F4EC2"/>
    <w:rsid w:val="007F64DE"/>
    <w:rsid w:val="007F6BC0"/>
    <w:rsid w:val="007F6C78"/>
    <w:rsid w:val="00800254"/>
    <w:rsid w:val="00802C3A"/>
    <w:rsid w:val="00804D93"/>
    <w:rsid w:val="00805A86"/>
    <w:rsid w:val="00806497"/>
    <w:rsid w:val="0080706E"/>
    <w:rsid w:val="00807720"/>
    <w:rsid w:val="00807ED1"/>
    <w:rsid w:val="00807FCB"/>
    <w:rsid w:val="00810148"/>
    <w:rsid w:val="008119AA"/>
    <w:rsid w:val="00811E63"/>
    <w:rsid w:val="00813D20"/>
    <w:rsid w:val="00817345"/>
    <w:rsid w:val="008177E8"/>
    <w:rsid w:val="00817B69"/>
    <w:rsid w:val="008205DC"/>
    <w:rsid w:val="008217E8"/>
    <w:rsid w:val="00821D93"/>
    <w:rsid w:val="00823350"/>
    <w:rsid w:val="00824746"/>
    <w:rsid w:val="00824871"/>
    <w:rsid w:val="0082546D"/>
    <w:rsid w:val="00825D77"/>
    <w:rsid w:val="008270F4"/>
    <w:rsid w:val="008277D5"/>
    <w:rsid w:val="00827EB2"/>
    <w:rsid w:val="008306BD"/>
    <w:rsid w:val="00831174"/>
    <w:rsid w:val="00831863"/>
    <w:rsid w:val="00831DE8"/>
    <w:rsid w:val="00832816"/>
    <w:rsid w:val="00833915"/>
    <w:rsid w:val="008339FF"/>
    <w:rsid w:val="00833A32"/>
    <w:rsid w:val="00833D86"/>
    <w:rsid w:val="00834046"/>
    <w:rsid w:val="00834414"/>
    <w:rsid w:val="0083450B"/>
    <w:rsid w:val="00835935"/>
    <w:rsid w:val="0083668B"/>
    <w:rsid w:val="00841287"/>
    <w:rsid w:val="008415BD"/>
    <w:rsid w:val="00842178"/>
    <w:rsid w:val="008431D6"/>
    <w:rsid w:val="008437DD"/>
    <w:rsid w:val="00845126"/>
    <w:rsid w:val="0084571D"/>
    <w:rsid w:val="008472A3"/>
    <w:rsid w:val="0085142F"/>
    <w:rsid w:val="00852614"/>
    <w:rsid w:val="00852C4A"/>
    <w:rsid w:val="0085344D"/>
    <w:rsid w:val="00854939"/>
    <w:rsid w:val="00854E6F"/>
    <w:rsid w:val="00857E29"/>
    <w:rsid w:val="0086045B"/>
    <w:rsid w:val="00860FEF"/>
    <w:rsid w:val="00862094"/>
    <w:rsid w:val="00864F69"/>
    <w:rsid w:val="00866CA8"/>
    <w:rsid w:val="008679FF"/>
    <w:rsid w:val="00867A7D"/>
    <w:rsid w:val="00867C8D"/>
    <w:rsid w:val="008711B4"/>
    <w:rsid w:val="00871B5D"/>
    <w:rsid w:val="00872480"/>
    <w:rsid w:val="00872EF2"/>
    <w:rsid w:val="00874478"/>
    <w:rsid w:val="00876F0D"/>
    <w:rsid w:val="00877A94"/>
    <w:rsid w:val="008807B2"/>
    <w:rsid w:val="00880CB9"/>
    <w:rsid w:val="008816F9"/>
    <w:rsid w:val="00882510"/>
    <w:rsid w:val="0088625E"/>
    <w:rsid w:val="00886D4D"/>
    <w:rsid w:val="00893D6C"/>
    <w:rsid w:val="00895026"/>
    <w:rsid w:val="008957E8"/>
    <w:rsid w:val="00895E72"/>
    <w:rsid w:val="00896173"/>
    <w:rsid w:val="00896417"/>
    <w:rsid w:val="00896444"/>
    <w:rsid w:val="008A0AE7"/>
    <w:rsid w:val="008A0CD8"/>
    <w:rsid w:val="008A1B20"/>
    <w:rsid w:val="008A40FA"/>
    <w:rsid w:val="008A51F1"/>
    <w:rsid w:val="008B08AD"/>
    <w:rsid w:val="008B093F"/>
    <w:rsid w:val="008B1AA6"/>
    <w:rsid w:val="008B1B3D"/>
    <w:rsid w:val="008B20CC"/>
    <w:rsid w:val="008B21F4"/>
    <w:rsid w:val="008B2841"/>
    <w:rsid w:val="008B50A1"/>
    <w:rsid w:val="008B555A"/>
    <w:rsid w:val="008B65F3"/>
    <w:rsid w:val="008B6866"/>
    <w:rsid w:val="008B7B02"/>
    <w:rsid w:val="008B7D17"/>
    <w:rsid w:val="008C0209"/>
    <w:rsid w:val="008C2621"/>
    <w:rsid w:val="008C2FE9"/>
    <w:rsid w:val="008C30C1"/>
    <w:rsid w:val="008C4DF9"/>
    <w:rsid w:val="008C6A81"/>
    <w:rsid w:val="008C6B9B"/>
    <w:rsid w:val="008C7253"/>
    <w:rsid w:val="008C76A7"/>
    <w:rsid w:val="008D1AB3"/>
    <w:rsid w:val="008D2ED9"/>
    <w:rsid w:val="008D5B44"/>
    <w:rsid w:val="008D77DA"/>
    <w:rsid w:val="008E324A"/>
    <w:rsid w:val="008E3516"/>
    <w:rsid w:val="008E3973"/>
    <w:rsid w:val="008E4C85"/>
    <w:rsid w:val="008E6BB9"/>
    <w:rsid w:val="008E6D06"/>
    <w:rsid w:val="008E6E54"/>
    <w:rsid w:val="008E70F1"/>
    <w:rsid w:val="008E7152"/>
    <w:rsid w:val="008F060A"/>
    <w:rsid w:val="008F3193"/>
    <w:rsid w:val="008F3A66"/>
    <w:rsid w:val="008F6E6F"/>
    <w:rsid w:val="008F783B"/>
    <w:rsid w:val="00901112"/>
    <w:rsid w:val="00901124"/>
    <w:rsid w:val="00902804"/>
    <w:rsid w:val="00904550"/>
    <w:rsid w:val="00912DFA"/>
    <w:rsid w:val="00915CE8"/>
    <w:rsid w:val="00923338"/>
    <w:rsid w:val="00924668"/>
    <w:rsid w:val="00925E1A"/>
    <w:rsid w:val="009305F5"/>
    <w:rsid w:val="00930AE7"/>
    <w:rsid w:val="00931F06"/>
    <w:rsid w:val="009320E8"/>
    <w:rsid w:val="00932843"/>
    <w:rsid w:val="00935ACC"/>
    <w:rsid w:val="00936463"/>
    <w:rsid w:val="009375F3"/>
    <w:rsid w:val="00940836"/>
    <w:rsid w:val="00943919"/>
    <w:rsid w:val="00944F03"/>
    <w:rsid w:val="00945BF9"/>
    <w:rsid w:val="009468A7"/>
    <w:rsid w:val="00947AAB"/>
    <w:rsid w:val="009525DF"/>
    <w:rsid w:val="009531F6"/>
    <w:rsid w:val="00954D22"/>
    <w:rsid w:val="009550F4"/>
    <w:rsid w:val="00956230"/>
    <w:rsid w:val="009567BA"/>
    <w:rsid w:val="00956C79"/>
    <w:rsid w:val="00957933"/>
    <w:rsid w:val="00960B6C"/>
    <w:rsid w:val="00961D0B"/>
    <w:rsid w:val="00961F41"/>
    <w:rsid w:val="009632D4"/>
    <w:rsid w:val="00964BB2"/>
    <w:rsid w:val="0096572E"/>
    <w:rsid w:val="00966129"/>
    <w:rsid w:val="00970BE3"/>
    <w:rsid w:val="00970CE2"/>
    <w:rsid w:val="00972259"/>
    <w:rsid w:val="0097232D"/>
    <w:rsid w:val="0097697E"/>
    <w:rsid w:val="00976D8E"/>
    <w:rsid w:val="009771BC"/>
    <w:rsid w:val="0097777A"/>
    <w:rsid w:val="009811F1"/>
    <w:rsid w:val="00981F00"/>
    <w:rsid w:val="00982AEB"/>
    <w:rsid w:val="00984A47"/>
    <w:rsid w:val="00984B96"/>
    <w:rsid w:val="009854B2"/>
    <w:rsid w:val="00985530"/>
    <w:rsid w:val="00986556"/>
    <w:rsid w:val="009900A4"/>
    <w:rsid w:val="0099044A"/>
    <w:rsid w:val="00990E60"/>
    <w:rsid w:val="00991DAB"/>
    <w:rsid w:val="0099557B"/>
    <w:rsid w:val="00995E6F"/>
    <w:rsid w:val="009969F4"/>
    <w:rsid w:val="00996D7B"/>
    <w:rsid w:val="0099754C"/>
    <w:rsid w:val="009A00DC"/>
    <w:rsid w:val="009A0CA2"/>
    <w:rsid w:val="009A4E1C"/>
    <w:rsid w:val="009A6500"/>
    <w:rsid w:val="009A659C"/>
    <w:rsid w:val="009A76FE"/>
    <w:rsid w:val="009B250F"/>
    <w:rsid w:val="009B2C3C"/>
    <w:rsid w:val="009B420F"/>
    <w:rsid w:val="009B48B9"/>
    <w:rsid w:val="009B572C"/>
    <w:rsid w:val="009B6663"/>
    <w:rsid w:val="009B6A34"/>
    <w:rsid w:val="009C0FA1"/>
    <w:rsid w:val="009C7826"/>
    <w:rsid w:val="009D052F"/>
    <w:rsid w:val="009D0549"/>
    <w:rsid w:val="009D07F3"/>
    <w:rsid w:val="009D164C"/>
    <w:rsid w:val="009D31A8"/>
    <w:rsid w:val="009D475E"/>
    <w:rsid w:val="009D47F1"/>
    <w:rsid w:val="009D6E34"/>
    <w:rsid w:val="009D748A"/>
    <w:rsid w:val="009D779D"/>
    <w:rsid w:val="009D7E33"/>
    <w:rsid w:val="009E104D"/>
    <w:rsid w:val="009E35E8"/>
    <w:rsid w:val="009E3C33"/>
    <w:rsid w:val="009E3F34"/>
    <w:rsid w:val="009E4843"/>
    <w:rsid w:val="009F0418"/>
    <w:rsid w:val="009F270A"/>
    <w:rsid w:val="009F28EA"/>
    <w:rsid w:val="009F38C3"/>
    <w:rsid w:val="009F7284"/>
    <w:rsid w:val="00A01885"/>
    <w:rsid w:val="00A01BFF"/>
    <w:rsid w:val="00A06323"/>
    <w:rsid w:val="00A07BD6"/>
    <w:rsid w:val="00A100F7"/>
    <w:rsid w:val="00A11E54"/>
    <w:rsid w:val="00A12B2D"/>
    <w:rsid w:val="00A12B80"/>
    <w:rsid w:val="00A13511"/>
    <w:rsid w:val="00A1601F"/>
    <w:rsid w:val="00A16B37"/>
    <w:rsid w:val="00A178F1"/>
    <w:rsid w:val="00A17A88"/>
    <w:rsid w:val="00A2256F"/>
    <w:rsid w:val="00A2332C"/>
    <w:rsid w:val="00A24E17"/>
    <w:rsid w:val="00A26082"/>
    <w:rsid w:val="00A27F39"/>
    <w:rsid w:val="00A30B11"/>
    <w:rsid w:val="00A30F93"/>
    <w:rsid w:val="00A320F2"/>
    <w:rsid w:val="00A332BB"/>
    <w:rsid w:val="00A334F2"/>
    <w:rsid w:val="00A36554"/>
    <w:rsid w:val="00A40D95"/>
    <w:rsid w:val="00A45AD9"/>
    <w:rsid w:val="00A471B2"/>
    <w:rsid w:val="00A47F1A"/>
    <w:rsid w:val="00A50D66"/>
    <w:rsid w:val="00A50F30"/>
    <w:rsid w:val="00A532D3"/>
    <w:rsid w:val="00A548B9"/>
    <w:rsid w:val="00A57507"/>
    <w:rsid w:val="00A60348"/>
    <w:rsid w:val="00A625ED"/>
    <w:rsid w:val="00A63131"/>
    <w:rsid w:val="00A63266"/>
    <w:rsid w:val="00A63EE6"/>
    <w:rsid w:val="00A6507B"/>
    <w:rsid w:val="00A70566"/>
    <w:rsid w:val="00A7302B"/>
    <w:rsid w:val="00A744C2"/>
    <w:rsid w:val="00A752C8"/>
    <w:rsid w:val="00A76A68"/>
    <w:rsid w:val="00A83110"/>
    <w:rsid w:val="00A83404"/>
    <w:rsid w:val="00A861A1"/>
    <w:rsid w:val="00A8784E"/>
    <w:rsid w:val="00A9417C"/>
    <w:rsid w:val="00A9428C"/>
    <w:rsid w:val="00A9503A"/>
    <w:rsid w:val="00A97260"/>
    <w:rsid w:val="00AA0097"/>
    <w:rsid w:val="00AA021A"/>
    <w:rsid w:val="00AA0CA3"/>
    <w:rsid w:val="00AA2C65"/>
    <w:rsid w:val="00AA2DDD"/>
    <w:rsid w:val="00AA2F23"/>
    <w:rsid w:val="00AA3AD7"/>
    <w:rsid w:val="00AA55D0"/>
    <w:rsid w:val="00AA596D"/>
    <w:rsid w:val="00AA5D79"/>
    <w:rsid w:val="00AA76F0"/>
    <w:rsid w:val="00AB134E"/>
    <w:rsid w:val="00AB1E15"/>
    <w:rsid w:val="00AB2428"/>
    <w:rsid w:val="00AB630E"/>
    <w:rsid w:val="00AB641C"/>
    <w:rsid w:val="00AC2657"/>
    <w:rsid w:val="00AC3B5B"/>
    <w:rsid w:val="00AC4DDB"/>
    <w:rsid w:val="00AC5729"/>
    <w:rsid w:val="00AC6053"/>
    <w:rsid w:val="00AD3694"/>
    <w:rsid w:val="00AD77A6"/>
    <w:rsid w:val="00AE0F92"/>
    <w:rsid w:val="00AE28AF"/>
    <w:rsid w:val="00AE329F"/>
    <w:rsid w:val="00AE4176"/>
    <w:rsid w:val="00AE488A"/>
    <w:rsid w:val="00AE4F37"/>
    <w:rsid w:val="00AE5649"/>
    <w:rsid w:val="00AE6163"/>
    <w:rsid w:val="00AE6961"/>
    <w:rsid w:val="00AF087A"/>
    <w:rsid w:val="00AF46F6"/>
    <w:rsid w:val="00AF646E"/>
    <w:rsid w:val="00AF7FF6"/>
    <w:rsid w:val="00B00D09"/>
    <w:rsid w:val="00B00E1D"/>
    <w:rsid w:val="00B00EDB"/>
    <w:rsid w:val="00B03D15"/>
    <w:rsid w:val="00B06E46"/>
    <w:rsid w:val="00B07183"/>
    <w:rsid w:val="00B10D4B"/>
    <w:rsid w:val="00B128ED"/>
    <w:rsid w:val="00B13C76"/>
    <w:rsid w:val="00B17615"/>
    <w:rsid w:val="00B20335"/>
    <w:rsid w:val="00B20940"/>
    <w:rsid w:val="00B22C6A"/>
    <w:rsid w:val="00B22E33"/>
    <w:rsid w:val="00B2344B"/>
    <w:rsid w:val="00B2371C"/>
    <w:rsid w:val="00B23945"/>
    <w:rsid w:val="00B26FFC"/>
    <w:rsid w:val="00B3300F"/>
    <w:rsid w:val="00B33AF6"/>
    <w:rsid w:val="00B33C2C"/>
    <w:rsid w:val="00B36A6A"/>
    <w:rsid w:val="00B377BE"/>
    <w:rsid w:val="00B41170"/>
    <w:rsid w:val="00B4124B"/>
    <w:rsid w:val="00B414E6"/>
    <w:rsid w:val="00B419E6"/>
    <w:rsid w:val="00B41B58"/>
    <w:rsid w:val="00B42C01"/>
    <w:rsid w:val="00B42F1B"/>
    <w:rsid w:val="00B44C51"/>
    <w:rsid w:val="00B472BE"/>
    <w:rsid w:val="00B50253"/>
    <w:rsid w:val="00B515DA"/>
    <w:rsid w:val="00B51A5A"/>
    <w:rsid w:val="00B520D7"/>
    <w:rsid w:val="00B5296A"/>
    <w:rsid w:val="00B53037"/>
    <w:rsid w:val="00B54AC9"/>
    <w:rsid w:val="00B54C5B"/>
    <w:rsid w:val="00B5574F"/>
    <w:rsid w:val="00B5687D"/>
    <w:rsid w:val="00B56D17"/>
    <w:rsid w:val="00B56E68"/>
    <w:rsid w:val="00B579ED"/>
    <w:rsid w:val="00B61EC5"/>
    <w:rsid w:val="00B6598C"/>
    <w:rsid w:val="00B66D0B"/>
    <w:rsid w:val="00B66DC1"/>
    <w:rsid w:val="00B678EE"/>
    <w:rsid w:val="00B67E3C"/>
    <w:rsid w:val="00B70385"/>
    <w:rsid w:val="00B70B0D"/>
    <w:rsid w:val="00B715EE"/>
    <w:rsid w:val="00B72D69"/>
    <w:rsid w:val="00B80391"/>
    <w:rsid w:val="00B80C5F"/>
    <w:rsid w:val="00B812A4"/>
    <w:rsid w:val="00B81D84"/>
    <w:rsid w:val="00B8278E"/>
    <w:rsid w:val="00B828C0"/>
    <w:rsid w:val="00B82A78"/>
    <w:rsid w:val="00B83D16"/>
    <w:rsid w:val="00B84EA5"/>
    <w:rsid w:val="00B84F5A"/>
    <w:rsid w:val="00B86523"/>
    <w:rsid w:val="00B90156"/>
    <w:rsid w:val="00B901D8"/>
    <w:rsid w:val="00B90C36"/>
    <w:rsid w:val="00B92ED0"/>
    <w:rsid w:val="00B93005"/>
    <w:rsid w:val="00B93341"/>
    <w:rsid w:val="00B94C6E"/>
    <w:rsid w:val="00B958E6"/>
    <w:rsid w:val="00B95D7F"/>
    <w:rsid w:val="00B965FC"/>
    <w:rsid w:val="00B97612"/>
    <w:rsid w:val="00BA0487"/>
    <w:rsid w:val="00BA0E91"/>
    <w:rsid w:val="00BA1D17"/>
    <w:rsid w:val="00BA1E7D"/>
    <w:rsid w:val="00BA28F0"/>
    <w:rsid w:val="00BA2FCF"/>
    <w:rsid w:val="00BA3833"/>
    <w:rsid w:val="00BA434C"/>
    <w:rsid w:val="00BA647F"/>
    <w:rsid w:val="00BA7743"/>
    <w:rsid w:val="00BB2967"/>
    <w:rsid w:val="00BB3B96"/>
    <w:rsid w:val="00BC0679"/>
    <w:rsid w:val="00BC176E"/>
    <w:rsid w:val="00BC1C61"/>
    <w:rsid w:val="00BC2CE8"/>
    <w:rsid w:val="00BC32D9"/>
    <w:rsid w:val="00BC3B9A"/>
    <w:rsid w:val="00BC4D4E"/>
    <w:rsid w:val="00BC6E6A"/>
    <w:rsid w:val="00BD17D6"/>
    <w:rsid w:val="00BD33B4"/>
    <w:rsid w:val="00BD4513"/>
    <w:rsid w:val="00BD47F9"/>
    <w:rsid w:val="00BD7AB3"/>
    <w:rsid w:val="00BE0E27"/>
    <w:rsid w:val="00BE1A54"/>
    <w:rsid w:val="00BE36F9"/>
    <w:rsid w:val="00BE5B70"/>
    <w:rsid w:val="00BE6129"/>
    <w:rsid w:val="00BE6D7D"/>
    <w:rsid w:val="00BF00E1"/>
    <w:rsid w:val="00BF1B1F"/>
    <w:rsid w:val="00BF4138"/>
    <w:rsid w:val="00BF4AF0"/>
    <w:rsid w:val="00BF50BE"/>
    <w:rsid w:val="00BF78B6"/>
    <w:rsid w:val="00C005EB"/>
    <w:rsid w:val="00C00798"/>
    <w:rsid w:val="00C0140E"/>
    <w:rsid w:val="00C0362F"/>
    <w:rsid w:val="00C03BAA"/>
    <w:rsid w:val="00C06674"/>
    <w:rsid w:val="00C06B89"/>
    <w:rsid w:val="00C071F2"/>
    <w:rsid w:val="00C077A5"/>
    <w:rsid w:val="00C07869"/>
    <w:rsid w:val="00C1025B"/>
    <w:rsid w:val="00C109EE"/>
    <w:rsid w:val="00C10C2C"/>
    <w:rsid w:val="00C15E41"/>
    <w:rsid w:val="00C16DDE"/>
    <w:rsid w:val="00C2154C"/>
    <w:rsid w:val="00C22C05"/>
    <w:rsid w:val="00C2311C"/>
    <w:rsid w:val="00C245A6"/>
    <w:rsid w:val="00C26529"/>
    <w:rsid w:val="00C268F1"/>
    <w:rsid w:val="00C27F26"/>
    <w:rsid w:val="00C32238"/>
    <w:rsid w:val="00C32AE7"/>
    <w:rsid w:val="00C33ED4"/>
    <w:rsid w:val="00C34D34"/>
    <w:rsid w:val="00C379FE"/>
    <w:rsid w:val="00C43757"/>
    <w:rsid w:val="00C44045"/>
    <w:rsid w:val="00C44379"/>
    <w:rsid w:val="00C452E6"/>
    <w:rsid w:val="00C45608"/>
    <w:rsid w:val="00C5002C"/>
    <w:rsid w:val="00C52506"/>
    <w:rsid w:val="00C52687"/>
    <w:rsid w:val="00C53254"/>
    <w:rsid w:val="00C53928"/>
    <w:rsid w:val="00C60125"/>
    <w:rsid w:val="00C63A03"/>
    <w:rsid w:val="00C65D9C"/>
    <w:rsid w:val="00C6615D"/>
    <w:rsid w:val="00C70163"/>
    <w:rsid w:val="00C702FC"/>
    <w:rsid w:val="00C70605"/>
    <w:rsid w:val="00C70B40"/>
    <w:rsid w:val="00C72230"/>
    <w:rsid w:val="00C7268A"/>
    <w:rsid w:val="00C727E5"/>
    <w:rsid w:val="00C734D7"/>
    <w:rsid w:val="00C7431E"/>
    <w:rsid w:val="00C750AA"/>
    <w:rsid w:val="00C75F07"/>
    <w:rsid w:val="00C771B4"/>
    <w:rsid w:val="00C77553"/>
    <w:rsid w:val="00C77646"/>
    <w:rsid w:val="00C77DDA"/>
    <w:rsid w:val="00C8226A"/>
    <w:rsid w:val="00C822F8"/>
    <w:rsid w:val="00C82A33"/>
    <w:rsid w:val="00C82EB3"/>
    <w:rsid w:val="00C83960"/>
    <w:rsid w:val="00C8501E"/>
    <w:rsid w:val="00C85FF8"/>
    <w:rsid w:val="00C87078"/>
    <w:rsid w:val="00C8725D"/>
    <w:rsid w:val="00C87659"/>
    <w:rsid w:val="00C91749"/>
    <w:rsid w:val="00C94111"/>
    <w:rsid w:val="00C94F4F"/>
    <w:rsid w:val="00C96D0C"/>
    <w:rsid w:val="00CA169A"/>
    <w:rsid w:val="00CA41DD"/>
    <w:rsid w:val="00CA4E82"/>
    <w:rsid w:val="00CA51B9"/>
    <w:rsid w:val="00CA6FD7"/>
    <w:rsid w:val="00CA755F"/>
    <w:rsid w:val="00CB221F"/>
    <w:rsid w:val="00CB2C29"/>
    <w:rsid w:val="00CB3C7A"/>
    <w:rsid w:val="00CB413C"/>
    <w:rsid w:val="00CB59B5"/>
    <w:rsid w:val="00CB76E6"/>
    <w:rsid w:val="00CC23C6"/>
    <w:rsid w:val="00CC23CE"/>
    <w:rsid w:val="00CC37D6"/>
    <w:rsid w:val="00CC5DEF"/>
    <w:rsid w:val="00CC7007"/>
    <w:rsid w:val="00CD0B9E"/>
    <w:rsid w:val="00CD0BA4"/>
    <w:rsid w:val="00CD2367"/>
    <w:rsid w:val="00CD3D41"/>
    <w:rsid w:val="00CD44B9"/>
    <w:rsid w:val="00CD47D3"/>
    <w:rsid w:val="00CD6853"/>
    <w:rsid w:val="00CE0CFB"/>
    <w:rsid w:val="00CE4C1A"/>
    <w:rsid w:val="00CE4EB1"/>
    <w:rsid w:val="00CE5F28"/>
    <w:rsid w:val="00CE79E3"/>
    <w:rsid w:val="00CF2020"/>
    <w:rsid w:val="00CF47B6"/>
    <w:rsid w:val="00CF4958"/>
    <w:rsid w:val="00CF620C"/>
    <w:rsid w:val="00CF67E3"/>
    <w:rsid w:val="00D00A76"/>
    <w:rsid w:val="00D01DCF"/>
    <w:rsid w:val="00D027D5"/>
    <w:rsid w:val="00D06D63"/>
    <w:rsid w:val="00D0797B"/>
    <w:rsid w:val="00D1244D"/>
    <w:rsid w:val="00D13924"/>
    <w:rsid w:val="00D176C6"/>
    <w:rsid w:val="00D17FC1"/>
    <w:rsid w:val="00D20C7C"/>
    <w:rsid w:val="00D20CDC"/>
    <w:rsid w:val="00D24982"/>
    <w:rsid w:val="00D24D3E"/>
    <w:rsid w:val="00D250F0"/>
    <w:rsid w:val="00D2796E"/>
    <w:rsid w:val="00D27E89"/>
    <w:rsid w:val="00D3029E"/>
    <w:rsid w:val="00D30782"/>
    <w:rsid w:val="00D325ED"/>
    <w:rsid w:val="00D328B0"/>
    <w:rsid w:val="00D3308A"/>
    <w:rsid w:val="00D33D47"/>
    <w:rsid w:val="00D358FB"/>
    <w:rsid w:val="00D37C42"/>
    <w:rsid w:val="00D40761"/>
    <w:rsid w:val="00D42094"/>
    <w:rsid w:val="00D43B96"/>
    <w:rsid w:val="00D44A9D"/>
    <w:rsid w:val="00D45386"/>
    <w:rsid w:val="00D4682B"/>
    <w:rsid w:val="00D505DD"/>
    <w:rsid w:val="00D50B05"/>
    <w:rsid w:val="00D51D49"/>
    <w:rsid w:val="00D51EC1"/>
    <w:rsid w:val="00D51F55"/>
    <w:rsid w:val="00D548F3"/>
    <w:rsid w:val="00D55B25"/>
    <w:rsid w:val="00D57CEF"/>
    <w:rsid w:val="00D6042F"/>
    <w:rsid w:val="00D62732"/>
    <w:rsid w:val="00D664A2"/>
    <w:rsid w:val="00D67816"/>
    <w:rsid w:val="00D716B9"/>
    <w:rsid w:val="00D72765"/>
    <w:rsid w:val="00D765B7"/>
    <w:rsid w:val="00D768E4"/>
    <w:rsid w:val="00D80640"/>
    <w:rsid w:val="00D83603"/>
    <w:rsid w:val="00D86247"/>
    <w:rsid w:val="00D86AAC"/>
    <w:rsid w:val="00D9034B"/>
    <w:rsid w:val="00D906B4"/>
    <w:rsid w:val="00D91DBC"/>
    <w:rsid w:val="00D91F1F"/>
    <w:rsid w:val="00D93495"/>
    <w:rsid w:val="00D93867"/>
    <w:rsid w:val="00D96D3F"/>
    <w:rsid w:val="00DA0C21"/>
    <w:rsid w:val="00DA2A34"/>
    <w:rsid w:val="00DA540C"/>
    <w:rsid w:val="00DA617E"/>
    <w:rsid w:val="00DB1436"/>
    <w:rsid w:val="00DB281A"/>
    <w:rsid w:val="00DB4F9D"/>
    <w:rsid w:val="00DB5998"/>
    <w:rsid w:val="00DB65AC"/>
    <w:rsid w:val="00DB6994"/>
    <w:rsid w:val="00DC2F29"/>
    <w:rsid w:val="00DC2F36"/>
    <w:rsid w:val="00DC319A"/>
    <w:rsid w:val="00DC42D8"/>
    <w:rsid w:val="00DC46AE"/>
    <w:rsid w:val="00DC5FEF"/>
    <w:rsid w:val="00DC6ABF"/>
    <w:rsid w:val="00DC7B8B"/>
    <w:rsid w:val="00DD0495"/>
    <w:rsid w:val="00DD062F"/>
    <w:rsid w:val="00DD11AB"/>
    <w:rsid w:val="00DD2563"/>
    <w:rsid w:val="00DD31A7"/>
    <w:rsid w:val="00DD47EB"/>
    <w:rsid w:val="00DD4D2D"/>
    <w:rsid w:val="00DE2969"/>
    <w:rsid w:val="00DE3407"/>
    <w:rsid w:val="00DE3B0F"/>
    <w:rsid w:val="00DE4625"/>
    <w:rsid w:val="00DE653B"/>
    <w:rsid w:val="00DE65A9"/>
    <w:rsid w:val="00DE752A"/>
    <w:rsid w:val="00DE7702"/>
    <w:rsid w:val="00DE7BA0"/>
    <w:rsid w:val="00DE7D34"/>
    <w:rsid w:val="00DF14E5"/>
    <w:rsid w:val="00DF4887"/>
    <w:rsid w:val="00DF5AF3"/>
    <w:rsid w:val="00DF6E51"/>
    <w:rsid w:val="00DF791C"/>
    <w:rsid w:val="00E016A1"/>
    <w:rsid w:val="00E0174A"/>
    <w:rsid w:val="00E03A71"/>
    <w:rsid w:val="00E114E9"/>
    <w:rsid w:val="00E13DB4"/>
    <w:rsid w:val="00E14AD4"/>
    <w:rsid w:val="00E159AC"/>
    <w:rsid w:val="00E162EC"/>
    <w:rsid w:val="00E1740F"/>
    <w:rsid w:val="00E2132E"/>
    <w:rsid w:val="00E21B6C"/>
    <w:rsid w:val="00E21FAB"/>
    <w:rsid w:val="00E22B65"/>
    <w:rsid w:val="00E241F6"/>
    <w:rsid w:val="00E24635"/>
    <w:rsid w:val="00E25ED8"/>
    <w:rsid w:val="00E26D6A"/>
    <w:rsid w:val="00E3060F"/>
    <w:rsid w:val="00E312C5"/>
    <w:rsid w:val="00E32123"/>
    <w:rsid w:val="00E34534"/>
    <w:rsid w:val="00E40DDD"/>
    <w:rsid w:val="00E4142D"/>
    <w:rsid w:val="00E440ED"/>
    <w:rsid w:val="00E44574"/>
    <w:rsid w:val="00E50738"/>
    <w:rsid w:val="00E5130B"/>
    <w:rsid w:val="00E513DD"/>
    <w:rsid w:val="00E521E4"/>
    <w:rsid w:val="00E528B4"/>
    <w:rsid w:val="00E52C27"/>
    <w:rsid w:val="00E5423F"/>
    <w:rsid w:val="00E54337"/>
    <w:rsid w:val="00E55409"/>
    <w:rsid w:val="00E55E11"/>
    <w:rsid w:val="00E567A3"/>
    <w:rsid w:val="00E60CC3"/>
    <w:rsid w:val="00E611FE"/>
    <w:rsid w:val="00E61C9C"/>
    <w:rsid w:val="00E62447"/>
    <w:rsid w:val="00E625AE"/>
    <w:rsid w:val="00E651E9"/>
    <w:rsid w:val="00E65740"/>
    <w:rsid w:val="00E705CB"/>
    <w:rsid w:val="00E70FF1"/>
    <w:rsid w:val="00E71771"/>
    <w:rsid w:val="00E71A2A"/>
    <w:rsid w:val="00E72E55"/>
    <w:rsid w:val="00E7451A"/>
    <w:rsid w:val="00E75030"/>
    <w:rsid w:val="00E77B53"/>
    <w:rsid w:val="00E80392"/>
    <w:rsid w:val="00E813C5"/>
    <w:rsid w:val="00E82576"/>
    <w:rsid w:val="00E82A70"/>
    <w:rsid w:val="00E82E04"/>
    <w:rsid w:val="00E82FB4"/>
    <w:rsid w:val="00E84A2B"/>
    <w:rsid w:val="00E84C8A"/>
    <w:rsid w:val="00E85B28"/>
    <w:rsid w:val="00E85BF0"/>
    <w:rsid w:val="00E85DFC"/>
    <w:rsid w:val="00E860D4"/>
    <w:rsid w:val="00E90326"/>
    <w:rsid w:val="00E90FF8"/>
    <w:rsid w:val="00E91F8A"/>
    <w:rsid w:val="00E92A30"/>
    <w:rsid w:val="00E95673"/>
    <w:rsid w:val="00E9619A"/>
    <w:rsid w:val="00EA0A50"/>
    <w:rsid w:val="00EA39CD"/>
    <w:rsid w:val="00EA39EA"/>
    <w:rsid w:val="00EA6AD9"/>
    <w:rsid w:val="00EB08BE"/>
    <w:rsid w:val="00EB159A"/>
    <w:rsid w:val="00EB3506"/>
    <w:rsid w:val="00EB3EBA"/>
    <w:rsid w:val="00EB64ED"/>
    <w:rsid w:val="00EB7DFC"/>
    <w:rsid w:val="00EC2628"/>
    <w:rsid w:val="00EC345D"/>
    <w:rsid w:val="00EC3CF6"/>
    <w:rsid w:val="00EC677C"/>
    <w:rsid w:val="00EC6B42"/>
    <w:rsid w:val="00EC6EDA"/>
    <w:rsid w:val="00ED069C"/>
    <w:rsid w:val="00ED0A5F"/>
    <w:rsid w:val="00ED0F03"/>
    <w:rsid w:val="00ED1C4A"/>
    <w:rsid w:val="00ED2126"/>
    <w:rsid w:val="00ED4253"/>
    <w:rsid w:val="00ED500D"/>
    <w:rsid w:val="00ED6CFB"/>
    <w:rsid w:val="00ED70D0"/>
    <w:rsid w:val="00EE1F66"/>
    <w:rsid w:val="00EE5802"/>
    <w:rsid w:val="00EE5FD1"/>
    <w:rsid w:val="00EF01F4"/>
    <w:rsid w:val="00EF05D7"/>
    <w:rsid w:val="00EF11EE"/>
    <w:rsid w:val="00EF15A5"/>
    <w:rsid w:val="00EF59D2"/>
    <w:rsid w:val="00EF5FBD"/>
    <w:rsid w:val="00EF620D"/>
    <w:rsid w:val="00EF6952"/>
    <w:rsid w:val="00F019F6"/>
    <w:rsid w:val="00F029FB"/>
    <w:rsid w:val="00F044AA"/>
    <w:rsid w:val="00F0502C"/>
    <w:rsid w:val="00F062C1"/>
    <w:rsid w:val="00F06875"/>
    <w:rsid w:val="00F06F1C"/>
    <w:rsid w:val="00F07578"/>
    <w:rsid w:val="00F1065F"/>
    <w:rsid w:val="00F10C3A"/>
    <w:rsid w:val="00F11577"/>
    <w:rsid w:val="00F12C4F"/>
    <w:rsid w:val="00F12C9B"/>
    <w:rsid w:val="00F13E87"/>
    <w:rsid w:val="00F1421C"/>
    <w:rsid w:val="00F22CD6"/>
    <w:rsid w:val="00F238AA"/>
    <w:rsid w:val="00F25C3B"/>
    <w:rsid w:val="00F265F4"/>
    <w:rsid w:val="00F27440"/>
    <w:rsid w:val="00F32FD6"/>
    <w:rsid w:val="00F3351C"/>
    <w:rsid w:val="00F337EF"/>
    <w:rsid w:val="00F34A89"/>
    <w:rsid w:val="00F35A0B"/>
    <w:rsid w:val="00F3660A"/>
    <w:rsid w:val="00F36C4C"/>
    <w:rsid w:val="00F408AA"/>
    <w:rsid w:val="00F41D7C"/>
    <w:rsid w:val="00F46A6F"/>
    <w:rsid w:val="00F5059D"/>
    <w:rsid w:val="00F51C11"/>
    <w:rsid w:val="00F52A46"/>
    <w:rsid w:val="00F53A7C"/>
    <w:rsid w:val="00F54216"/>
    <w:rsid w:val="00F5560B"/>
    <w:rsid w:val="00F55C0A"/>
    <w:rsid w:val="00F56560"/>
    <w:rsid w:val="00F565C1"/>
    <w:rsid w:val="00F608D4"/>
    <w:rsid w:val="00F60CDC"/>
    <w:rsid w:val="00F64BE0"/>
    <w:rsid w:val="00F6655B"/>
    <w:rsid w:val="00F704BA"/>
    <w:rsid w:val="00F72581"/>
    <w:rsid w:val="00F73AF9"/>
    <w:rsid w:val="00F762AA"/>
    <w:rsid w:val="00F7670C"/>
    <w:rsid w:val="00F77938"/>
    <w:rsid w:val="00F80FF5"/>
    <w:rsid w:val="00F81E8A"/>
    <w:rsid w:val="00F823C3"/>
    <w:rsid w:val="00F83FF5"/>
    <w:rsid w:val="00F85143"/>
    <w:rsid w:val="00F853D4"/>
    <w:rsid w:val="00F86C40"/>
    <w:rsid w:val="00F86D5A"/>
    <w:rsid w:val="00F90E82"/>
    <w:rsid w:val="00F92C76"/>
    <w:rsid w:val="00F96130"/>
    <w:rsid w:val="00FA0FF8"/>
    <w:rsid w:val="00FA1AB2"/>
    <w:rsid w:val="00FA1D78"/>
    <w:rsid w:val="00FA26A4"/>
    <w:rsid w:val="00FA27C9"/>
    <w:rsid w:val="00FA2DEA"/>
    <w:rsid w:val="00FA4782"/>
    <w:rsid w:val="00FA51D5"/>
    <w:rsid w:val="00FA6275"/>
    <w:rsid w:val="00FB02AA"/>
    <w:rsid w:val="00FB0B29"/>
    <w:rsid w:val="00FB1099"/>
    <w:rsid w:val="00FB2F32"/>
    <w:rsid w:val="00FB3A1B"/>
    <w:rsid w:val="00FB3FC6"/>
    <w:rsid w:val="00FB4350"/>
    <w:rsid w:val="00FB56C0"/>
    <w:rsid w:val="00FC08BD"/>
    <w:rsid w:val="00FC11F6"/>
    <w:rsid w:val="00FC2D28"/>
    <w:rsid w:val="00FC490C"/>
    <w:rsid w:val="00FC5284"/>
    <w:rsid w:val="00FC7310"/>
    <w:rsid w:val="00FD1B65"/>
    <w:rsid w:val="00FD4C47"/>
    <w:rsid w:val="00FD6C84"/>
    <w:rsid w:val="00FD7247"/>
    <w:rsid w:val="00FD7631"/>
    <w:rsid w:val="00FD7874"/>
    <w:rsid w:val="00FE0B18"/>
    <w:rsid w:val="00FE338C"/>
    <w:rsid w:val="00FE3A3C"/>
    <w:rsid w:val="00FE4051"/>
    <w:rsid w:val="00FE58BE"/>
    <w:rsid w:val="00FE6303"/>
    <w:rsid w:val="00FE6479"/>
    <w:rsid w:val="00FE6E92"/>
    <w:rsid w:val="00FF0311"/>
    <w:rsid w:val="00FF043E"/>
    <w:rsid w:val="00FF167F"/>
    <w:rsid w:val="00FF3D96"/>
    <w:rsid w:val="00FF6600"/>
    <w:rsid w:val="036864C8"/>
    <w:rsid w:val="036D48F3"/>
    <w:rsid w:val="069176A1"/>
    <w:rsid w:val="09067F2D"/>
    <w:rsid w:val="09793AC7"/>
    <w:rsid w:val="0B9409B1"/>
    <w:rsid w:val="0D076256"/>
    <w:rsid w:val="0F7C2972"/>
    <w:rsid w:val="100E0D6F"/>
    <w:rsid w:val="10386D7F"/>
    <w:rsid w:val="11B0432B"/>
    <w:rsid w:val="12924737"/>
    <w:rsid w:val="13D52405"/>
    <w:rsid w:val="15A50EA9"/>
    <w:rsid w:val="162F6FF9"/>
    <w:rsid w:val="1681621E"/>
    <w:rsid w:val="16955D73"/>
    <w:rsid w:val="170F0035"/>
    <w:rsid w:val="1947098C"/>
    <w:rsid w:val="19E06FAE"/>
    <w:rsid w:val="1C0450E2"/>
    <w:rsid w:val="1D68254E"/>
    <w:rsid w:val="1E1F6129"/>
    <w:rsid w:val="1E396738"/>
    <w:rsid w:val="20562E5D"/>
    <w:rsid w:val="20E94C1F"/>
    <w:rsid w:val="21D06D09"/>
    <w:rsid w:val="23BF440E"/>
    <w:rsid w:val="247B354B"/>
    <w:rsid w:val="24EB795F"/>
    <w:rsid w:val="27CB66E9"/>
    <w:rsid w:val="27DD4590"/>
    <w:rsid w:val="28A3392B"/>
    <w:rsid w:val="28CE4CFE"/>
    <w:rsid w:val="2A2C0347"/>
    <w:rsid w:val="2A801E90"/>
    <w:rsid w:val="2AB63926"/>
    <w:rsid w:val="2B1B3D3E"/>
    <w:rsid w:val="2C01075F"/>
    <w:rsid w:val="2C613EC8"/>
    <w:rsid w:val="2CA068D2"/>
    <w:rsid w:val="2D856DA0"/>
    <w:rsid w:val="2FE231B2"/>
    <w:rsid w:val="30DF32D3"/>
    <w:rsid w:val="30E8587C"/>
    <w:rsid w:val="30FC3800"/>
    <w:rsid w:val="33AD1FE3"/>
    <w:rsid w:val="34D406B3"/>
    <w:rsid w:val="359E1B23"/>
    <w:rsid w:val="35B60FA1"/>
    <w:rsid w:val="370E7512"/>
    <w:rsid w:val="38262B85"/>
    <w:rsid w:val="383C16DA"/>
    <w:rsid w:val="38BF1111"/>
    <w:rsid w:val="39087639"/>
    <w:rsid w:val="3938680C"/>
    <w:rsid w:val="3A2024D5"/>
    <w:rsid w:val="3AB06D74"/>
    <w:rsid w:val="3D4E368C"/>
    <w:rsid w:val="3D705C3A"/>
    <w:rsid w:val="3DE25855"/>
    <w:rsid w:val="3E862008"/>
    <w:rsid w:val="3F3B1A32"/>
    <w:rsid w:val="3F6960A9"/>
    <w:rsid w:val="3FB54775"/>
    <w:rsid w:val="3FE32A09"/>
    <w:rsid w:val="421E7C90"/>
    <w:rsid w:val="438F4B50"/>
    <w:rsid w:val="43BD0405"/>
    <w:rsid w:val="45182D23"/>
    <w:rsid w:val="4542155A"/>
    <w:rsid w:val="46C23A9A"/>
    <w:rsid w:val="46D93440"/>
    <w:rsid w:val="47405EDD"/>
    <w:rsid w:val="480A5543"/>
    <w:rsid w:val="487572CB"/>
    <w:rsid w:val="4A6D4801"/>
    <w:rsid w:val="4BC6781D"/>
    <w:rsid w:val="4C2405D0"/>
    <w:rsid w:val="4C354697"/>
    <w:rsid w:val="4C4A6B47"/>
    <w:rsid w:val="4C941470"/>
    <w:rsid w:val="4D4E20BE"/>
    <w:rsid w:val="4EB5453D"/>
    <w:rsid w:val="4F841FCD"/>
    <w:rsid w:val="504B74B8"/>
    <w:rsid w:val="57C76421"/>
    <w:rsid w:val="582828B4"/>
    <w:rsid w:val="5A6D29F4"/>
    <w:rsid w:val="5B1A4972"/>
    <w:rsid w:val="5C204BCA"/>
    <w:rsid w:val="5C9D5986"/>
    <w:rsid w:val="5CC551DF"/>
    <w:rsid w:val="5DA60450"/>
    <w:rsid w:val="5E7634AB"/>
    <w:rsid w:val="5EDB3099"/>
    <w:rsid w:val="619C0234"/>
    <w:rsid w:val="633D1472"/>
    <w:rsid w:val="65AA1E84"/>
    <w:rsid w:val="661155B0"/>
    <w:rsid w:val="66B54A80"/>
    <w:rsid w:val="66F40552"/>
    <w:rsid w:val="68711BE7"/>
    <w:rsid w:val="68DD533C"/>
    <w:rsid w:val="69F130D4"/>
    <w:rsid w:val="6ABF279D"/>
    <w:rsid w:val="6AE50075"/>
    <w:rsid w:val="6C9501AF"/>
    <w:rsid w:val="6D8554E4"/>
    <w:rsid w:val="6EEF06F3"/>
    <w:rsid w:val="703F1887"/>
    <w:rsid w:val="706E531A"/>
    <w:rsid w:val="71D21C22"/>
    <w:rsid w:val="73045D7E"/>
    <w:rsid w:val="736B2908"/>
    <w:rsid w:val="738E1B24"/>
    <w:rsid w:val="73BA5F76"/>
    <w:rsid w:val="748F133C"/>
    <w:rsid w:val="75A67B64"/>
    <w:rsid w:val="75E86740"/>
    <w:rsid w:val="76C4152B"/>
    <w:rsid w:val="77A13442"/>
    <w:rsid w:val="79F5074A"/>
    <w:rsid w:val="7AA05350"/>
    <w:rsid w:val="7ACC329B"/>
    <w:rsid w:val="7C3D2745"/>
    <w:rsid w:val="7CD576FE"/>
    <w:rsid w:val="7EAF1371"/>
    <w:rsid w:val="7EDA53E9"/>
    <w:rsid w:val="7F8661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29"/>
    <w:qFormat/>
    <w:uiPriority w:val="0"/>
    <w:pPr>
      <w:keepNext/>
      <w:keepLines/>
      <w:spacing w:before="280" w:after="290" w:line="376" w:lineRule="auto"/>
      <w:outlineLvl w:val="3"/>
    </w:pPr>
    <w:rPr>
      <w:rFonts w:ascii="Arial" w:hAnsi="Arial" w:eastAsia="黑体" w:cs="仿宋_GB2312"/>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style>
  <w:style w:type="paragraph" w:styleId="5">
    <w:name w:val="Document Map"/>
    <w:basedOn w:val="1"/>
    <w:link w:val="28"/>
    <w:semiHidden/>
    <w:unhideWhenUsed/>
    <w:qFormat/>
    <w:uiPriority w:val="0"/>
    <w:rPr>
      <w:rFonts w:ascii="宋体"/>
      <w:sz w:val="18"/>
      <w:szCs w:val="18"/>
    </w:rPr>
  </w:style>
  <w:style w:type="paragraph" w:styleId="6">
    <w:name w:val="annotation text"/>
    <w:basedOn w:val="1"/>
    <w:link w:val="19"/>
    <w:qFormat/>
    <w:uiPriority w:val="0"/>
    <w:pPr>
      <w:jc w:val="left"/>
    </w:pPr>
  </w:style>
  <w:style w:type="paragraph" w:styleId="7">
    <w:name w:val="Body Text Indent"/>
    <w:basedOn w:val="1"/>
    <w:link w:val="18"/>
    <w:qFormat/>
    <w:uiPriority w:val="0"/>
    <w:pPr>
      <w:ind w:firstLine="640" w:firstLineChars="200"/>
    </w:pPr>
    <w:rPr>
      <w:rFonts w:eastAsia="仿宋_GB2312"/>
      <w:sz w:val="32"/>
    </w:rPr>
  </w:style>
  <w:style w:type="paragraph" w:styleId="8">
    <w:name w:val="Date"/>
    <w:basedOn w:val="1"/>
    <w:next w:val="1"/>
    <w:qFormat/>
    <w:uiPriority w:val="0"/>
    <w:pPr>
      <w:ind w:left="100" w:leftChars="2500"/>
    </w:pPr>
  </w:style>
  <w:style w:type="paragraph" w:styleId="9">
    <w:name w:val="Balloon Text"/>
    <w:basedOn w:val="1"/>
    <w:link w:val="26"/>
    <w:semiHidden/>
    <w:qFormat/>
    <w:uiPriority w:val="99"/>
    <w:rPr>
      <w:sz w:val="18"/>
      <w:szCs w:val="18"/>
    </w:rPr>
  </w:style>
  <w:style w:type="paragraph" w:styleId="10">
    <w:name w:val="footer"/>
    <w:basedOn w:val="1"/>
    <w:link w:val="2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annotation subject"/>
    <w:basedOn w:val="6"/>
    <w:next w:val="6"/>
    <w:link w:val="20"/>
    <w:qFormat/>
    <w:uiPriority w:val="0"/>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annotation reference"/>
    <w:qFormat/>
    <w:uiPriority w:val="0"/>
    <w:rPr>
      <w:sz w:val="21"/>
      <w:szCs w:val="21"/>
    </w:rPr>
  </w:style>
  <w:style w:type="character" w:customStyle="1" w:styleId="18">
    <w:name w:val="正文文本缩进 Char"/>
    <w:link w:val="7"/>
    <w:qFormat/>
    <w:locked/>
    <w:uiPriority w:val="0"/>
    <w:rPr>
      <w:rFonts w:eastAsia="仿宋_GB2312"/>
      <w:kern w:val="2"/>
      <w:sz w:val="32"/>
      <w:szCs w:val="24"/>
      <w:lang w:val="en-US" w:eastAsia="zh-CN" w:bidi="ar-SA"/>
    </w:rPr>
  </w:style>
  <w:style w:type="character" w:customStyle="1" w:styleId="19">
    <w:name w:val="批注文字 Char"/>
    <w:link w:val="6"/>
    <w:qFormat/>
    <w:uiPriority w:val="0"/>
    <w:rPr>
      <w:kern w:val="2"/>
      <w:sz w:val="21"/>
      <w:szCs w:val="24"/>
    </w:rPr>
  </w:style>
  <w:style w:type="character" w:customStyle="1" w:styleId="20">
    <w:name w:val="批注主题 Char"/>
    <w:link w:val="12"/>
    <w:qFormat/>
    <w:uiPriority w:val="0"/>
    <w:rPr>
      <w:b/>
      <w:bCs/>
      <w:kern w:val="2"/>
      <w:sz w:val="21"/>
      <w:szCs w:val="24"/>
    </w:rPr>
  </w:style>
  <w:style w:type="character" w:customStyle="1" w:styleId="21">
    <w:name w:val="页脚 Char"/>
    <w:link w:val="10"/>
    <w:qFormat/>
    <w:uiPriority w:val="0"/>
    <w:rPr>
      <w:kern w:val="2"/>
      <w:sz w:val="18"/>
      <w:szCs w:val="18"/>
    </w:rPr>
  </w:style>
  <w:style w:type="paragraph" w:customStyle="1" w:styleId="22">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styleId="23">
    <w:name w:val="List Paragraph"/>
    <w:basedOn w:val="1"/>
    <w:qFormat/>
    <w:uiPriority w:val="34"/>
    <w:pPr>
      <w:widowControl/>
      <w:spacing w:line="240" w:lineRule="atLeast"/>
      <w:ind w:firstLine="420" w:firstLineChars="200"/>
    </w:pPr>
    <w:rPr>
      <w:rFonts w:ascii="Arial" w:hAnsi="Arial"/>
      <w:kern w:val="0"/>
      <w:szCs w:val="21"/>
    </w:rPr>
  </w:style>
  <w:style w:type="paragraph" w:customStyle="1" w:styleId="24">
    <w:name w:val="列出段落2"/>
    <w:basedOn w:val="1"/>
    <w:qFormat/>
    <w:uiPriority w:val="99"/>
    <w:pPr>
      <w:widowControl/>
      <w:ind w:left="720" w:firstLine="360"/>
      <w:jc w:val="left"/>
    </w:pPr>
    <w:rPr>
      <w:rFonts w:ascii="Calibri" w:hAnsi="Calibri"/>
      <w:kern w:val="0"/>
      <w:sz w:val="22"/>
      <w:szCs w:val="20"/>
      <w:lang w:eastAsia="en-US"/>
    </w:rPr>
  </w:style>
  <w:style w:type="paragraph" w:customStyle="1" w:styleId="25">
    <w:name w:val="Char Char Char Char"/>
    <w:basedOn w:val="1"/>
    <w:qFormat/>
    <w:uiPriority w:val="0"/>
    <w:rPr>
      <w:rFonts w:ascii="Tahoma" w:hAnsi="Tahoma"/>
      <w:sz w:val="24"/>
      <w:szCs w:val="20"/>
    </w:rPr>
  </w:style>
  <w:style w:type="character" w:customStyle="1" w:styleId="26">
    <w:name w:val="批注框文本 Char"/>
    <w:link w:val="9"/>
    <w:semiHidden/>
    <w:qFormat/>
    <w:uiPriority w:val="99"/>
    <w:rPr>
      <w:kern w:val="2"/>
      <w:sz w:val="18"/>
      <w:szCs w:val="18"/>
    </w:rPr>
  </w:style>
  <w:style w:type="character" w:customStyle="1" w:styleId="27">
    <w:name w:val="标题 2 Char"/>
    <w:basedOn w:val="15"/>
    <w:link w:val="3"/>
    <w:qFormat/>
    <w:uiPriority w:val="9"/>
    <w:rPr>
      <w:rFonts w:asciiTheme="majorHAnsi" w:hAnsiTheme="majorHAnsi" w:eastAsiaTheme="majorEastAsia" w:cstheme="majorBidi"/>
      <w:b/>
      <w:bCs/>
      <w:kern w:val="2"/>
      <w:sz w:val="32"/>
      <w:szCs w:val="32"/>
    </w:rPr>
  </w:style>
  <w:style w:type="character" w:customStyle="1" w:styleId="28">
    <w:name w:val="文档结构图 Char"/>
    <w:basedOn w:val="15"/>
    <w:link w:val="5"/>
    <w:semiHidden/>
    <w:qFormat/>
    <w:uiPriority w:val="0"/>
    <w:rPr>
      <w:rFonts w:ascii="宋体"/>
      <w:kern w:val="2"/>
      <w:sz w:val="18"/>
      <w:szCs w:val="18"/>
    </w:rPr>
  </w:style>
  <w:style w:type="character" w:customStyle="1" w:styleId="29">
    <w:name w:val="标题 4 Char"/>
    <w:basedOn w:val="15"/>
    <w:link w:val="4"/>
    <w:qFormat/>
    <w:uiPriority w:val="0"/>
    <w:rPr>
      <w:rFonts w:ascii="Arial" w:hAnsi="Arial" w:eastAsia="黑体" w:cs="仿宋_GB2312"/>
      <w:b/>
      <w:bCs/>
      <w:kern w:val="2"/>
      <w:sz w:val="28"/>
      <w:szCs w:val="28"/>
    </w:rPr>
  </w:style>
  <w:style w:type="paragraph" w:customStyle="1" w:styleId="30">
    <w:name w:val="列出段落1"/>
    <w:basedOn w:val="1"/>
    <w:link w:val="31"/>
    <w:qFormat/>
    <w:uiPriority w:val="0"/>
    <w:pPr>
      <w:ind w:firstLine="420" w:firstLineChars="200"/>
    </w:pPr>
    <w:rPr>
      <w:kern w:val="0"/>
      <w:sz w:val="24"/>
    </w:rPr>
  </w:style>
  <w:style w:type="character" w:customStyle="1" w:styleId="31">
    <w:name w:val="List Paragraph Char"/>
    <w:link w:val="30"/>
    <w:qFormat/>
    <w:locked/>
    <w:uiPriority w:val="0"/>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D3003-74D8-468E-B311-C071C6BB843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1557</Words>
  <Characters>8879</Characters>
  <Lines>73</Lines>
  <Paragraphs>20</Paragraphs>
  <TotalTime>2</TotalTime>
  <ScaleCrop>false</ScaleCrop>
  <LinksUpToDate>false</LinksUpToDate>
  <CharactersWithSpaces>10416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2025-06-06T01:52:00Z</dcterms:created>
  <dc:creator>微软用户</dc:creator>
  <cp:lastModifiedBy>Administrator</cp:lastModifiedBy>
  <cp:lastPrinted>2025-06-06T02:24:00Z</cp:lastPrinted>
  <dcterms:modified xsi:type="dcterms:W3CDTF">2025-07-03T06:33:39Z</dcterms:modified>
  <dc:title>清仓查库试点方案</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eyJoZGlkIjoiZGYwMDRhZDcwOTA3ZDdjNDIyMjc4OTgzZDA3ZjcyZDkifQ==</vt:lpwstr>
  </property>
  <property fmtid="{D5CDD505-2E9C-101B-9397-08002B2CF9AE}" pid="4" name="ICV">
    <vt:lpwstr>7A2697D7BB28479194B0934A34DB4569_13</vt:lpwstr>
  </property>
</Properties>
</file>