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713F8">
      <w:pPr>
        <w:adjustRightInd w:val="0"/>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幼儿园室内户外玩具</w:t>
      </w:r>
      <w:r>
        <w:rPr>
          <w:rFonts w:hint="eastAsia" w:ascii="方正小标宋简体" w:hAnsi="宋体" w:eastAsia="方正小标宋简体"/>
          <w:sz w:val="44"/>
          <w:szCs w:val="44"/>
        </w:rPr>
        <w:t>采购项目</w:t>
      </w:r>
    </w:p>
    <w:p w14:paraId="611A5702">
      <w:pPr>
        <w:adjustRightInd w:val="0"/>
        <w:snapToGrid w:val="0"/>
        <w:spacing w:line="560" w:lineRule="exact"/>
        <w:jc w:val="center"/>
        <w:rPr>
          <w:rFonts w:hint="eastAsia" w:ascii="方正小标宋简体" w:hAnsi="宋体" w:eastAsia="方正小标宋简体"/>
          <w:sz w:val="44"/>
          <w:szCs w:val="44"/>
        </w:rPr>
      </w:pPr>
    </w:p>
    <w:p w14:paraId="0556187B">
      <w:pPr>
        <w:spacing w:line="560" w:lineRule="exact"/>
        <w:ind w:firstLine="630"/>
        <w:rPr>
          <w:rFonts w:ascii="黑体" w:hAnsi="黑体" w:eastAsia="黑体"/>
          <w:sz w:val="32"/>
          <w:szCs w:val="32"/>
        </w:rPr>
      </w:pPr>
      <w:r>
        <w:rPr>
          <w:rFonts w:hint="eastAsia" w:ascii="黑体" w:hAnsi="黑体" w:eastAsia="黑体"/>
          <w:sz w:val="32"/>
          <w:szCs w:val="32"/>
        </w:rPr>
        <w:t>一、采购项目基本情况</w:t>
      </w:r>
    </w:p>
    <w:p w14:paraId="324E5E0D">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因幼儿园户外活动器材数量较少且种类单一，不能满足幼儿日常锻炼，为了更好的促进幼儿全面发展、增强幼儿体制，幼儿园计划购置户外户外酷跑系列器材、室内益智玩具,</w:t>
      </w:r>
      <w:r>
        <w:rPr>
          <w:rFonts w:hint="eastAsia" w:ascii="仿宋_GB2312" w:hAnsi="仿宋" w:eastAsia="仿宋_GB2312"/>
          <w:color w:val="000000"/>
          <w:sz w:val="32"/>
          <w:szCs w:val="32"/>
          <w:lang w:eastAsia="zh-CN"/>
        </w:rPr>
        <w:t>预算</w:t>
      </w:r>
      <w:r>
        <w:rPr>
          <w:rFonts w:hint="eastAsia" w:ascii="仿宋_GB2312" w:hAnsi="仿宋" w:eastAsia="仿宋_GB2312"/>
          <w:color w:val="000000"/>
          <w:sz w:val="32"/>
          <w:szCs w:val="32"/>
        </w:rPr>
        <w:t>30万元。</w:t>
      </w:r>
    </w:p>
    <w:p w14:paraId="148088BC">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室内：</w:t>
      </w:r>
    </w:p>
    <w:p w14:paraId="2C684470">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6套创搭积木（大中小班各2套）</w:t>
      </w:r>
    </w:p>
    <w:p w14:paraId="4C17822C">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6套科学区（大中小班各2套）</w:t>
      </w:r>
    </w:p>
    <w:p w14:paraId="737F9AC3">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6套益智游戏（大中小班各2套）</w:t>
      </w:r>
    </w:p>
    <w:p w14:paraId="277D5FA2">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户外：</w:t>
      </w:r>
    </w:p>
    <w:p w14:paraId="6DE96B91">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1套大型户外螺母建构器材</w:t>
      </w:r>
    </w:p>
    <w:p w14:paraId="184662BD">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1套大型户外卡口建构器材</w:t>
      </w:r>
    </w:p>
    <w:p w14:paraId="4F616216">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1套户外软体组合器材</w:t>
      </w:r>
    </w:p>
    <w:p w14:paraId="345DE428">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1套体能运动包器材</w:t>
      </w:r>
    </w:p>
    <w:p w14:paraId="3538E8ED">
      <w:pPr>
        <w:spacing w:line="579" w:lineRule="exact"/>
        <w:ind w:firstLine="640" w:firstLineChars="200"/>
        <w:rPr>
          <w:rFonts w:ascii="仿宋_GB2312" w:hAnsi="仿宋_GB2312" w:eastAsia="仿宋_GB2312" w:cs="仿宋_GB2312"/>
          <w:sz w:val="32"/>
          <w:szCs w:val="32"/>
        </w:rPr>
      </w:pPr>
      <w:r>
        <w:rPr>
          <w:rFonts w:hint="eastAsia" w:ascii="仿宋_GB2312" w:hAnsi="仿宋" w:eastAsia="仿宋_GB2312"/>
          <w:color w:val="000000"/>
          <w:sz w:val="32"/>
          <w:szCs w:val="32"/>
        </w:rPr>
        <w:t>1套户外器材收纳柜</w:t>
      </w:r>
    </w:p>
    <w:p w14:paraId="4A3606F4">
      <w:pPr>
        <w:spacing w:line="560" w:lineRule="exact"/>
        <w:rPr>
          <w:rFonts w:ascii="仿宋_GB2312" w:hAnsi="仿宋" w:eastAsia="仿宋_GB2312"/>
          <w:color w:val="000000"/>
          <w:sz w:val="32"/>
          <w:szCs w:val="32"/>
        </w:rPr>
        <w:sectPr>
          <w:pgSz w:w="11906" w:h="16838"/>
          <w:pgMar w:top="1440" w:right="1800" w:bottom="1440" w:left="1800" w:header="851" w:footer="992" w:gutter="0"/>
          <w:cols w:space="425" w:num="1"/>
          <w:docGrid w:type="lines" w:linePitch="312" w:charSpace="0"/>
        </w:sectPr>
      </w:pPr>
    </w:p>
    <w:p w14:paraId="781FA218">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附件1</w:t>
      </w:r>
    </w:p>
    <w:p w14:paraId="6C8CE4C5">
      <w:pPr>
        <w:widowControl/>
        <w:spacing w:line="560" w:lineRule="exact"/>
        <w:rPr>
          <w:rFonts w:ascii="方正小标宋简体" w:hAnsi="Times New Roman" w:eastAsia="方正小标宋简体"/>
          <w:sz w:val="44"/>
          <w:szCs w:val="44"/>
        </w:rPr>
      </w:pPr>
      <w:r>
        <w:rPr>
          <w:rFonts w:hint="eastAsia" w:ascii="方正小标宋简体" w:hAnsi="Times New Roman" w:eastAsia="方正小标宋简体"/>
          <w:sz w:val="44"/>
          <w:szCs w:val="44"/>
        </w:rPr>
        <w:t xml:space="preserve">                 技术要求</w:t>
      </w:r>
    </w:p>
    <w:p w14:paraId="042A0CFE">
      <w:pPr>
        <w:pStyle w:val="2"/>
        <w:keepNext w:val="0"/>
        <w:keepLines w:val="0"/>
        <w:adjustRightInd w:val="0"/>
        <w:spacing w:before="0" w:after="0" w:line="530" w:lineRule="exact"/>
        <w:ind w:firstLine="640" w:firstLineChars="200"/>
        <w:rPr>
          <w:rFonts w:ascii="黑体" w:hAnsi="黑体" w:cs="黑体"/>
          <w:b w:val="0"/>
          <w:bCs w:val="0"/>
          <w:sz w:val="32"/>
          <w:szCs w:val="32"/>
        </w:rPr>
      </w:pPr>
      <w:bookmarkStart w:id="0" w:name="_Hlk129332993"/>
      <w:r>
        <w:rPr>
          <w:rFonts w:hint="eastAsia" w:ascii="黑体" w:hAnsi="黑体" w:cs="黑体"/>
          <w:b w:val="0"/>
          <w:bCs w:val="0"/>
          <w:sz w:val="32"/>
          <w:szCs w:val="32"/>
        </w:rPr>
        <w:t>一、履约验收</w:t>
      </w:r>
      <w:bookmarkEnd w:id="0"/>
    </w:p>
    <w:p w14:paraId="44A10006">
      <w:pPr>
        <w:adjustRightInd w:val="0"/>
        <w:spacing w:line="530" w:lineRule="exact"/>
        <w:ind w:firstLine="640" w:firstLineChars="200"/>
      </w:pPr>
      <w:r>
        <w:rPr>
          <w:rFonts w:hint="eastAsia" w:ascii="仿宋_GB2312" w:eastAsia="仿宋_GB2312"/>
          <w:sz w:val="32"/>
          <w:szCs w:val="32"/>
        </w:rPr>
        <w:t>（一）</w:t>
      </w:r>
      <w:bookmarkStart w:id="1" w:name="_Hlk129302104"/>
      <w:bookmarkStart w:id="2" w:name="_Hlk129333184"/>
      <w:r>
        <w:rPr>
          <w:rFonts w:hint="eastAsia" w:ascii="仿宋_GB2312" w:eastAsia="仿宋_GB2312"/>
          <w:sz w:val="32"/>
          <w:szCs w:val="32"/>
        </w:rPr>
        <w:t>到货</w:t>
      </w:r>
      <w:bookmarkEnd w:id="1"/>
      <w:r>
        <w:rPr>
          <w:rFonts w:hint="eastAsia" w:ascii="仿宋_GB2312" w:eastAsia="仿宋_GB2312"/>
          <w:sz w:val="32"/>
          <w:szCs w:val="32"/>
        </w:rPr>
        <w:t>检验</w:t>
      </w:r>
      <w:bookmarkEnd w:id="2"/>
    </w:p>
    <w:p w14:paraId="55924F1D">
      <w:pPr>
        <w:adjustRightInd w:val="0"/>
        <w:spacing w:line="530" w:lineRule="exact"/>
        <w:ind w:firstLine="640" w:firstLineChars="200"/>
        <w:rPr>
          <w:rFonts w:ascii="仿宋_GB2312" w:eastAsia="仿宋_GB2312"/>
          <w:sz w:val="32"/>
          <w:szCs w:val="32"/>
        </w:rPr>
      </w:pPr>
      <w:bookmarkStart w:id="3" w:name="_Hlk129301698"/>
      <w:r>
        <w:rPr>
          <w:rFonts w:hint="eastAsia" w:ascii="仿宋_GB2312" w:eastAsia="仿宋_GB2312"/>
          <w:sz w:val="32"/>
          <w:szCs w:val="32"/>
        </w:rPr>
        <w:t>1</w:t>
      </w:r>
      <w:bookmarkStart w:id="4" w:name="_Hlk129302273"/>
      <w:r>
        <w:rPr>
          <w:rFonts w:hint="eastAsia" w:ascii="仿宋_GB2312" w:eastAsia="仿宋_GB2312"/>
          <w:sz w:val="32"/>
          <w:szCs w:val="32"/>
        </w:rPr>
        <w:t>.物资</w:t>
      </w:r>
      <w:bookmarkEnd w:id="4"/>
      <w:r>
        <w:rPr>
          <w:rFonts w:hint="eastAsia" w:ascii="仿宋_GB2312" w:eastAsia="仿宋_GB2312"/>
          <w:sz w:val="32"/>
          <w:szCs w:val="32"/>
        </w:rPr>
        <w:t>交货后，甲方应当在现场检验，包括但不限于外包装、合同号、箱件数、收货单位名称、品名、货号、批次及相关资料等；检验物资品名、型号规格、数量、外观、产品合格证、质量保证书、技术资料、出厂日期、出厂编号、</w:t>
      </w:r>
      <w:bookmarkStart w:id="5" w:name="_Hlk129326561"/>
      <w:r>
        <w:rPr>
          <w:rFonts w:hint="eastAsia" w:ascii="仿宋_GB2312" w:eastAsia="仿宋_GB2312"/>
          <w:sz w:val="32"/>
          <w:szCs w:val="32"/>
        </w:rPr>
        <w:t>物资编目编码、打码贴签</w:t>
      </w:r>
      <w:bookmarkEnd w:id="5"/>
      <w:r>
        <w:rPr>
          <w:rFonts w:hint="eastAsia" w:ascii="仿宋_GB2312" w:eastAsia="仿宋_GB2312"/>
          <w:sz w:val="32"/>
          <w:szCs w:val="32"/>
        </w:rPr>
        <w:t>等。涉及进口产品的，乙方应当出示中华人民共和国海关出具的检验证书等相关证明材料。</w:t>
      </w:r>
    </w:p>
    <w:p w14:paraId="559E6475">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2.到货检验由双方共同进行，乙方应当自费派遣代表到场参加到货检验，甲方应予</w:t>
      </w:r>
      <w:r>
        <w:rPr>
          <w:rFonts w:hint="eastAsia" w:ascii="仿宋_GB2312" w:eastAsia="仿宋_GB2312"/>
          <w:bCs/>
          <w:sz w:val="32"/>
          <w:szCs w:val="32"/>
        </w:rPr>
        <w:t>提供必要的临时办公场所和出入许可等。</w:t>
      </w:r>
    </w:p>
    <w:p w14:paraId="29E62BCD">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3.在</w:t>
      </w:r>
      <w:bookmarkStart w:id="6" w:name="_Hlk129302538"/>
      <w:r>
        <w:rPr>
          <w:rFonts w:hint="eastAsia" w:ascii="仿宋_GB2312" w:eastAsia="仿宋_GB2312"/>
          <w:sz w:val="32"/>
          <w:szCs w:val="32"/>
        </w:rPr>
        <w:t>到货</w:t>
      </w:r>
      <w:bookmarkEnd w:id="6"/>
      <w:r>
        <w:rPr>
          <w:rFonts w:hint="eastAsia" w:ascii="仿宋_GB2312" w:eastAsia="仿宋_GB2312"/>
          <w:sz w:val="32"/>
          <w:szCs w:val="32"/>
        </w:rPr>
        <w:t>检验中发现</w:t>
      </w:r>
      <w:bookmarkStart w:id="7" w:name="_Hlk129302417"/>
      <w:r>
        <w:rPr>
          <w:rFonts w:hint="eastAsia" w:ascii="仿宋_GB2312" w:eastAsia="仿宋_GB2312"/>
          <w:sz w:val="32"/>
          <w:szCs w:val="32"/>
        </w:rPr>
        <w:t>物资</w:t>
      </w:r>
      <w:bookmarkEnd w:id="7"/>
      <w:r>
        <w:rPr>
          <w:rFonts w:hint="eastAsia" w:ascii="仿宋_GB2312" w:eastAsia="仿宋_GB2312"/>
          <w:sz w:val="32"/>
          <w:szCs w:val="32"/>
        </w:rPr>
        <w:t>短缺、损坏或其它与合同约定不符的情形，由乙方负责，乙方应当补齐、更换及采取其他补救措施。</w:t>
      </w:r>
    </w:p>
    <w:p w14:paraId="4FF7580C">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4.在到货检验中，双方应当共同签署检验报告，列明检验结果，包括检验合格或发现的任何短缺、损坏或其它与合同约定不符的情形。</w:t>
      </w:r>
    </w:p>
    <w:p w14:paraId="5E45A84D">
      <w:pPr>
        <w:pStyle w:val="3"/>
        <w:adjustRightInd w:val="0"/>
        <w:spacing w:after="0" w:line="530" w:lineRule="exact"/>
        <w:ind w:firstLine="640" w:firstLineChars="200"/>
        <w:rPr>
          <w:rFonts w:ascii="仿宋_GB2312" w:eastAsia="仿宋_GB2312"/>
          <w:sz w:val="32"/>
          <w:szCs w:val="32"/>
        </w:rPr>
      </w:pPr>
      <w:r>
        <w:rPr>
          <w:rFonts w:hint="eastAsia" w:ascii="仿宋_GB2312" w:eastAsia="仿宋_GB2312"/>
          <w:sz w:val="32"/>
          <w:szCs w:val="32"/>
        </w:rPr>
        <w:t>5.到货检验的检验结果不能对抗在</w:t>
      </w:r>
      <w:bookmarkStart w:id="8" w:name="_Hlk129303145"/>
      <w:r>
        <w:rPr>
          <w:rFonts w:hint="eastAsia" w:ascii="仿宋_GB2312" w:eastAsia="仿宋_GB2312"/>
          <w:sz w:val="32"/>
          <w:szCs w:val="32"/>
        </w:rPr>
        <w:t>物资</w:t>
      </w:r>
      <w:bookmarkEnd w:id="8"/>
      <w:r>
        <w:rPr>
          <w:rFonts w:hint="eastAsia" w:ascii="仿宋_GB2312" w:eastAsia="仿宋_GB2312"/>
          <w:sz w:val="32"/>
          <w:szCs w:val="32"/>
        </w:rPr>
        <w:t>的安装、调试、检测、验收中及质量保证期内发现的物资质量问题，亦不能免除或影响乙方依照合同约定对甲方负有的包括物资质量在内的任何义务或责任。</w:t>
      </w:r>
      <w:bookmarkEnd w:id="3"/>
    </w:p>
    <w:p w14:paraId="634B153C">
      <w:pPr>
        <w:pStyle w:val="3"/>
        <w:adjustRightInd w:val="0"/>
        <w:spacing w:after="0" w:line="530" w:lineRule="exact"/>
        <w:ind w:firstLine="640" w:firstLineChars="200"/>
        <w:rPr>
          <w:rFonts w:ascii="仿宋_GB2312" w:hAnsi="楷体_GB2312" w:eastAsia="仿宋_GB2312" w:cs="楷体_GB2312"/>
          <w:sz w:val="32"/>
          <w:szCs w:val="32"/>
        </w:rPr>
      </w:pPr>
      <w:r>
        <w:rPr>
          <w:rFonts w:hint="eastAsia" w:ascii="仿宋_GB2312" w:eastAsia="仿宋_GB2312"/>
          <w:sz w:val="32"/>
          <w:szCs w:val="32"/>
        </w:rPr>
        <w:t>6.到货检验的时间为：</w:t>
      </w:r>
      <w:r>
        <w:rPr>
          <w:rFonts w:hint="eastAsia" w:ascii="仿宋_GB2312" w:hAnsi="楷体_GB2312" w:eastAsia="仿宋_GB2312" w:cs="楷体_GB2312"/>
          <w:sz w:val="32"/>
          <w:szCs w:val="32"/>
        </w:rPr>
        <w:t>通常为交货后10日。</w:t>
      </w:r>
    </w:p>
    <w:p w14:paraId="0C159F87">
      <w:pPr>
        <w:pStyle w:val="3"/>
        <w:adjustRightInd w:val="0"/>
        <w:spacing w:after="0" w:line="530" w:lineRule="exact"/>
        <w:ind w:firstLine="640" w:firstLineChars="200"/>
        <w:rPr>
          <w:rFonts w:ascii="仿宋_GB2312" w:eastAsia="仿宋_GB2312"/>
          <w:sz w:val="32"/>
          <w:szCs w:val="32"/>
        </w:rPr>
      </w:pPr>
      <w:r>
        <w:rPr>
          <w:rFonts w:hint="eastAsia" w:ascii="仿宋_GB2312" w:eastAsia="仿宋_GB2312"/>
          <w:sz w:val="32"/>
          <w:szCs w:val="32"/>
        </w:rPr>
        <w:t>7.到货检验的其他要求：无。</w:t>
      </w:r>
    </w:p>
    <w:p w14:paraId="0145C532">
      <w:pPr>
        <w:adjustRightInd w:val="0"/>
        <w:spacing w:line="530" w:lineRule="exact"/>
        <w:ind w:firstLine="640" w:firstLineChars="200"/>
        <w:rPr>
          <w:rFonts w:ascii="仿宋_GB2312" w:eastAsia="仿宋_GB2312"/>
          <w:sz w:val="32"/>
          <w:szCs w:val="32"/>
        </w:rPr>
      </w:pPr>
      <w:bookmarkStart w:id="9" w:name="_Hlk129303860"/>
      <w:bookmarkStart w:id="10" w:name="_Hlk129333264"/>
      <w:r>
        <w:rPr>
          <w:rFonts w:hint="eastAsia" w:ascii="仿宋_GB2312" w:eastAsia="仿宋_GB2312"/>
          <w:sz w:val="32"/>
          <w:szCs w:val="32"/>
        </w:rPr>
        <w:t>（二）</w:t>
      </w:r>
      <w:bookmarkEnd w:id="9"/>
      <w:r>
        <w:rPr>
          <w:rFonts w:hint="eastAsia" w:ascii="仿宋_GB2312" w:eastAsia="仿宋_GB2312"/>
          <w:sz w:val="32"/>
          <w:szCs w:val="32"/>
        </w:rPr>
        <w:t>安装、调试</w:t>
      </w:r>
    </w:p>
    <w:bookmarkEnd w:id="10"/>
    <w:p w14:paraId="4F08B24B">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1.到货检验完成后，乙方应当按合同约定对</w:t>
      </w:r>
      <w:bookmarkStart w:id="11" w:name="_Hlk129303208"/>
      <w:r>
        <w:rPr>
          <w:rFonts w:hint="eastAsia" w:ascii="仿宋_GB2312" w:eastAsia="仿宋_GB2312"/>
          <w:sz w:val="32"/>
          <w:szCs w:val="32"/>
        </w:rPr>
        <w:t>物资</w:t>
      </w:r>
      <w:bookmarkEnd w:id="11"/>
      <w:r>
        <w:rPr>
          <w:rFonts w:hint="eastAsia" w:ascii="仿宋_GB2312" w:eastAsia="仿宋_GB2312"/>
          <w:sz w:val="32"/>
          <w:szCs w:val="32"/>
        </w:rPr>
        <w:t>进行安装、调试。</w:t>
      </w:r>
      <w:bookmarkStart w:id="12" w:name="_Hlk129304289"/>
    </w:p>
    <w:bookmarkEnd w:id="12"/>
    <w:p w14:paraId="1E96E40D">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2.在安装、调试过程中，如出现安装、调试不成功或造成物资损坏的情况，乙方应当承担责任。</w:t>
      </w:r>
    </w:p>
    <w:p w14:paraId="21144803">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3.双方应当对物资的安装、调试情况共同进行记录。</w:t>
      </w:r>
    </w:p>
    <w:p w14:paraId="3E9B5B1F">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4.物资到货后，乙方应当在接到甲方通知后5日内完成安装调试。</w:t>
      </w:r>
    </w:p>
    <w:p w14:paraId="14DB9573">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5.安装、调试的其他要求：无。</w:t>
      </w:r>
    </w:p>
    <w:p w14:paraId="5BA3CE18">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（三）检测</w:t>
      </w:r>
    </w:p>
    <w:p w14:paraId="1B63B95A">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1.</w:t>
      </w:r>
      <w:bookmarkStart w:id="13" w:name="_Hlk129304311"/>
      <w:r>
        <w:rPr>
          <w:rFonts w:hint="eastAsia" w:ascii="仿宋_GB2312" w:eastAsia="仿宋_GB2312"/>
          <w:sz w:val="32"/>
          <w:szCs w:val="32"/>
        </w:rPr>
        <w:t>对物资进行</w:t>
      </w:r>
      <w:bookmarkEnd w:id="13"/>
      <w:r>
        <w:rPr>
          <w:rFonts w:hint="eastAsia" w:ascii="仿宋_GB2312" w:eastAsia="仿宋_GB2312"/>
          <w:sz w:val="32"/>
          <w:szCs w:val="32"/>
        </w:rPr>
        <w:t>检测，以确定物资是否达到合同约定的技术性能指标。检测应当按照下列方式进行：</w:t>
      </w:r>
    </w:p>
    <w:p w14:paraId="0A75B785">
      <w:pPr>
        <w:pStyle w:val="3"/>
        <w:adjustRightInd w:val="0"/>
        <w:spacing w:after="0" w:line="530" w:lineRule="exact"/>
        <w:ind w:firstLine="640" w:firstLineChars="200"/>
        <w:rPr>
          <w:rFonts w:ascii="仿宋_GB2312" w:eastAsia="仿宋_GB2312"/>
          <w:sz w:val="32"/>
          <w:szCs w:val="32"/>
        </w:rPr>
      </w:pPr>
      <w:r>
        <w:rPr>
          <w:rFonts w:hint="eastAsia" w:ascii="仿宋_GB2312" w:eastAsia="仿宋_GB2312"/>
          <w:sz w:val="32"/>
          <w:szCs w:val="32"/>
        </w:rPr>
        <w:t>由第三方专业机构对物资进行检测。</w:t>
      </w:r>
    </w:p>
    <w:p w14:paraId="64810770">
      <w:pPr>
        <w:pStyle w:val="3"/>
        <w:adjustRightInd w:val="0"/>
        <w:spacing w:after="0" w:line="530" w:lineRule="exact"/>
        <w:ind w:firstLine="640" w:firstLineChars="200"/>
        <w:rPr>
          <w:rFonts w:ascii="仿宋_GB2312" w:hAnsi="楷体_GB2312" w:eastAsia="仿宋_GB2312" w:cs="楷体_GB2312"/>
          <w:sz w:val="32"/>
          <w:szCs w:val="32"/>
        </w:rPr>
      </w:pPr>
      <w:r>
        <w:rPr>
          <w:rFonts w:hint="eastAsia" w:ascii="仿宋_GB2312" w:eastAsia="仿宋_GB2312"/>
          <w:sz w:val="32"/>
          <w:szCs w:val="32"/>
        </w:rPr>
        <w:t>第三方专业机构应当出具有效的检测报告，</w:t>
      </w:r>
      <w:bookmarkStart w:id="14" w:name="_Hlk129304648"/>
      <w:r>
        <w:rPr>
          <w:rFonts w:hint="eastAsia" w:ascii="仿宋_GB2312" w:eastAsia="仿宋_GB2312"/>
          <w:sz w:val="32"/>
          <w:szCs w:val="32"/>
        </w:rPr>
        <w:t>检测</w:t>
      </w:r>
      <w:bookmarkEnd w:id="14"/>
      <w:r>
        <w:rPr>
          <w:rFonts w:hint="eastAsia" w:ascii="仿宋_GB2312" w:eastAsia="仿宋_GB2312"/>
          <w:sz w:val="32"/>
          <w:szCs w:val="32"/>
        </w:rPr>
        <w:t>结果对双方均具有约束力。第三方专业机构检测所发生的费用由   乙方承担。</w:t>
      </w:r>
    </w:p>
    <w:p w14:paraId="024F3AC3">
      <w:pPr>
        <w:pStyle w:val="3"/>
        <w:adjustRightInd w:val="0"/>
        <w:spacing w:after="0" w:line="530" w:lineRule="exact"/>
        <w:ind w:firstLine="640" w:firstLineChars="200"/>
        <w:rPr>
          <w:rFonts w:ascii="仿宋_GB2312" w:eastAsia="仿宋_GB2312"/>
          <w:sz w:val="32"/>
          <w:szCs w:val="32"/>
        </w:rPr>
      </w:pPr>
      <w:r>
        <w:rPr>
          <w:rFonts w:hint="eastAsia" w:ascii="仿宋_GB2312" w:eastAsia="仿宋_GB2312"/>
          <w:sz w:val="32"/>
          <w:szCs w:val="32"/>
        </w:rPr>
        <w:t>2.由于</w:t>
      </w:r>
      <w:bookmarkStart w:id="15" w:name="_Hlk129304924"/>
      <w:r>
        <w:rPr>
          <w:rFonts w:hint="eastAsia" w:ascii="仿宋_GB2312" w:eastAsia="仿宋_GB2312"/>
          <w:sz w:val="32"/>
          <w:szCs w:val="32"/>
        </w:rPr>
        <w:t>非甲方</w:t>
      </w:r>
      <w:bookmarkEnd w:id="15"/>
      <w:r>
        <w:rPr>
          <w:rFonts w:hint="eastAsia" w:ascii="仿宋_GB2312" w:eastAsia="仿宋_GB2312"/>
          <w:sz w:val="32"/>
          <w:szCs w:val="32"/>
        </w:rPr>
        <w:t>原因</w:t>
      </w:r>
      <w:bookmarkStart w:id="16" w:name="_Hlk129304842"/>
      <w:r>
        <w:rPr>
          <w:rFonts w:hint="eastAsia" w:ascii="仿宋_GB2312" w:eastAsia="仿宋_GB2312"/>
          <w:sz w:val="32"/>
          <w:szCs w:val="32"/>
        </w:rPr>
        <w:t>物资</w:t>
      </w:r>
      <w:bookmarkEnd w:id="16"/>
      <w:r>
        <w:rPr>
          <w:rFonts w:hint="eastAsia" w:ascii="仿宋_GB2312" w:eastAsia="仿宋_GB2312"/>
          <w:sz w:val="32"/>
          <w:szCs w:val="32"/>
        </w:rPr>
        <w:t>在检测中未能达到合同约定的技术性能指标，则乙方应当在双方同意的期限内采取措施消除物资中存在的缺陷，并在缺陷消除以后，再次进行检测。</w:t>
      </w:r>
    </w:p>
    <w:p w14:paraId="711B7AE3">
      <w:pPr>
        <w:pStyle w:val="3"/>
        <w:adjustRightInd w:val="0"/>
        <w:spacing w:after="0" w:line="530" w:lineRule="exact"/>
        <w:ind w:firstLine="640" w:firstLineChars="200"/>
        <w:rPr>
          <w:rFonts w:ascii="仿宋_GB2312" w:eastAsia="仿宋_GB2312"/>
          <w:sz w:val="32"/>
          <w:szCs w:val="32"/>
        </w:rPr>
      </w:pPr>
      <w:r>
        <w:rPr>
          <w:rFonts w:hint="eastAsia" w:ascii="仿宋_GB2312" w:eastAsia="仿宋_GB2312"/>
          <w:sz w:val="32"/>
          <w:szCs w:val="32"/>
        </w:rPr>
        <w:t>3.由于非甲方原因物资未能达到合同约定的技术性能指标时，为乙方进行检测的机会不超3过次，仍不满足合同约定的，</w:t>
      </w:r>
      <w:bookmarkStart w:id="17" w:name="_Hlk129333980"/>
      <w:r>
        <w:rPr>
          <w:rFonts w:hint="eastAsia" w:ascii="仿宋_GB2312" w:eastAsia="仿宋_GB2312"/>
          <w:sz w:val="32"/>
          <w:szCs w:val="32"/>
        </w:rPr>
        <w:t>甲方有权终止合同</w:t>
      </w:r>
      <w:bookmarkEnd w:id="17"/>
      <w:r>
        <w:rPr>
          <w:rFonts w:hint="eastAsia" w:ascii="仿宋_GB2312" w:eastAsia="仿宋_GB2312"/>
          <w:sz w:val="32"/>
          <w:szCs w:val="32"/>
        </w:rPr>
        <w:t>，由此带来的一切损失由乙方承担。</w:t>
      </w:r>
    </w:p>
    <w:p w14:paraId="10C2D1F2">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4.双方应当共同记录</w:t>
      </w:r>
      <w:bookmarkStart w:id="18" w:name="_Hlk129305981"/>
      <w:r>
        <w:rPr>
          <w:rFonts w:hint="eastAsia" w:ascii="仿宋_GB2312" w:eastAsia="仿宋_GB2312"/>
          <w:sz w:val="32"/>
          <w:szCs w:val="32"/>
        </w:rPr>
        <w:t>物资</w:t>
      </w:r>
      <w:bookmarkEnd w:id="18"/>
      <w:r>
        <w:rPr>
          <w:rFonts w:hint="eastAsia" w:ascii="仿宋_GB2312" w:eastAsia="仿宋_GB2312"/>
          <w:sz w:val="32"/>
          <w:szCs w:val="32"/>
        </w:rPr>
        <w:t>检测情况，对于未达到技术性能指标的，应当如实记录原因及处理情况等。</w:t>
      </w:r>
    </w:p>
    <w:p w14:paraId="6BFD509A">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5.检测的其他要求：无。</w:t>
      </w:r>
    </w:p>
    <w:p w14:paraId="15FE8C3D">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（四）验收</w:t>
      </w:r>
    </w:p>
    <w:p w14:paraId="5AC5B7D6">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1.符合下列情形，双方签署物资验收报告：</w:t>
      </w:r>
    </w:p>
    <w:p w14:paraId="71C6CBA9">
      <w:pPr>
        <w:pStyle w:val="3"/>
        <w:adjustRightInd w:val="0"/>
        <w:spacing w:after="0" w:line="530" w:lineRule="exact"/>
        <w:ind w:firstLine="640" w:firstLineChars="200"/>
        <w:rPr>
          <w:rFonts w:ascii="仿宋_GB2312" w:eastAsia="仿宋_GB2312"/>
          <w:sz w:val="32"/>
          <w:szCs w:val="32"/>
        </w:rPr>
      </w:pPr>
      <w:r>
        <w:rPr>
          <w:rFonts w:hint="eastAsia" w:ascii="仿宋_GB2312" w:eastAsia="仿宋_GB2312"/>
          <w:sz w:val="32"/>
          <w:szCs w:val="32"/>
        </w:rPr>
        <w:t>（1）</w:t>
      </w:r>
      <w:bookmarkStart w:id="19" w:name="_Hlk129334400"/>
      <w:r>
        <w:rPr>
          <w:rFonts w:hint="eastAsia" w:ascii="仿宋_GB2312" w:eastAsia="仿宋_GB2312"/>
          <w:sz w:val="32"/>
          <w:szCs w:val="32"/>
        </w:rPr>
        <w:t>物资</w:t>
      </w:r>
      <w:bookmarkEnd w:id="19"/>
      <w:r>
        <w:rPr>
          <w:rFonts w:hint="eastAsia" w:ascii="仿宋_GB2312" w:eastAsia="仿宋_GB2312"/>
          <w:sz w:val="32"/>
          <w:szCs w:val="32"/>
        </w:rPr>
        <w:t>由第三方专业机构检验合格。</w:t>
      </w:r>
    </w:p>
    <w:p w14:paraId="742D05B2">
      <w:pPr>
        <w:adjustRightInd w:val="0"/>
        <w:spacing w:line="530" w:lineRule="exact"/>
        <w:ind w:firstLine="640" w:firstLineChars="200"/>
        <w:rPr>
          <w:rFonts w:ascii="仿宋_GB2312" w:eastAsia="仿宋_GB2312"/>
          <w:sz w:val="32"/>
          <w:szCs w:val="32"/>
        </w:rPr>
      </w:pPr>
      <w:bookmarkStart w:id="20" w:name="_Hlk129307922"/>
      <w:r>
        <w:rPr>
          <w:rFonts w:hint="eastAsia" w:ascii="仿宋_GB2312" w:eastAsia="仿宋_GB2312"/>
          <w:sz w:val="32"/>
          <w:szCs w:val="32"/>
        </w:rPr>
        <w:t>（2）</w:t>
      </w:r>
      <w:bookmarkEnd w:id="20"/>
      <w:r>
        <w:rPr>
          <w:rFonts w:hint="eastAsia" w:ascii="仿宋_GB2312" w:eastAsia="仿宋_GB2312"/>
          <w:sz w:val="32"/>
          <w:szCs w:val="32"/>
        </w:rPr>
        <w:t>乙方按照合同约定应当承接的配套服务或伴随服务，经甲方确认已经完成。</w:t>
      </w:r>
    </w:p>
    <w:p w14:paraId="1FF2281B">
      <w:pPr>
        <w:pStyle w:val="3"/>
        <w:adjustRightInd w:val="0"/>
        <w:spacing w:after="0" w:line="530" w:lineRule="exact"/>
        <w:ind w:firstLine="640" w:firstLineChars="200"/>
        <w:rPr>
          <w:rFonts w:ascii="仿宋_GB2312" w:eastAsia="仿宋_GB2312"/>
          <w:sz w:val="32"/>
          <w:szCs w:val="32"/>
          <w:highlight w:val="yellow"/>
        </w:rPr>
      </w:pPr>
      <w:r>
        <w:rPr>
          <w:rFonts w:hint="eastAsia" w:ascii="仿宋_GB2312" w:eastAsia="仿宋_GB2312"/>
          <w:sz w:val="32"/>
          <w:szCs w:val="32"/>
        </w:rPr>
        <w:t>2.双方应当签署物资验收报告一式二份，各持一份。验收日期为签署物资验收报告的日期。物资验收报告分批次签署的，最后一批物资验收报告签署日期为验收合格日期。</w:t>
      </w:r>
    </w:p>
    <w:p w14:paraId="01F94AA0">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3.物资验收合格后，乙方应当向甲方办理物资交接手续，物资转入运行、使用、维护阶段。</w:t>
      </w:r>
    </w:p>
    <w:p w14:paraId="1DE9F626">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4.验收的其他要求：无。</w:t>
      </w:r>
    </w:p>
    <w:p w14:paraId="7F9CA306">
      <w:pPr>
        <w:adjustRightInd w:val="0"/>
        <w:spacing w:line="530" w:lineRule="exact"/>
        <w:ind w:firstLine="640" w:firstLineChars="200"/>
        <w:rPr>
          <w:rFonts w:ascii="仿宋_GB2312" w:eastAsia="仿宋_GB2312"/>
          <w:sz w:val="32"/>
          <w:szCs w:val="32"/>
        </w:rPr>
      </w:pPr>
    </w:p>
    <w:p w14:paraId="1C0CD741">
      <w:pPr>
        <w:adjustRightInd w:val="0"/>
        <w:spacing w:line="530" w:lineRule="exact"/>
        <w:ind w:firstLine="640" w:firstLineChars="200"/>
        <w:rPr>
          <w:rFonts w:ascii="仿宋_GB2312" w:hAnsi="仿宋" w:eastAsia="仿宋_GB2312"/>
          <w:bCs/>
          <w:sz w:val="32"/>
          <w:szCs w:val="32"/>
        </w:rPr>
      </w:pPr>
    </w:p>
    <w:p w14:paraId="7BE95891">
      <w:pPr>
        <w:spacing w:line="560" w:lineRule="exact"/>
        <w:ind w:firstLine="640" w:firstLineChars="200"/>
        <w:rPr>
          <w:rFonts w:hAnsi="黑体" w:eastAsia="黑体"/>
          <w:sz w:val="32"/>
          <w:szCs w:val="32"/>
        </w:rPr>
        <w:sectPr>
          <w:pgSz w:w="11906" w:h="16838"/>
          <w:pgMar w:top="1440" w:right="1800" w:bottom="1440" w:left="1800" w:header="851" w:footer="992" w:gutter="0"/>
          <w:cols w:space="425" w:num="1"/>
          <w:docGrid w:type="lines" w:linePitch="312" w:charSpace="0"/>
        </w:sectPr>
      </w:pPr>
    </w:p>
    <w:p w14:paraId="77F90221">
      <w:pPr>
        <w:spacing w:afterLines="50" w:line="579" w:lineRule="exact"/>
        <w:ind w:right="84" w:rightChars="40"/>
        <w:jc w:val="left"/>
        <w:rPr>
          <w:rFonts w:ascii="方正小标宋简体" w:hAnsi="Times New Roman" w:eastAsia="方正小标宋简体"/>
          <w:sz w:val="44"/>
          <w:szCs w:val="44"/>
        </w:rPr>
      </w:pPr>
      <w:r>
        <w:rPr>
          <w:rFonts w:hint="eastAsia" w:ascii="黑体" w:hAnsi="黑体" w:eastAsia="黑体" w:cs="黑体"/>
          <w:bCs/>
          <w:sz w:val="32"/>
          <w:szCs w:val="32"/>
        </w:rPr>
        <w:t>附件2</w:t>
      </w:r>
    </w:p>
    <w:p w14:paraId="43237B5A">
      <w:pPr>
        <w:spacing w:afterLines="50" w:line="579" w:lineRule="exact"/>
        <w:ind w:right="84" w:rightChars="40"/>
        <w:jc w:val="center"/>
        <w:rPr>
          <w:rFonts w:ascii="方正小标宋简体" w:hAnsi="宋体" w:eastAsia="方正小标宋简体"/>
          <w:color w:val="000000"/>
          <w:sz w:val="32"/>
          <w:szCs w:val="32"/>
        </w:rPr>
      </w:pPr>
      <w:r>
        <w:rPr>
          <w:rFonts w:hint="eastAsia" w:ascii="方正小标宋简体" w:hAnsi="Times New Roman" w:eastAsia="方正小标宋简体"/>
          <w:sz w:val="44"/>
          <w:szCs w:val="44"/>
        </w:rPr>
        <w:t>技术参数</w:t>
      </w:r>
    </w:p>
    <w:tbl>
      <w:tblPr>
        <w:tblStyle w:val="8"/>
        <w:tblpPr w:leftFromText="180" w:rightFromText="180" w:vertAnchor="page" w:horzAnchor="page" w:tblpXSpec="center" w:tblpY="3068"/>
        <w:tblOverlap w:val="never"/>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799"/>
        <w:gridCol w:w="2287"/>
        <w:gridCol w:w="1793"/>
        <w:gridCol w:w="805"/>
        <w:gridCol w:w="823"/>
        <w:gridCol w:w="2682"/>
      </w:tblGrid>
      <w:tr w14:paraId="37EF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9" w:type="dxa"/>
            <w:vAlign w:val="center"/>
          </w:tcPr>
          <w:p w14:paraId="5C3952FE">
            <w:pPr>
              <w:jc w:val="center"/>
            </w:pPr>
          </w:p>
        </w:tc>
        <w:tc>
          <w:tcPr>
            <w:tcW w:w="799" w:type="dxa"/>
            <w:vAlign w:val="center"/>
          </w:tcPr>
          <w:p w14:paraId="00FF0360">
            <w:pPr>
              <w:jc w:val="center"/>
              <w:rPr>
                <w:sz w:val="32"/>
                <w:szCs w:val="36"/>
              </w:rPr>
            </w:pPr>
            <w:r>
              <w:rPr>
                <w:rFonts w:hint="eastAsia" w:ascii="黑体" w:hAnsi="黑体" w:eastAsia="黑体" w:cs="宋体"/>
                <w:b/>
                <w:bCs/>
                <w:snapToGrid w:val="0"/>
                <w:color w:val="000000"/>
                <w:spacing w:val="9"/>
                <w:kern w:val="0"/>
                <w:sz w:val="24"/>
                <w:szCs w:val="24"/>
                <w:lang w:eastAsia="en-US"/>
              </w:rPr>
              <w:t>序号</w:t>
            </w:r>
          </w:p>
        </w:tc>
        <w:tc>
          <w:tcPr>
            <w:tcW w:w="2287" w:type="dxa"/>
            <w:vAlign w:val="center"/>
          </w:tcPr>
          <w:p w14:paraId="7BF17494">
            <w:pPr>
              <w:jc w:val="center"/>
              <w:rPr>
                <w:sz w:val="32"/>
                <w:szCs w:val="36"/>
              </w:rPr>
            </w:pPr>
            <w:r>
              <w:rPr>
                <w:rFonts w:hint="eastAsia" w:ascii="黑体" w:hAnsi="黑体" w:eastAsia="黑体" w:cs="宋体"/>
                <w:b/>
                <w:bCs/>
                <w:snapToGrid w:val="0"/>
                <w:color w:val="000000"/>
                <w:spacing w:val="5"/>
                <w:kern w:val="0"/>
                <w:sz w:val="24"/>
                <w:szCs w:val="24"/>
                <w:lang w:eastAsia="en-US"/>
              </w:rPr>
              <w:t>名称</w:t>
            </w:r>
          </w:p>
        </w:tc>
        <w:tc>
          <w:tcPr>
            <w:tcW w:w="1793" w:type="dxa"/>
            <w:vAlign w:val="center"/>
          </w:tcPr>
          <w:p w14:paraId="25D0BD08">
            <w:pPr>
              <w:jc w:val="center"/>
              <w:rPr>
                <w:sz w:val="32"/>
                <w:szCs w:val="36"/>
              </w:rPr>
            </w:pPr>
            <w:r>
              <w:rPr>
                <w:rFonts w:hint="eastAsia" w:ascii="黑体" w:hAnsi="黑体" w:eastAsia="黑体" w:cs="宋体"/>
                <w:b/>
                <w:bCs/>
                <w:snapToGrid w:val="0"/>
                <w:color w:val="000000"/>
                <w:spacing w:val="-5"/>
                <w:kern w:val="0"/>
                <w:sz w:val="24"/>
                <w:szCs w:val="24"/>
                <w:lang w:eastAsia="en-US"/>
              </w:rPr>
              <w:t>图片</w:t>
            </w:r>
          </w:p>
        </w:tc>
        <w:tc>
          <w:tcPr>
            <w:tcW w:w="805" w:type="dxa"/>
            <w:vAlign w:val="center"/>
          </w:tcPr>
          <w:p w14:paraId="261D6C5B">
            <w:pPr>
              <w:jc w:val="center"/>
              <w:rPr>
                <w:sz w:val="32"/>
                <w:szCs w:val="36"/>
              </w:rPr>
            </w:pPr>
            <w:r>
              <w:rPr>
                <w:rFonts w:hint="eastAsia" w:ascii="黑体" w:hAnsi="黑体" w:eastAsia="黑体" w:cs="宋体"/>
                <w:b/>
                <w:bCs/>
                <w:snapToGrid w:val="0"/>
                <w:color w:val="000000"/>
                <w:spacing w:val="6"/>
                <w:kern w:val="0"/>
                <w:sz w:val="24"/>
                <w:szCs w:val="24"/>
                <w:lang w:eastAsia="en-US"/>
              </w:rPr>
              <w:t>数量</w:t>
            </w:r>
          </w:p>
        </w:tc>
        <w:tc>
          <w:tcPr>
            <w:tcW w:w="823" w:type="dxa"/>
            <w:vAlign w:val="center"/>
          </w:tcPr>
          <w:p w14:paraId="18FC61F5">
            <w:pPr>
              <w:jc w:val="center"/>
              <w:rPr>
                <w:sz w:val="32"/>
                <w:szCs w:val="36"/>
              </w:rPr>
            </w:pPr>
            <w:r>
              <w:rPr>
                <w:rFonts w:hint="eastAsia" w:ascii="黑体" w:hAnsi="黑体" w:eastAsia="黑体" w:cs="宋体"/>
                <w:b/>
                <w:bCs/>
                <w:snapToGrid w:val="0"/>
                <w:color w:val="000000"/>
                <w:spacing w:val="5"/>
                <w:kern w:val="0"/>
                <w:sz w:val="24"/>
                <w:szCs w:val="24"/>
                <w:lang w:eastAsia="en-US"/>
              </w:rPr>
              <w:t>单位</w:t>
            </w:r>
          </w:p>
        </w:tc>
        <w:tc>
          <w:tcPr>
            <w:tcW w:w="2682" w:type="dxa"/>
            <w:vAlign w:val="center"/>
          </w:tcPr>
          <w:p w14:paraId="1ADA0B6C">
            <w:pPr>
              <w:jc w:val="center"/>
              <w:rPr>
                <w:sz w:val="32"/>
                <w:szCs w:val="36"/>
              </w:rPr>
            </w:pPr>
            <w:r>
              <w:rPr>
                <w:rFonts w:hint="eastAsia" w:ascii="黑体" w:hAnsi="黑体" w:eastAsia="黑体" w:cs="宋体"/>
                <w:b/>
                <w:bCs/>
                <w:snapToGrid w:val="0"/>
                <w:color w:val="000000"/>
                <w:spacing w:val="8"/>
                <w:kern w:val="0"/>
                <w:sz w:val="24"/>
                <w:szCs w:val="24"/>
              </w:rPr>
              <w:t>备注</w:t>
            </w:r>
          </w:p>
        </w:tc>
      </w:tr>
      <w:tr w14:paraId="442B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restart"/>
            <w:vAlign w:val="center"/>
          </w:tcPr>
          <w:p w14:paraId="7785E701">
            <w:pPr>
              <w:jc w:val="center"/>
              <w:rPr>
                <w:rFonts w:ascii="黑体" w:hAnsi="黑体" w:eastAsia="黑体" w:cs="宋体"/>
                <w:b/>
                <w:bCs/>
                <w:snapToGrid w:val="0"/>
                <w:color w:val="000000"/>
                <w:spacing w:val="5"/>
                <w:kern w:val="0"/>
                <w:sz w:val="24"/>
                <w:szCs w:val="24"/>
              </w:rPr>
            </w:pPr>
            <w:r>
              <w:rPr>
                <w:rFonts w:hint="eastAsia" w:ascii="黑体" w:hAnsi="黑体" w:eastAsia="黑体" w:cs="宋体"/>
                <w:b/>
                <w:bCs/>
                <w:snapToGrid w:val="0"/>
                <w:color w:val="000000"/>
                <w:spacing w:val="5"/>
                <w:kern w:val="0"/>
                <w:sz w:val="24"/>
                <w:szCs w:val="24"/>
              </w:rPr>
              <w:t>室内</w:t>
            </w:r>
          </w:p>
        </w:tc>
        <w:tc>
          <w:tcPr>
            <w:tcW w:w="799" w:type="dxa"/>
            <w:shd w:val="clear" w:color="auto" w:fill="auto"/>
            <w:vAlign w:val="center"/>
          </w:tcPr>
          <w:p w14:paraId="1DCBE7EA">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w:t>
            </w:r>
          </w:p>
        </w:tc>
        <w:tc>
          <w:tcPr>
            <w:tcW w:w="2287" w:type="dxa"/>
            <w:vAlign w:val="center"/>
          </w:tcPr>
          <w:p w14:paraId="5874F8CF">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创搭积木</w:t>
            </w:r>
          </w:p>
        </w:tc>
        <w:tc>
          <w:tcPr>
            <w:tcW w:w="1793" w:type="dxa"/>
            <w:vAlign w:val="center"/>
          </w:tcPr>
          <w:p w14:paraId="7F0140FF">
            <w:pPr>
              <w:jc w:val="center"/>
              <w:rPr>
                <w:rFonts w:ascii="宋体" w:hAnsi="宋体" w:eastAsia="宋体" w:cs="宋体"/>
                <w:snapToGrid w:val="0"/>
                <w:color w:val="000000"/>
                <w:spacing w:val="2"/>
                <w:kern w:val="0"/>
                <w:szCs w:val="21"/>
              </w:rPr>
            </w:pPr>
            <w:r>
              <w:rPr>
                <w:rFonts w:ascii="Arial" w:hAnsi="Arial" w:cs="Arial"/>
                <w:snapToGrid w:val="0"/>
                <w:color w:val="000000"/>
                <w:kern w:val="0"/>
                <w:position w:val="-20"/>
                <w:sz w:val="24"/>
                <w:szCs w:val="24"/>
              </w:rPr>
              <w:drawing>
                <wp:inline distT="0" distB="0" distL="0" distR="0">
                  <wp:extent cx="735965" cy="632460"/>
                  <wp:effectExtent l="0" t="0" r="10795" b="7620"/>
                  <wp:docPr id="62" name="IM 26"/>
                  <wp:cNvGraphicFramePr/>
                  <a:graphic xmlns:a="http://schemas.openxmlformats.org/drawingml/2006/main">
                    <a:graphicData uri="http://schemas.openxmlformats.org/drawingml/2006/picture">
                      <pic:pic xmlns:pic="http://schemas.openxmlformats.org/drawingml/2006/picture">
                        <pic:nvPicPr>
                          <pic:cNvPr id="62" name="IM 26"/>
                          <pic:cNvPicPr/>
                        </pic:nvPicPr>
                        <pic:blipFill>
                          <a:blip r:embed="rId4"/>
                          <a:stretch>
                            <a:fillRect/>
                          </a:stretch>
                        </pic:blipFill>
                        <pic:spPr>
                          <a:xfrm>
                            <a:off x="0" y="0"/>
                            <a:ext cx="736092" cy="632460"/>
                          </a:xfrm>
                          <a:prstGeom prst="rect">
                            <a:avLst/>
                          </a:prstGeom>
                        </pic:spPr>
                      </pic:pic>
                    </a:graphicData>
                  </a:graphic>
                </wp:inline>
              </w:drawing>
            </w:r>
          </w:p>
        </w:tc>
        <w:tc>
          <w:tcPr>
            <w:tcW w:w="805" w:type="dxa"/>
            <w:vAlign w:val="center"/>
          </w:tcPr>
          <w:p w14:paraId="612703B2">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6</w:t>
            </w:r>
          </w:p>
        </w:tc>
        <w:tc>
          <w:tcPr>
            <w:tcW w:w="823" w:type="dxa"/>
            <w:vAlign w:val="center"/>
          </w:tcPr>
          <w:p w14:paraId="567ED88E">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套</w:t>
            </w:r>
          </w:p>
        </w:tc>
        <w:tc>
          <w:tcPr>
            <w:tcW w:w="2682" w:type="dxa"/>
            <w:vAlign w:val="center"/>
          </w:tcPr>
          <w:p w14:paraId="15FFBC76">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各种形状天然木质积木，适宜幼儿搭建的室内或桌面材料，大中小班各2套</w:t>
            </w:r>
          </w:p>
        </w:tc>
      </w:tr>
      <w:tr w14:paraId="0AA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vAlign w:val="center"/>
          </w:tcPr>
          <w:p w14:paraId="2B7398C6">
            <w:pPr>
              <w:jc w:val="center"/>
              <w:rPr>
                <w:rFonts w:ascii="黑体" w:hAnsi="黑体" w:eastAsia="黑体" w:cs="宋体"/>
                <w:b/>
                <w:bCs/>
                <w:snapToGrid w:val="0"/>
                <w:color w:val="000000"/>
                <w:spacing w:val="5"/>
                <w:kern w:val="0"/>
                <w:sz w:val="24"/>
                <w:szCs w:val="24"/>
              </w:rPr>
            </w:pPr>
          </w:p>
        </w:tc>
        <w:tc>
          <w:tcPr>
            <w:tcW w:w="799" w:type="dxa"/>
            <w:shd w:val="clear" w:color="auto" w:fill="auto"/>
            <w:vAlign w:val="center"/>
          </w:tcPr>
          <w:p w14:paraId="7DEF94CD">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2</w:t>
            </w:r>
          </w:p>
        </w:tc>
        <w:tc>
          <w:tcPr>
            <w:tcW w:w="2287" w:type="dxa"/>
            <w:vAlign w:val="center"/>
          </w:tcPr>
          <w:p w14:paraId="3D062D10">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科学区</w:t>
            </w:r>
          </w:p>
        </w:tc>
        <w:tc>
          <w:tcPr>
            <w:tcW w:w="1793" w:type="dxa"/>
            <w:vAlign w:val="center"/>
          </w:tcPr>
          <w:p w14:paraId="22C69A65">
            <w:pPr>
              <w:jc w:val="center"/>
              <w:rPr>
                <w:rFonts w:ascii="宋体" w:hAnsi="宋体" w:eastAsia="宋体" w:cs="宋体"/>
                <w:snapToGrid w:val="0"/>
                <w:color w:val="000000"/>
                <w:spacing w:val="2"/>
                <w:kern w:val="0"/>
                <w:szCs w:val="21"/>
              </w:rPr>
            </w:pPr>
            <w:r>
              <w:rPr>
                <w:rFonts w:ascii="Arial" w:hAnsi="Arial" w:cs="Arial"/>
                <w:snapToGrid w:val="0"/>
                <w:color w:val="000000"/>
                <w:kern w:val="0"/>
                <w:position w:val="-17"/>
                <w:sz w:val="24"/>
                <w:szCs w:val="24"/>
              </w:rPr>
              <w:drawing>
                <wp:inline distT="0" distB="0" distL="0" distR="0">
                  <wp:extent cx="735965" cy="633730"/>
                  <wp:effectExtent l="0" t="0" r="10795" b="6350"/>
                  <wp:docPr id="63" name="IM 20"/>
                  <wp:cNvGraphicFramePr/>
                  <a:graphic xmlns:a="http://schemas.openxmlformats.org/drawingml/2006/main">
                    <a:graphicData uri="http://schemas.openxmlformats.org/drawingml/2006/picture">
                      <pic:pic xmlns:pic="http://schemas.openxmlformats.org/drawingml/2006/picture">
                        <pic:nvPicPr>
                          <pic:cNvPr id="63" name="IM 20"/>
                          <pic:cNvPicPr/>
                        </pic:nvPicPr>
                        <pic:blipFill>
                          <a:blip r:embed="rId4"/>
                          <a:stretch>
                            <a:fillRect/>
                          </a:stretch>
                        </pic:blipFill>
                        <pic:spPr>
                          <a:xfrm>
                            <a:off x="0" y="0"/>
                            <a:ext cx="736092" cy="633984"/>
                          </a:xfrm>
                          <a:prstGeom prst="rect">
                            <a:avLst/>
                          </a:prstGeom>
                        </pic:spPr>
                      </pic:pic>
                    </a:graphicData>
                  </a:graphic>
                </wp:inline>
              </w:drawing>
            </w:r>
          </w:p>
        </w:tc>
        <w:tc>
          <w:tcPr>
            <w:tcW w:w="805" w:type="dxa"/>
            <w:vAlign w:val="center"/>
          </w:tcPr>
          <w:p w14:paraId="211B31DA">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6</w:t>
            </w:r>
          </w:p>
        </w:tc>
        <w:tc>
          <w:tcPr>
            <w:tcW w:w="823" w:type="dxa"/>
            <w:vAlign w:val="center"/>
          </w:tcPr>
          <w:p w14:paraId="2E31FE54">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套</w:t>
            </w:r>
          </w:p>
        </w:tc>
        <w:tc>
          <w:tcPr>
            <w:tcW w:w="2682" w:type="dxa"/>
            <w:vAlign w:val="center"/>
          </w:tcPr>
          <w:p w14:paraId="7B91F370">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各类幼儿园科学实验材料，各种材质，安全无毒无污染，大中小班各2套</w:t>
            </w:r>
          </w:p>
        </w:tc>
      </w:tr>
      <w:tr w14:paraId="2C49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vAlign w:val="center"/>
          </w:tcPr>
          <w:p w14:paraId="01DBBB40">
            <w:pPr>
              <w:jc w:val="center"/>
              <w:rPr>
                <w:rFonts w:ascii="黑体" w:hAnsi="黑体" w:eastAsia="黑体" w:cs="宋体"/>
                <w:b/>
                <w:bCs/>
                <w:snapToGrid w:val="0"/>
                <w:color w:val="000000"/>
                <w:spacing w:val="5"/>
                <w:kern w:val="0"/>
                <w:sz w:val="24"/>
                <w:szCs w:val="24"/>
              </w:rPr>
            </w:pPr>
          </w:p>
        </w:tc>
        <w:tc>
          <w:tcPr>
            <w:tcW w:w="799" w:type="dxa"/>
            <w:shd w:val="clear" w:color="auto" w:fill="auto"/>
            <w:vAlign w:val="center"/>
          </w:tcPr>
          <w:p w14:paraId="5CAC1B16">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3</w:t>
            </w:r>
          </w:p>
        </w:tc>
        <w:tc>
          <w:tcPr>
            <w:tcW w:w="2287" w:type="dxa"/>
            <w:vAlign w:val="center"/>
          </w:tcPr>
          <w:p w14:paraId="20B1B569">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益智游戏</w:t>
            </w:r>
          </w:p>
        </w:tc>
        <w:tc>
          <w:tcPr>
            <w:tcW w:w="1793" w:type="dxa"/>
            <w:vAlign w:val="center"/>
          </w:tcPr>
          <w:p w14:paraId="60629C47">
            <w:pPr>
              <w:jc w:val="center"/>
              <w:rPr>
                <w:rFonts w:ascii="宋体" w:hAnsi="宋体" w:eastAsia="宋体" w:cs="宋体"/>
                <w:snapToGrid w:val="0"/>
                <w:color w:val="000000"/>
                <w:spacing w:val="2"/>
                <w:kern w:val="0"/>
                <w:szCs w:val="21"/>
              </w:rPr>
            </w:pPr>
            <w:r>
              <w:rPr>
                <w:rFonts w:ascii="Arial" w:hAnsi="Arial" w:cs="Arial"/>
                <w:snapToGrid w:val="0"/>
                <w:color w:val="000000"/>
                <w:kern w:val="0"/>
                <w:position w:val="-21"/>
                <w:sz w:val="24"/>
                <w:szCs w:val="24"/>
              </w:rPr>
              <w:drawing>
                <wp:inline distT="0" distB="0" distL="0" distR="0">
                  <wp:extent cx="735965" cy="632460"/>
                  <wp:effectExtent l="0" t="0" r="10795" b="7620"/>
                  <wp:docPr id="64" name="IM 26"/>
                  <wp:cNvGraphicFramePr/>
                  <a:graphic xmlns:a="http://schemas.openxmlformats.org/drawingml/2006/main">
                    <a:graphicData uri="http://schemas.openxmlformats.org/drawingml/2006/picture">
                      <pic:pic xmlns:pic="http://schemas.openxmlformats.org/drawingml/2006/picture">
                        <pic:nvPicPr>
                          <pic:cNvPr id="64" name="IM 26"/>
                          <pic:cNvPicPr/>
                        </pic:nvPicPr>
                        <pic:blipFill>
                          <a:blip r:embed="rId4"/>
                          <a:stretch>
                            <a:fillRect/>
                          </a:stretch>
                        </pic:blipFill>
                        <pic:spPr>
                          <a:xfrm>
                            <a:off x="0" y="0"/>
                            <a:ext cx="736092" cy="632460"/>
                          </a:xfrm>
                          <a:prstGeom prst="rect">
                            <a:avLst/>
                          </a:prstGeom>
                        </pic:spPr>
                      </pic:pic>
                    </a:graphicData>
                  </a:graphic>
                </wp:inline>
              </w:drawing>
            </w:r>
          </w:p>
        </w:tc>
        <w:tc>
          <w:tcPr>
            <w:tcW w:w="805" w:type="dxa"/>
            <w:vAlign w:val="center"/>
          </w:tcPr>
          <w:p w14:paraId="32DAC86F">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6</w:t>
            </w:r>
          </w:p>
        </w:tc>
        <w:tc>
          <w:tcPr>
            <w:tcW w:w="823" w:type="dxa"/>
            <w:vAlign w:val="center"/>
          </w:tcPr>
          <w:p w14:paraId="63A6D36D">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套</w:t>
            </w:r>
          </w:p>
        </w:tc>
        <w:tc>
          <w:tcPr>
            <w:tcW w:w="2682" w:type="dxa"/>
            <w:vAlign w:val="center"/>
          </w:tcPr>
          <w:p w14:paraId="685FAD37">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适合幼儿进行益智游戏的各类材料，以桌面玩具为主，安全；按不同年龄段大中小班各2套</w:t>
            </w:r>
          </w:p>
        </w:tc>
      </w:tr>
      <w:tr w14:paraId="6DD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79" w:type="dxa"/>
            <w:vMerge w:val="restart"/>
            <w:vAlign w:val="center"/>
          </w:tcPr>
          <w:p w14:paraId="3F25F05E">
            <w:pPr>
              <w:jc w:val="center"/>
              <w:rPr>
                <w:rFonts w:ascii="黑体" w:hAnsi="黑体" w:eastAsia="黑体" w:cs="宋体"/>
                <w:b/>
                <w:bCs/>
                <w:snapToGrid w:val="0"/>
                <w:color w:val="000000"/>
                <w:spacing w:val="5"/>
                <w:kern w:val="0"/>
                <w:sz w:val="24"/>
                <w:szCs w:val="24"/>
              </w:rPr>
            </w:pPr>
            <w:r>
              <w:rPr>
                <w:rFonts w:hint="eastAsia" w:ascii="黑体" w:hAnsi="黑体" w:eastAsia="黑体" w:cs="宋体"/>
                <w:b/>
                <w:bCs/>
                <w:snapToGrid w:val="0"/>
                <w:color w:val="000000"/>
                <w:spacing w:val="5"/>
                <w:kern w:val="0"/>
                <w:sz w:val="24"/>
                <w:szCs w:val="24"/>
              </w:rPr>
              <w:t>户外</w:t>
            </w:r>
          </w:p>
        </w:tc>
        <w:tc>
          <w:tcPr>
            <w:tcW w:w="799" w:type="dxa"/>
            <w:shd w:val="clear" w:color="auto" w:fill="auto"/>
            <w:vAlign w:val="center"/>
          </w:tcPr>
          <w:p w14:paraId="1EC8422A">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w:t>
            </w:r>
          </w:p>
        </w:tc>
        <w:tc>
          <w:tcPr>
            <w:tcW w:w="2287" w:type="dxa"/>
            <w:vAlign w:val="center"/>
          </w:tcPr>
          <w:p w14:paraId="1B83DE54">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大型户外螺母建构器材</w:t>
            </w:r>
          </w:p>
        </w:tc>
        <w:tc>
          <w:tcPr>
            <w:tcW w:w="1793" w:type="dxa"/>
            <w:vAlign w:val="center"/>
          </w:tcPr>
          <w:p w14:paraId="3C28DFD5">
            <w:pPr>
              <w:jc w:val="center"/>
              <w:rPr>
                <w:rFonts w:ascii="宋体" w:hAnsi="宋体" w:eastAsia="宋体" w:cs="宋体"/>
                <w:snapToGrid w:val="0"/>
                <w:color w:val="000000"/>
                <w:spacing w:val="2"/>
                <w:kern w:val="0"/>
                <w:szCs w:val="21"/>
              </w:rPr>
            </w:pPr>
            <w:r>
              <w:rPr>
                <w:rFonts w:ascii="Arial" w:hAnsi="Arial" w:cs="Arial"/>
                <w:snapToGrid w:val="0"/>
                <w:color w:val="000000"/>
                <w:kern w:val="0"/>
                <w:position w:val="-17"/>
                <w:sz w:val="24"/>
                <w:szCs w:val="24"/>
              </w:rPr>
              <w:drawing>
                <wp:inline distT="0" distB="0" distL="0" distR="0">
                  <wp:extent cx="735965" cy="396240"/>
                  <wp:effectExtent l="0" t="0" r="10795" b="0"/>
                  <wp:docPr id="98" name="IM 12"/>
                  <wp:cNvGraphicFramePr/>
                  <a:graphic xmlns:a="http://schemas.openxmlformats.org/drawingml/2006/main">
                    <a:graphicData uri="http://schemas.openxmlformats.org/drawingml/2006/picture">
                      <pic:pic xmlns:pic="http://schemas.openxmlformats.org/drawingml/2006/picture">
                        <pic:nvPicPr>
                          <pic:cNvPr id="98" name="IM 12"/>
                          <pic:cNvPicPr/>
                        </pic:nvPicPr>
                        <pic:blipFill>
                          <a:blip r:embed="rId5"/>
                          <a:stretch>
                            <a:fillRect/>
                          </a:stretch>
                        </pic:blipFill>
                        <pic:spPr>
                          <a:xfrm>
                            <a:off x="0" y="0"/>
                            <a:ext cx="736092" cy="396240"/>
                          </a:xfrm>
                          <a:prstGeom prst="rect">
                            <a:avLst/>
                          </a:prstGeom>
                        </pic:spPr>
                      </pic:pic>
                    </a:graphicData>
                  </a:graphic>
                </wp:inline>
              </w:drawing>
            </w:r>
          </w:p>
        </w:tc>
        <w:tc>
          <w:tcPr>
            <w:tcW w:w="805" w:type="dxa"/>
            <w:vAlign w:val="center"/>
          </w:tcPr>
          <w:p w14:paraId="083CA85A">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w:t>
            </w:r>
          </w:p>
        </w:tc>
        <w:tc>
          <w:tcPr>
            <w:tcW w:w="823" w:type="dxa"/>
            <w:vAlign w:val="center"/>
          </w:tcPr>
          <w:p w14:paraId="454C2D9B">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套</w:t>
            </w:r>
          </w:p>
        </w:tc>
        <w:tc>
          <w:tcPr>
            <w:tcW w:w="2682" w:type="dxa"/>
            <w:vAlign w:val="center"/>
          </w:tcPr>
          <w:p w14:paraId="405739FD">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材质具有耐腐蚀、耐热、耐水性、环保型等。</w:t>
            </w:r>
          </w:p>
        </w:tc>
      </w:tr>
      <w:tr w14:paraId="377F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vAlign w:val="center"/>
          </w:tcPr>
          <w:p w14:paraId="51707534">
            <w:pPr>
              <w:jc w:val="center"/>
              <w:rPr>
                <w:rFonts w:ascii="宋体" w:hAnsi="宋体" w:eastAsia="宋体" w:cs="宋体"/>
                <w:snapToGrid w:val="0"/>
                <w:color w:val="000000"/>
                <w:spacing w:val="2"/>
                <w:kern w:val="0"/>
                <w:sz w:val="20"/>
                <w:szCs w:val="20"/>
              </w:rPr>
            </w:pPr>
          </w:p>
        </w:tc>
        <w:tc>
          <w:tcPr>
            <w:tcW w:w="799" w:type="dxa"/>
            <w:shd w:val="clear" w:color="auto" w:fill="auto"/>
            <w:vAlign w:val="center"/>
          </w:tcPr>
          <w:p w14:paraId="59D94870">
            <w:pPr>
              <w:jc w:val="center"/>
              <w:rPr>
                <w:rFonts w:ascii="宋体" w:hAnsi="宋体" w:eastAsia="宋体" w:cs="宋体"/>
                <w:snapToGrid w:val="0"/>
                <w:color w:val="000000"/>
                <w:spacing w:val="2"/>
                <w:kern w:val="0"/>
                <w:sz w:val="20"/>
                <w:szCs w:val="20"/>
              </w:rPr>
            </w:pPr>
          </w:p>
          <w:p w14:paraId="79A5ED53">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2</w:t>
            </w:r>
          </w:p>
        </w:tc>
        <w:tc>
          <w:tcPr>
            <w:tcW w:w="2287" w:type="dxa"/>
            <w:vAlign w:val="center"/>
          </w:tcPr>
          <w:p w14:paraId="6262CE05">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大型户外卡口建构器材</w:t>
            </w:r>
          </w:p>
        </w:tc>
        <w:tc>
          <w:tcPr>
            <w:tcW w:w="1793" w:type="dxa"/>
            <w:vAlign w:val="center"/>
          </w:tcPr>
          <w:p w14:paraId="413FC598">
            <w:pPr>
              <w:jc w:val="center"/>
              <w:rPr>
                <w:rFonts w:ascii="宋体" w:hAnsi="宋体" w:eastAsia="宋体" w:cs="宋体"/>
                <w:snapToGrid w:val="0"/>
                <w:color w:val="000000"/>
                <w:spacing w:val="2"/>
                <w:kern w:val="0"/>
                <w:szCs w:val="21"/>
              </w:rPr>
            </w:pPr>
            <w:r>
              <w:rPr>
                <w:rFonts w:ascii="Arial" w:hAnsi="Arial" w:cs="Arial"/>
                <w:snapToGrid w:val="0"/>
                <w:color w:val="000000"/>
                <w:kern w:val="0"/>
                <w:position w:val="-20"/>
                <w:sz w:val="24"/>
                <w:szCs w:val="24"/>
              </w:rPr>
              <w:drawing>
                <wp:inline distT="0" distB="0" distL="0" distR="0">
                  <wp:extent cx="735965" cy="461645"/>
                  <wp:effectExtent l="0" t="0" r="10795" b="10795"/>
                  <wp:docPr id="99" name="IM 16"/>
                  <wp:cNvGraphicFramePr/>
                  <a:graphic xmlns:a="http://schemas.openxmlformats.org/drawingml/2006/main">
                    <a:graphicData uri="http://schemas.openxmlformats.org/drawingml/2006/picture">
                      <pic:pic xmlns:pic="http://schemas.openxmlformats.org/drawingml/2006/picture">
                        <pic:nvPicPr>
                          <pic:cNvPr id="99" name="IM 16"/>
                          <pic:cNvPicPr/>
                        </pic:nvPicPr>
                        <pic:blipFill>
                          <a:blip r:embed="rId6"/>
                          <a:stretch>
                            <a:fillRect/>
                          </a:stretch>
                        </pic:blipFill>
                        <pic:spPr>
                          <a:xfrm>
                            <a:off x="0" y="0"/>
                            <a:ext cx="736092" cy="461772"/>
                          </a:xfrm>
                          <a:prstGeom prst="rect">
                            <a:avLst/>
                          </a:prstGeom>
                        </pic:spPr>
                      </pic:pic>
                    </a:graphicData>
                  </a:graphic>
                </wp:inline>
              </w:drawing>
            </w:r>
          </w:p>
        </w:tc>
        <w:tc>
          <w:tcPr>
            <w:tcW w:w="805" w:type="dxa"/>
            <w:vAlign w:val="center"/>
          </w:tcPr>
          <w:p w14:paraId="7BA55E73">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w:t>
            </w:r>
          </w:p>
        </w:tc>
        <w:tc>
          <w:tcPr>
            <w:tcW w:w="823" w:type="dxa"/>
            <w:vAlign w:val="center"/>
          </w:tcPr>
          <w:p w14:paraId="4A180BE3">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套</w:t>
            </w:r>
          </w:p>
        </w:tc>
        <w:tc>
          <w:tcPr>
            <w:tcW w:w="2682" w:type="dxa"/>
            <w:vAlign w:val="center"/>
          </w:tcPr>
          <w:p w14:paraId="140885A1">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材质具有耐腐蚀、耐热、耐水性、环保型等。</w:t>
            </w:r>
          </w:p>
        </w:tc>
      </w:tr>
      <w:tr w14:paraId="4879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vAlign w:val="center"/>
          </w:tcPr>
          <w:p w14:paraId="054521D1">
            <w:pPr>
              <w:jc w:val="center"/>
              <w:rPr>
                <w:rFonts w:ascii="宋体" w:hAnsi="宋体" w:eastAsia="宋体" w:cs="宋体"/>
                <w:snapToGrid w:val="0"/>
                <w:color w:val="000000"/>
                <w:spacing w:val="2"/>
                <w:kern w:val="0"/>
                <w:sz w:val="20"/>
                <w:szCs w:val="20"/>
              </w:rPr>
            </w:pPr>
          </w:p>
        </w:tc>
        <w:tc>
          <w:tcPr>
            <w:tcW w:w="799" w:type="dxa"/>
            <w:shd w:val="clear" w:color="auto" w:fill="auto"/>
            <w:vAlign w:val="center"/>
          </w:tcPr>
          <w:p w14:paraId="4A36DC28">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3</w:t>
            </w:r>
          </w:p>
        </w:tc>
        <w:tc>
          <w:tcPr>
            <w:tcW w:w="2287" w:type="dxa"/>
            <w:vAlign w:val="center"/>
          </w:tcPr>
          <w:p w14:paraId="01234F9E">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lang w:eastAsia="en-US"/>
              </w:rPr>
              <w:t>户外软体组合器材</w:t>
            </w:r>
          </w:p>
        </w:tc>
        <w:tc>
          <w:tcPr>
            <w:tcW w:w="1793" w:type="dxa"/>
            <w:vAlign w:val="center"/>
          </w:tcPr>
          <w:p w14:paraId="539B81B2">
            <w:pPr>
              <w:jc w:val="center"/>
              <w:rPr>
                <w:rFonts w:ascii="宋体" w:hAnsi="宋体" w:eastAsia="宋体" w:cs="宋体"/>
                <w:snapToGrid w:val="0"/>
                <w:color w:val="000000"/>
                <w:spacing w:val="2"/>
                <w:kern w:val="0"/>
                <w:szCs w:val="21"/>
              </w:rPr>
            </w:pPr>
            <w:r>
              <w:rPr>
                <w:rFonts w:ascii="Arial" w:hAnsi="Arial" w:cs="Arial"/>
                <w:snapToGrid w:val="0"/>
                <w:color w:val="000000"/>
                <w:kern w:val="0"/>
                <w:position w:val="-19"/>
                <w:sz w:val="24"/>
                <w:szCs w:val="24"/>
              </w:rPr>
              <w:drawing>
                <wp:inline distT="0" distB="0" distL="0" distR="0">
                  <wp:extent cx="735965" cy="434340"/>
                  <wp:effectExtent l="0" t="0" r="10795" b="7620"/>
                  <wp:docPr id="114" name="IM 6"/>
                  <wp:cNvGraphicFramePr/>
                  <a:graphic xmlns:a="http://schemas.openxmlformats.org/drawingml/2006/main">
                    <a:graphicData uri="http://schemas.openxmlformats.org/drawingml/2006/picture">
                      <pic:pic xmlns:pic="http://schemas.openxmlformats.org/drawingml/2006/picture">
                        <pic:nvPicPr>
                          <pic:cNvPr id="114" name="IM 6"/>
                          <pic:cNvPicPr/>
                        </pic:nvPicPr>
                        <pic:blipFill>
                          <a:blip r:embed="rId7"/>
                          <a:stretch>
                            <a:fillRect/>
                          </a:stretch>
                        </pic:blipFill>
                        <pic:spPr>
                          <a:xfrm>
                            <a:off x="0" y="0"/>
                            <a:ext cx="736092" cy="434340"/>
                          </a:xfrm>
                          <a:prstGeom prst="rect">
                            <a:avLst/>
                          </a:prstGeom>
                        </pic:spPr>
                      </pic:pic>
                    </a:graphicData>
                  </a:graphic>
                </wp:inline>
              </w:drawing>
            </w:r>
          </w:p>
        </w:tc>
        <w:tc>
          <w:tcPr>
            <w:tcW w:w="805" w:type="dxa"/>
            <w:vAlign w:val="center"/>
          </w:tcPr>
          <w:p w14:paraId="783E318B">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w:t>
            </w:r>
          </w:p>
        </w:tc>
        <w:tc>
          <w:tcPr>
            <w:tcW w:w="823" w:type="dxa"/>
            <w:vAlign w:val="center"/>
          </w:tcPr>
          <w:p w14:paraId="7C4F2363">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套</w:t>
            </w:r>
          </w:p>
        </w:tc>
        <w:tc>
          <w:tcPr>
            <w:tcW w:w="2682" w:type="dxa"/>
            <w:vAlign w:val="center"/>
          </w:tcPr>
          <w:p w14:paraId="2C3652A5">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包括软垫、镂空正方体、空心滚筒、三级台阶、半圆体、圆柱体、平衡木等；</w:t>
            </w:r>
          </w:p>
          <w:p w14:paraId="32594498">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外观颜色：迷彩色、防水、防晒。</w:t>
            </w:r>
          </w:p>
        </w:tc>
      </w:tr>
      <w:tr w14:paraId="03CD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Merge w:val="continue"/>
            <w:vAlign w:val="center"/>
          </w:tcPr>
          <w:p w14:paraId="34927EB3">
            <w:pPr>
              <w:jc w:val="center"/>
              <w:rPr>
                <w:rFonts w:ascii="宋体" w:hAnsi="宋体" w:eastAsia="宋体" w:cs="宋体"/>
                <w:snapToGrid w:val="0"/>
                <w:color w:val="000000"/>
                <w:spacing w:val="2"/>
                <w:kern w:val="0"/>
                <w:sz w:val="20"/>
                <w:szCs w:val="20"/>
              </w:rPr>
            </w:pPr>
          </w:p>
        </w:tc>
        <w:tc>
          <w:tcPr>
            <w:tcW w:w="799" w:type="dxa"/>
            <w:shd w:val="clear" w:color="auto" w:fill="auto"/>
            <w:vAlign w:val="center"/>
          </w:tcPr>
          <w:p w14:paraId="574D0C9A">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4</w:t>
            </w:r>
          </w:p>
        </w:tc>
        <w:tc>
          <w:tcPr>
            <w:tcW w:w="2287" w:type="dxa"/>
            <w:vAlign w:val="center"/>
          </w:tcPr>
          <w:p w14:paraId="1CE7F4EF">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lang w:eastAsia="en-US"/>
              </w:rPr>
              <w:t>体能运动包</w:t>
            </w:r>
            <w:r>
              <w:rPr>
                <w:rFonts w:hint="eastAsia" w:ascii="宋体" w:hAnsi="宋体" w:eastAsia="宋体" w:cs="宋体"/>
                <w:snapToGrid w:val="0"/>
                <w:color w:val="000000"/>
                <w:spacing w:val="2"/>
                <w:kern w:val="0"/>
                <w:sz w:val="20"/>
                <w:szCs w:val="20"/>
              </w:rPr>
              <w:t>器材</w:t>
            </w:r>
          </w:p>
        </w:tc>
        <w:tc>
          <w:tcPr>
            <w:tcW w:w="1793" w:type="dxa"/>
            <w:vAlign w:val="center"/>
          </w:tcPr>
          <w:p w14:paraId="25569522">
            <w:pPr>
              <w:jc w:val="center"/>
              <w:rPr>
                <w:rFonts w:ascii="宋体" w:hAnsi="宋体" w:eastAsia="宋体" w:cs="宋体"/>
                <w:snapToGrid w:val="0"/>
                <w:color w:val="000000"/>
                <w:spacing w:val="2"/>
                <w:kern w:val="0"/>
                <w:szCs w:val="21"/>
              </w:rPr>
            </w:pPr>
            <w:r>
              <w:rPr>
                <w:rFonts w:ascii="Arial" w:hAnsi="Arial" w:cs="Arial"/>
                <w:snapToGrid w:val="0"/>
                <w:color w:val="000000"/>
                <w:kern w:val="0"/>
                <w:position w:val="-19"/>
                <w:sz w:val="24"/>
                <w:szCs w:val="24"/>
              </w:rPr>
              <w:drawing>
                <wp:inline distT="0" distB="0" distL="0" distR="0">
                  <wp:extent cx="735965" cy="435610"/>
                  <wp:effectExtent l="0" t="0" r="10795" b="6350"/>
                  <wp:docPr id="115" name="IM 8"/>
                  <wp:cNvGraphicFramePr/>
                  <a:graphic xmlns:a="http://schemas.openxmlformats.org/drawingml/2006/main">
                    <a:graphicData uri="http://schemas.openxmlformats.org/drawingml/2006/picture">
                      <pic:pic xmlns:pic="http://schemas.openxmlformats.org/drawingml/2006/picture">
                        <pic:nvPicPr>
                          <pic:cNvPr id="115" name="IM 8"/>
                          <pic:cNvPicPr/>
                        </pic:nvPicPr>
                        <pic:blipFill>
                          <a:blip r:embed="rId8"/>
                          <a:stretch>
                            <a:fillRect/>
                          </a:stretch>
                        </pic:blipFill>
                        <pic:spPr>
                          <a:xfrm>
                            <a:off x="0" y="0"/>
                            <a:ext cx="736092" cy="435864"/>
                          </a:xfrm>
                          <a:prstGeom prst="rect">
                            <a:avLst/>
                          </a:prstGeom>
                        </pic:spPr>
                      </pic:pic>
                    </a:graphicData>
                  </a:graphic>
                </wp:inline>
              </w:drawing>
            </w:r>
          </w:p>
        </w:tc>
        <w:tc>
          <w:tcPr>
            <w:tcW w:w="805" w:type="dxa"/>
            <w:vAlign w:val="center"/>
          </w:tcPr>
          <w:p w14:paraId="47F76B89">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w:t>
            </w:r>
          </w:p>
        </w:tc>
        <w:tc>
          <w:tcPr>
            <w:tcW w:w="823" w:type="dxa"/>
            <w:vAlign w:val="center"/>
          </w:tcPr>
          <w:p w14:paraId="73201704">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套</w:t>
            </w:r>
          </w:p>
        </w:tc>
        <w:tc>
          <w:tcPr>
            <w:tcW w:w="2682" w:type="dxa"/>
            <w:vAlign w:val="center"/>
          </w:tcPr>
          <w:p w14:paraId="25DC3D09">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包括绳梯、站球衣、跨栏架、跳台、投掷筐、软式标枪、百变条等；防水。</w:t>
            </w:r>
          </w:p>
        </w:tc>
      </w:tr>
      <w:tr w14:paraId="2C1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9" w:type="dxa"/>
            <w:vMerge w:val="continue"/>
            <w:vAlign w:val="center"/>
          </w:tcPr>
          <w:p w14:paraId="7F7698B3">
            <w:pPr>
              <w:jc w:val="center"/>
              <w:rPr>
                <w:rFonts w:ascii="宋体" w:hAnsi="宋体" w:eastAsia="宋体" w:cs="宋体"/>
                <w:snapToGrid w:val="0"/>
                <w:color w:val="000000"/>
                <w:spacing w:val="2"/>
                <w:kern w:val="0"/>
                <w:sz w:val="20"/>
                <w:szCs w:val="20"/>
              </w:rPr>
            </w:pPr>
          </w:p>
        </w:tc>
        <w:tc>
          <w:tcPr>
            <w:tcW w:w="799" w:type="dxa"/>
            <w:vMerge w:val="restart"/>
            <w:shd w:val="clear" w:color="auto" w:fill="auto"/>
            <w:vAlign w:val="center"/>
          </w:tcPr>
          <w:p w14:paraId="560E86F7">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5</w:t>
            </w:r>
          </w:p>
        </w:tc>
        <w:tc>
          <w:tcPr>
            <w:tcW w:w="2287" w:type="dxa"/>
            <w:vMerge w:val="restart"/>
            <w:vAlign w:val="center"/>
          </w:tcPr>
          <w:p w14:paraId="6BF213EB">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户外器材收纳柜</w:t>
            </w:r>
          </w:p>
        </w:tc>
        <w:tc>
          <w:tcPr>
            <w:tcW w:w="1793" w:type="dxa"/>
            <w:vAlign w:val="center"/>
          </w:tcPr>
          <w:p w14:paraId="5BA43E9D">
            <w:pPr>
              <w:spacing w:before="82" w:line="190" w:lineRule="auto"/>
              <w:jc w:val="center"/>
              <w:rPr>
                <w:rFonts w:ascii="宋体" w:hAnsi="宋体" w:eastAsia="宋体" w:cs="宋体"/>
                <w:snapToGrid w:val="0"/>
                <w:color w:val="000000"/>
                <w:spacing w:val="2"/>
                <w:kern w:val="0"/>
                <w:sz w:val="20"/>
                <w:szCs w:val="20"/>
              </w:rPr>
            </w:pPr>
            <w:r>
              <w:rPr>
                <w:rFonts w:ascii="宋体" w:hAnsi="宋体" w:eastAsia="宋体" w:cs="宋体"/>
                <w:snapToGrid w:val="0"/>
                <w:color w:val="000000"/>
                <w:spacing w:val="2"/>
                <w:kern w:val="0"/>
                <w:sz w:val="20"/>
                <w:szCs w:val="20"/>
              </w:rPr>
              <w:t>体能运动包</w:t>
            </w:r>
            <w:r>
              <w:rPr>
                <w:rFonts w:hint="eastAsia" w:ascii="宋体" w:hAnsi="宋体" w:eastAsia="宋体" w:cs="宋体"/>
                <w:snapToGrid w:val="0"/>
                <w:color w:val="000000"/>
                <w:spacing w:val="2"/>
                <w:kern w:val="0"/>
                <w:sz w:val="20"/>
                <w:szCs w:val="20"/>
              </w:rPr>
              <w:t>器材收纳柜</w:t>
            </w:r>
          </w:p>
        </w:tc>
        <w:tc>
          <w:tcPr>
            <w:tcW w:w="805" w:type="dxa"/>
            <w:vMerge w:val="restart"/>
            <w:vAlign w:val="center"/>
          </w:tcPr>
          <w:p w14:paraId="6E798792">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1</w:t>
            </w:r>
          </w:p>
        </w:tc>
        <w:tc>
          <w:tcPr>
            <w:tcW w:w="823" w:type="dxa"/>
            <w:vMerge w:val="restart"/>
            <w:vAlign w:val="center"/>
          </w:tcPr>
          <w:p w14:paraId="14545889">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套</w:t>
            </w:r>
          </w:p>
        </w:tc>
        <w:tc>
          <w:tcPr>
            <w:tcW w:w="2682" w:type="dxa"/>
            <w:vMerge w:val="restart"/>
            <w:vAlign w:val="center"/>
          </w:tcPr>
          <w:p w14:paraId="5471A6D8">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钢质收纳架、防尘罩（牛津布防水）、收纳筐</w:t>
            </w:r>
          </w:p>
        </w:tc>
      </w:tr>
      <w:tr w14:paraId="18F0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579" w:type="dxa"/>
            <w:vMerge w:val="continue"/>
            <w:vAlign w:val="center"/>
          </w:tcPr>
          <w:p w14:paraId="26F7533C">
            <w:pPr>
              <w:jc w:val="center"/>
            </w:pPr>
          </w:p>
        </w:tc>
        <w:tc>
          <w:tcPr>
            <w:tcW w:w="799" w:type="dxa"/>
            <w:vMerge w:val="continue"/>
            <w:shd w:val="clear" w:color="auto" w:fill="auto"/>
            <w:vAlign w:val="center"/>
          </w:tcPr>
          <w:p w14:paraId="0D027336">
            <w:pPr>
              <w:jc w:val="center"/>
            </w:pPr>
          </w:p>
        </w:tc>
        <w:tc>
          <w:tcPr>
            <w:tcW w:w="2287" w:type="dxa"/>
            <w:vMerge w:val="continue"/>
            <w:vAlign w:val="center"/>
          </w:tcPr>
          <w:p w14:paraId="2CDF7D62">
            <w:pPr>
              <w:jc w:val="center"/>
            </w:pPr>
          </w:p>
        </w:tc>
        <w:tc>
          <w:tcPr>
            <w:tcW w:w="1793" w:type="dxa"/>
            <w:vAlign w:val="center"/>
          </w:tcPr>
          <w:p w14:paraId="65EE4979">
            <w:pPr>
              <w:jc w:val="center"/>
              <w:rPr>
                <w:rFonts w:ascii="宋体" w:hAnsi="宋体" w:eastAsia="宋体" w:cs="宋体"/>
                <w:snapToGrid w:val="0"/>
                <w:color w:val="000000"/>
                <w:spacing w:val="2"/>
                <w:kern w:val="0"/>
                <w:sz w:val="20"/>
                <w:szCs w:val="20"/>
              </w:rPr>
            </w:pPr>
            <w:r>
              <w:rPr>
                <w:rFonts w:hint="eastAsia" w:ascii="宋体" w:hAnsi="宋体" w:eastAsia="宋体" w:cs="宋体"/>
                <w:snapToGrid w:val="0"/>
                <w:color w:val="000000"/>
                <w:spacing w:val="2"/>
                <w:kern w:val="0"/>
                <w:sz w:val="20"/>
                <w:szCs w:val="20"/>
              </w:rPr>
              <w:t>大型户外螺母建构器材收纳柜</w:t>
            </w:r>
          </w:p>
        </w:tc>
        <w:tc>
          <w:tcPr>
            <w:tcW w:w="805" w:type="dxa"/>
            <w:vMerge w:val="continue"/>
            <w:vAlign w:val="center"/>
          </w:tcPr>
          <w:p w14:paraId="118E8AA7">
            <w:pPr>
              <w:jc w:val="center"/>
              <w:rPr>
                <w:rFonts w:ascii="宋体" w:hAnsi="宋体" w:eastAsia="宋体" w:cs="宋体"/>
                <w:snapToGrid w:val="0"/>
                <w:color w:val="000000"/>
                <w:spacing w:val="2"/>
                <w:kern w:val="0"/>
                <w:sz w:val="18"/>
                <w:szCs w:val="18"/>
              </w:rPr>
            </w:pPr>
          </w:p>
        </w:tc>
        <w:tc>
          <w:tcPr>
            <w:tcW w:w="823" w:type="dxa"/>
            <w:vMerge w:val="continue"/>
            <w:vAlign w:val="center"/>
          </w:tcPr>
          <w:p w14:paraId="2C0F43C0">
            <w:pPr>
              <w:jc w:val="center"/>
              <w:rPr>
                <w:rFonts w:ascii="宋体" w:hAnsi="宋体" w:eastAsia="宋体" w:cs="宋体"/>
                <w:snapToGrid w:val="0"/>
                <w:color w:val="000000"/>
                <w:spacing w:val="2"/>
                <w:kern w:val="0"/>
                <w:sz w:val="18"/>
                <w:szCs w:val="18"/>
              </w:rPr>
            </w:pPr>
          </w:p>
        </w:tc>
        <w:tc>
          <w:tcPr>
            <w:tcW w:w="2682" w:type="dxa"/>
            <w:vMerge w:val="continue"/>
            <w:vAlign w:val="center"/>
          </w:tcPr>
          <w:p w14:paraId="5076F7D3">
            <w:pPr>
              <w:jc w:val="center"/>
              <w:rPr>
                <w:rFonts w:ascii="宋体" w:hAnsi="宋体" w:eastAsia="宋体" w:cs="宋体"/>
                <w:snapToGrid w:val="0"/>
                <w:color w:val="000000"/>
                <w:spacing w:val="2"/>
                <w:kern w:val="0"/>
                <w:sz w:val="18"/>
                <w:szCs w:val="18"/>
              </w:rPr>
            </w:pPr>
          </w:p>
        </w:tc>
      </w:tr>
      <w:tr w14:paraId="4FFE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79" w:type="dxa"/>
            <w:vMerge w:val="continue"/>
            <w:vAlign w:val="center"/>
          </w:tcPr>
          <w:p w14:paraId="7D20E0D6">
            <w:pPr>
              <w:jc w:val="center"/>
              <w:rPr>
                <w:rFonts w:ascii="宋体" w:hAnsi="宋体" w:eastAsia="宋体" w:cs="宋体"/>
                <w:snapToGrid w:val="0"/>
                <w:color w:val="000000"/>
                <w:spacing w:val="2"/>
                <w:kern w:val="0"/>
                <w:sz w:val="18"/>
                <w:szCs w:val="18"/>
              </w:rPr>
            </w:pPr>
          </w:p>
        </w:tc>
        <w:tc>
          <w:tcPr>
            <w:tcW w:w="799" w:type="dxa"/>
            <w:vMerge w:val="continue"/>
            <w:shd w:val="clear" w:color="auto" w:fill="auto"/>
            <w:vAlign w:val="center"/>
          </w:tcPr>
          <w:p w14:paraId="1BF281E3">
            <w:pPr>
              <w:jc w:val="center"/>
              <w:rPr>
                <w:rFonts w:ascii="宋体" w:hAnsi="宋体" w:eastAsia="宋体" w:cs="宋体"/>
                <w:snapToGrid w:val="0"/>
                <w:color w:val="000000"/>
                <w:spacing w:val="2"/>
                <w:kern w:val="0"/>
                <w:sz w:val="18"/>
                <w:szCs w:val="18"/>
              </w:rPr>
            </w:pPr>
          </w:p>
        </w:tc>
        <w:tc>
          <w:tcPr>
            <w:tcW w:w="2287" w:type="dxa"/>
            <w:vMerge w:val="continue"/>
            <w:vAlign w:val="center"/>
          </w:tcPr>
          <w:p w14:paraId="78E685BA">
            <w:pPr>
              <w:jc w:val="center"/>
              <w:rPr>
                <w:rFonts w:ascii="宋体" w:hAnsi="宋体" w:eastAsia="宋体" w:cs="宋体"/>
                <w:snapToGrid w:val="0"/>
                <w:color w:val="000000"/>
                <w:spacing w:val="2"/>
                <w:kern w:val="0"/>
                <w:sz w:val="18"/>
                <w:szCs w:val="18"/>
              </w:rPr>
            </w:pPr>
          </w:p>
        </w:tc>
        <w:tc>
          <w:tcPr>
            <w:tcW w:w="1793" w:type="dxa"/>
            <w:vAlign w:val="center"/>
          </w:tcPr>
          <w:p w14:paraId="516ADC02">
            <w:pPr>
              <w:jc w:val="center"/>
              <w:rPr>
                <w:rFonts w:ascii="宋体" w:hAnsi="宋体" w:eastAsia="宋体" w:cs="宋体"/>
                <w:snapToGrid w:val="0"/>
                <w:color w:val="000000"/>
                <w:spacing w:val="2"/>
                <w:kern w:val="0"/>
                <w:sz w:val="20"/>
                <w:szCs w:val="20"/>
              </w:rPr>
            </w:pPr>
            <w:r>
              <w:rPr>
                <w:rFonts w:ascii="宋体" w:hAnsi="宋体" w:eastAsia="宋体" w:cs="宋体"/>
                <w:snapToGrid w:val="0"/>
                <w:color w:val="000000"/>
                <w:spacing w:val="2"/>
                <w:kern w:val="0"/>
                <w:sz w:val="20"/>
                <w:szCs w:val="20"/>
              </w:rPr>
              <w:t>大型</w:t>
            </w:r>
            <w:r>
              <w:rPr>
                <w:rFonts w:hint="eastAsia" w:ascii="宋体" w:hAnsi="宋体" w:eastAsia="宋体" w:cs="宋体"/>
                <w:snapToGrid w:val="0"/>
                <w:color w:val="000000"/>
                <w:spacing w:val="2"/>
                <w:kern w:val="0"/>
                <w:sz w:val="20"/>
                <w:szCs w:val="20"/>
              </w:rPr>
              <w:t>户外</w:t>
            </w:r>
            <w:r>
              <w:rPr>
                <w:rFonts w:ascii="宋体" w:hAnsi="宋体" w:eastAsia="宋体" w:cs="宋体"/>
                <w:snapToGrid w:val="0"/>
                <w:color w:val="000000"/>
                <w:spacing w:val="2"/>
                <w:kern w:val="0"/>
                <w:sz w:val="20"/>
                <w:szCs w:val="20"/>
              </w:rPr>
              <w:t>卡口建构器材</w:t>
            </w:r>
            <w:r>
              <w:rPr>
                <w:rFonts w:hint="eastAsia" w:ascii="宋体" w:hAnsi="宋体" w:eastAsia="宋体" w:cs="宋体"/>
                <w:snapToGrid w:val="0"/>
                <w:color w:val="000000"/>
                <w:spacing w:val="2"/>
                <w:kern w:val="0"/>
                <w:sz w:val="20"/>
                <w:szCs w:val="20"/>
              </w:rPr>
              <w:t>收纳柜</w:t>
            </w:r>
          </w:p>
        </w:tc>
        <w:tc>
          <w:tcPr>
            <w:tcW w:w="805" w:type="dxa"/>
            <w:vMerge w:val="continue"/>
            <w:vAlign w:val="center"/>
          </w:tcPr>
          <w:p w14:paraId="29556314">
            <w:pPr>
              <w:jc w:val="center"/>
              <w:rPr>
                <w:rFonts w:ascii="宋体" w:hAnsi="宋体" w:eastAsia="宋体" w:cs="宋体"/>
                <w:snapToGrid w:val="0"/>
                <w:color w:val="000000"/>
                <w:spacing w:val="2"/>
                <w:kern w:val="0"/>
                <w:sz w:val="18"/>
                <w:szCs w:val="18"/>
              </w:rPr>
            </w:pPr>
          </w:p>
        </w:tc>
        <w:tc>
          <w:tcPr>
            <w:tcW w:w="823" w:type="dxa"/>
            <w:vMerge w:val="continue"/>
            <w:vAlign w:val="center"/>
          </w:tcPr>
          <w:p w14:paraId="69D9AD0A">
            <w:pPr>
              <w:jc w:val="center"/>
              <w:rPr>
                <w:rFonts w:ascii="宋体" w:hAnsi="宋体" w:eastAsia="宋体" w:cs="宋体"/>
                <w:snapToGrid w:val="0"/>
                <w:color w:val="000000"/>
                <w:spacing w:val="2"/>
                <w:kern w:val="0"/>
                <w:sz w:val="18"/>
                <w:szCs w:val="18"/>
              </w:rPr>
            </w:pPr>
          </w:p>
        </w:tc>
        <w:tc>
          <w:tcPr>
            <w:tcW w:w="2682" w:type="dxa"/>
            <w:vMerge w:val="continue"/>
            <w:vAlign w:val="center"/>
          </w:tcPr>
          <w:p w14:paraId="0A1BFA94">
            <w:pPr>
              <w:jc w:val="center"/>
              <w:rPr>
                <w:rFonts w:ascii="宋体" w:hAnsi="宋体" w:eastAsia="宋体" w:cs="宋体"/>
                <w:snapToGrid w:val="0"/>
                <w:color w:val="000000"/>
                <w:spacing w:val="2"/>
                <w:kern w:val="0"/>
                <w:sz w:val="18"/>
                <w:szCs w:val="18"/>
              </w:rPr>
            </w:pPr>
          </w:p>
        </w:tc>
      </w:tr>
    </w:tbl>
    <w:p w14:paraId="35552D2E">
      <w:pPr>
        <w:adjustRightInd w:val="0"/>
        <w:spacing w:line="530" w:lineRule="exact"/>
        <w:ind w:firstLine="640" w:firstLineChars="200"/>
        <w:rPr>
          <w:rFonts w:ascii="仿宋_GB2312" w:hAnsi="仿宋" w:eastAsia="仿宋_GB2312"/>
          <w:bCs/>
          <w:sz w:val="32"/>
          <w:szCs w:val="32"/>
        </w:rPr>
      </w:pPr>
    </w:p>
    <w:p w14:paraId="17F701F5">
      <w:pPr>
        <w:adjustRightInd w:val="0"/>
        <w:spacing w:line="530" w:lineRule="exact"/>
        <w:rPr>
          <w:rFonts w:ascii="仿宋_GB2312" w:hAnsi="仿宋" w:eastAsia="仿宋_GB2312"/>
          <w:b/>
          <w:sz w:val="52"/>
          <w:szCs w:val="52"/>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b/>
          <w:color w:val="FF0000"/>
          <w:sz w:val="52"/>
          <w:szCs w:val="52"/>
        </w:rPr>
        <w:t>评审时应提供第三方检测合格报告</w:t>
      </w:r>
    </w:p>
    <w:p w14:paraId="21E42702">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附件3</w:t>
      </w:r>
    </w:p>
    <w:p w14:paraId="38CFCDDE">
      <w:pPr>
        <w:widowControl/>
        <w:spacing w:beforeLines="100" w:afterLines="50"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经济要求</w:t>
      </w:r>
    </w:p>
    <w:p w14:paraId="6217BF38">
      <w:pPr>
        <w:pStyle w:val="2"/>
        <w:keepNext w:val="0"/>
        <w:keepLines w:val="0"/>
        <w:adjustRightInd w:val="0"/>
        <w:spacing w:before="0" w:after="0" w:line="530" w:lineRule="exact"/>
        <w:ind w:firstLine="643" w:firstLineChars="200"/>
        <w:rPr>
          <w:rFonts w:ascii="黑体" w:hAnsi="黑体" w:cs="黑体"/>
          <w:b w:val="0"/>
          <w:bCs w:val="0"/>
          <w:sz w:val="32"/>
          <w:szCs w:val="32"/>
        </w:rPr>
      </w:pPr>
      <w:bookmarkStart w:id="21" w:name="_Toc128151031"/>
      <w:bookmarkStart w:id="22" w:name="_Toc128150138"/>
      <w:bookmarkStart w:id="23" w:name="_Toc128397974"/>
      <w:bookmarkStart w:id="24" w:name="_Toc127820568"/>
      <w:bookmarkStart w:id="25" w:name="_Toc128150782"/>
      <w:r>
        <w:rPr>
          <w:rFonts w:hint="eastAsia" w:ascii="黑体" w:hAnsi="黑体" w:cs="黑体"/>
          <w:sz w:val="32"/>
          <w:szCs w:val="32"/>
        </w:rPr>
        <w:t>★</w:t>
      </w:r>
      <w:r>
        <w:rPr>
          <w:rFonts w:hint="eastAsia" w:ascii="黑体" w:hAnsi="黑体" w:cs="黑体"/>
          <w:b w:val="0"/>
          <w:bCs w:val="0"/>
          <w:sz w:val="32"/>
          <w:szCs w:val="32"/>
        </w:rPr>
        <w:t>一、</w:t>
      </w:r>
      <w:bookmarkEnd w:id="21"/>
      <w:bookmarkEnd w:id="22"/>
      <w:bookmarkEnd w:id="23"/>
      <w:bookmarkEnd w:id="24"/>
      <w:bookmarkEnd w:id="25"/>
      <w:bookmarkStart w:id="26" w:name="_Hlk129329253"/>
      <w:r>
        <w:rPr>
          <w:rFonts w:hint="eastAsia" w:ascii="黑体" w:hAnsi="黑体" w:cs="黑体"/>
          <w:b w:val="0"/>
          <w:bCs w:val="0"/>
          <w:sz w:val="32"/>
          <w:szCs w:val="32"/>
        </w:rPr>
        <w:t>交付时间</w:t>
      </w:r>
      <w:bookmarkEnd w:id="26"/>
      <w:r>
        <w:rPr>
          <w:rFonts w:hint="eastAsia" w:ascii="黑体" w:hAnsi="黑体" w:cs="黑体"/>
          <w:b w:val="0"/>
          <w:bCs w:val="0"/>
          <w:sz w:val="32"/>
          <w:szCs w:val="32"/>
        </w:rPr>
        <w:t>、地点及方式</w:t>
      </w:r>
    </w:p>
    <w:p w14:paraId="70C5B3AC">
      <w:pPr>
        <w:numPr>
          <w:ilvl w:val="0"/>
          <w:numId w:val="0"/>
        </w:numPr>
        <w:adjustRightInd w:val="0"/>
        <w:spacing w:line="530" w:lineRule="exact"/>
        <w:ind w:firstLine="640" w:firstLineChars="200"/>
        <w:rPr>
          <w:rFonts w:hint="eastAsia" w:ascii="楷体_GB2312" w:hAnsi="Times New Roman" w:eastAsia="楷体_GB2312" w:cs="Times New Roman"/>
          <w:sz w:val="28"/>
          <w:szCs w:val="28"/>
          <w:lang w:val="zh-CN" w:eastAsia="zh-CN"/>
        </w:rPr>
      </w:pPr>
      <w:r>
        <w:rPr>
          <w:rFonts w:hint="eastAsia" w:ascii="仿宋_GB2312" w:hAnsi="仿宋" w:eastAsia="仿宋_GB2312" w:cs="宋体"/>
          <w:bCs/>
          <w:kern w:val="2"/>
          <w:sz w:val="32"/>
          <w:szCs w:val="32"/>
          <w:lang w:val="en-US" w:eastAsia="zh-CN" w:bidi="ar-SA"/>
        </w:rPr>
        <w:t>（一）</w:t>
      </w:r>
      <w:r>
        <w:rPr>
          <w:rFonts w:hint="eastAsia" w:ascii="仿宋_GB2312" w:hAnsi="仿宋" w:eastAsia="仿宋_GB2312" w:cs="宋体"/>
          <w:bCs/>
          <w:sz w:val="32"/>
          <w:szCs w:val="32"/>
        </w:rPr>
        <w:t>交付时间：</w:t>
      </w:r>
      <w:r>
        <w:rPr>
          <w:rFonts w:hint="eastAsia" w:ascii="楷体_GB2312" w:hAnsi="Times New Roman" w:eastAsia="楷体_GB2312" w:cs="Times New Roman"/>
          <w:sz w:val="28"/>
          <w:szCs w:val="28"/>
          <w:lang w:val="zh-CN"/>
        </w:rPr>
        <w:t>签订合同40天</w:t>
      </w:r>
      <w:r>
        <w:rPr>
          <w:rFonts w:hint="eastAsia" w:ascii="楷体_GB2312" w:hAnsi="Times New Roman" w:eastAsia="楷体_GB2312" w:cs="Times New Roman"/>
          <w:sz w:val="28"/>
          <w:szCs w:val="28"/>
          <w:lang w:val="zh-CN" w:eastAsia="zh-CN"/>
        </w:rPr>
        <w:t>内</w:t>
      </w:r>
    </w:p>
    <w:p w14:paraId="22ABC24E">
      <w:pPr>
        <w:numPr>
          <w:ilvl w:val="0"/>
          <w:numId w:val="0"/>
        </w:numPr>
        <w:adjustRightInd w:val="0"/>
        <w:spacing w:line="530" w:lineRule="exact"/>
        <w:ind w:firstLine="640" w:firstLineChars="200"/>
        <w:rPr>
          <w:rFonts w:hint="eastAsia" w:ascii="楷体_GB2312" w:hAnsi="Times New Roman" w:eastAsia="楷体_GB2312" w:cs="Times New Roman"/>
          <w:sz w:val="28"/>
          <w:szCs w:val="28"/>
          <w:lang w:eastAsia="zh-CN"/>
        </w:rPr>
      </w:pPr>
      <w:r>
        <w:rPr>
          <w:rFonts w:hint="eastAsia" w:ascii="仿宋_GB2312" w:hAnsi="仿宋" w:eastAsia="仿宋_GB2312" w:cs="宋体"/>
          <w:bCs/>
          <w:sz w:val="32"/>
          <w:szCs w:val="32"/>
        </w:rPr>
        <w:t>（二）交付地点：</w:t>
      </w:r>
      <w:r>
        <w:rPr>
          <w:rFonts w:hint="eastAsia" w:ascii="楷体_GB2312" w:hAnsi="Times New Roman" w:eastAsia="楷体_GB2312" w:cs="Times New Roman"/>
          <w:sz w:val="28"/>
          <w:szCs w:val="28"/>
          <w:lang w:val="zh-CN"/>
        </w:rPr>
        <w:t>甘肃省兰州市七里河区</w:t>
      </w:r>
      <w:bookmarkStart w:id="44" w:name="_GoBack"/>
      <w:bookmarkEnd w:id="44"/>
    </w:p>
    <w:p w14:paraId="56285D2A">
      <w:pPr>
        <w:adjustRightInd w:val="0"/>
        <w:spacing w:line="530" w:lineRule="exact"/>
        <w:ind w:firstLine="640" w:firstLineChars="200"/>
        <w:rPr>
          <w:rFonts w:ascii="楷体_GB2312" w:hAnsi="Times New Roman" w:eastAsia="楷体_GB2312" w:cs="Times New Roman"/>
          <w:sz w:val="28"/>
          <w:szCs w:val="28"/>
          <w:lang w:val="zh-CN"/>
        </w:rPr>
      </w:pPr>
      <w:r>
        <w:rPr>
          <w:rFonts w:hint="eastAsia" w:ascii="仿宋_GB2312" w:hAnsi="仿宋" w:eastAsia="仿宋_GB2312" w:cs="宋体"/>
          <w:bCs/>
          <w:sz w:val="32"/>
          <w:szCs w:val="32"/>
        </w:rPr>
        <w:t>（三）交付方式：</w:t>
      </w:r>
      <w:r>
        <w:rPr>
          <w:rFonts w:hint="eastAsia" w:ascii="楷体_GB2312" w:hAnsi="Times New Roman" w:eastAsia="楷体_GB2312" w:cs="Times New Roman"/>
          <w:sz w:val="28"/>
          <w:szCs w:val="28"/>
          <w:lang w:val="zh-CN"/>
        </w:rPr>
        <w:t>现场交付</w:t>
      </w:r>
    </w:p>
    <w:p w14:paraId="545F046E">
      <w:pPr>
        <w:pStyle w:val="2"/>
        <w:keepNext w:val="0"/>
        <w:keepLines w:val="0"/>
        <w:adjustRightInd w:val="0"/>
        <w:spacing w:before="0" w:after="0" w:line="53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二、包装及技术材料</w:t>
      </w:r>
    </w:p>
    <w:p w14:paraId="7E673417">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（一）乙方提供的物资采用国家或行业规定的标准进行包装，包装费用由乙方承担。</w:t>
      </w:r>
    </w:p>
    <w:p w14:paraId="58636227">
      <w:pPr>
        <w:adjustRightInd w:val="0"/>
        <w:spacing w:line="530" w:lineRule="exact"/>
        <w:ind w:firstLine="640" w:firstLineChars="200"/>
        <w:rPr>
          <w:rFonts w:ascii="仿宋_GB2312" w:hAnsi="仿宋" w:eastAsia="仿宋_GB2312"/>
          <w:bCs/>
          <w:sz w:val="32"/>
          <w:szCs w:val="32"/>
        </w:rPr>
      </w:pPr>
      <w:bookmarkStart w:id="27" w:name="_Hlk129330044"/>
      <w:r>
        <w:rPr>
          <w:rFonts w:hint="eastAsia" w:ascii="仿宋_GB2312" w:hAnsi="仿宋" w:eastAsia="仿宋_GB2312"/>
          <w:bCs/>
          <w:sz w:val="32"/>
          <w:szCs w:val="32"/>
        </w:rPr>
        <w:t>（二）</w:t>
      </w:r>
      <w:bookmarkEnd w:id="27"/>
      <w:r>
        <w:rPr>
          <w:rFonts w:hint="eastAsia" w:ascii="仿宋_GB2312" w:hAnsi="仿宋" w:eastAsia="仿宋_GB2312"/>
          <w:bCs/>
          <w:sz w:val="32"/>
          <w:szCs w:val="32"/>
        </w:rPr>
        <w:t>乙方提供的物资、技术材料，应当有详细的说明，包括物资的规格、技术指标及外观质量情况等，并附检验合格证和保修保养证书。</w:t>
      </w:r>
    </w:p>
    <w:p w14:paraId="17F7955E">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1.乙方所出售的全部物资均应</w:t>
      </w:r>
      <w:r>
        <w:rPr>
          <w:rFonts w:hint="eastAsia" w:ascii="仿宋_GB2312" w:eastAsia="仿宋_GB2312"/>
          <w:sz w:val="32"/>
          <w:szCs w:val="32"/>
        </w:rPr>
        <w:t>当</w:t>
      </w:r>
      <w:r>
        <w:rPr>
          <w:rFonts w:hint="eastAsia" w:ascii="仿宋_GB2312" w:eastAsia="仿宋_GB2312"/>
          <w:bCs/>
          <w:sz w:val="32"/>
          <w:szCs w:val="32"/>
        </w:rPr>
        <w:t>按标准保护措施进行包装，包装应</w:t>
      </w:r>
      <w:r>
        <w:rPr>
          <w:rFonts w:hint="eastAsia" w:ascii="仿宋_GB2312" w:eastAsia="仿宋_GB2312"/>
          <w:sz w:val="32"/>
          <w:szCs w:val="32"/>
        </w:rPr>
        <w:t>当</w:t>
      </w:r>
      <w:r>
        <w:rPr>
          <w:rFonts w:hint="eastAsia" w:ascii="仿宋_GB2312" w:eastAsia="仿宋_GB2312"/>
          <w:bCs/>
          <w:sz w:val="32"/>
          <w:szCs w:val="32"/>
        </w:rPr>
        <w:t>适应于远距离运输、防潮、防震、防锈和防野蛮装卸等要求，以确保物资安全无损地运抵指定现场。由于包装防护措施不妥而引起的损坏、丢失由乙方负责。</w:t>
      </w:r>
    </w:p>
    <w:p w14:paraId="60350BC7">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2.每一个包装箱内应</w:t>
      </w:r>
      <w:r>
        <w:rPr>
          <w:rFonts w:hint="eastAsia" w:ascii="仿宋_GB2312" w:eastAsia="仿宋_GB2312"/>
          <w:sz w:val="32"/>
          <w:szCs w:val="32"/>
        </w:rPr>
        <w:t>当</w:t>
      </w:r>
      <w:r>
        <w:rPr>
          <w:rFonts w:hint="eastAsia" w:ascii="仿宋_GB2312" w:eastAsia="仿宋_GB2312"/>
          <w:bCs/>
          <w:sz w:val="32"/>
          <w:szCs w:val="32"/>
        </w:rPr>
        <w:t>附一份详细装箱清单。</w:t>
      </w:r>
    </w:p>
    <w:p w14:paraId="29B5C91D">
      <w:pPr>
        <w:pStyle w:val="2"/>
        <w:keepNext w:val="0"/>
        <w:keepLines w:val="0"/>
        <w:adjustRightInd w:val="0"/>
        <w:spacing w:before="0" w:after="0" w:line="53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三、运输和保险</w:t>
      </w:r>
    </w:p>
    <w:p w14:paraId="747FBA8B">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（一）乙方负责将物资运抵合同约定的甲方指定地点。以上所发生的相关费用应</w:t>
      </w:r>
      <w:r>
        <w:rPr>
          <w:rFonts w:hint="eastAsia" w:ascii="仿宋_GB2312" w:hAnsi="仿宋" w:eastAsia="仿宋_GB2312"/>
          <w:sz w:val="32"/>
          <w:szCs w:val="32"/>
        </w:rPr>
        <w:t>当</w:t>
      </w:r>
      <w:r>
        <w:rPr>
          <w:rFonts w:hint="eastAsia" w:ascii="仿宋_GB2312" w:hAnsi="仿宋" w:eastAsia="仿宋_GB2312"/>
          <w:bCs/>
          <w:sz w:val="32"/>
          <w:szCs w:val="32"/>
        </w:rPr>
        <w:t>包括在合同总价中。</w:t>
      </w:r>
    </w:p>
    <w:p w14:paraId="2F53EBE8">
      <w:pPr>
        <w:pStyle w:val="3"/>
        <w:adjustRightInd w:val="0"/>
        <w:spacing w:after="0"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（二）物资交付前，乙方应</w:t>
      </w:r>
      <w:r>
        <w:rPr>
          <w:rFonts w:hint="eastAsia" w:ascii="仿宋_GB2312" w:hAnsi="仿宋" w:eastAsia="仿宋_GB2312"/>
          <w:sz w:val="32"/>
          <w:szCs w:val="32"/>
        </w:rPr>
        <w:t>当</w:t>
      </w:r>
      <w:r>
        <w:rPr>
          <w:rFonts w:hint="eastAsia" w:ascii="仿宋_GB2312" w:hAnsi="仿宋" w:eastAsia="仿宋_GB2312"/>
          <w:bCs/>
          <w:sz w:val="32"/>
          <w:szCs w:val="32"/>
        </w:rPr>
        <w:t>对运输、搬卸和交接过程中的丢失或损坏等问题负责。</w:t>
      </w:r>
    </w:p>
    <w:p w14:paraId="20D14980">
      <w:pPr>
        <w:pStyle w:val="2"/>
        <w:keepNext w:val="0"/>
        <w:keepLines w:val="0"/>
        <w:adjustRightInd w:val="0"/>
        <w:spacing w:before="0" w:after="0" w:line="530" w:lineRule="exact"/>
        <w:ind w:firstLine="640" w:firstLineChars="200"/>
        <w:rPr>
          <w:rFonts w:ascii="黑体" w:hAnsi="黑体" w:cs="黑体"/>
          <w:b w:val="0"/>
          <w:bCs w:val="0"/>
          <w:sz w:val="32"/>
          <w:szCs w:val="32"/>
        </w:rPr>
      </w:pPr>
      <w:r>
        <w:rPr>
          <w:rFonts w:hint="eastAsia" w:ascii="黑体" w:hAnsi="黑体" w:cs="黑体"/>
          <w:b w:val="0"/>
          <w:bCs w:val="0"/>
          <w:sz w:val="32"/>
          <w:szCs w:val="32"/>
        </w:rPr>
        <w:t>四、质量标准和保证</w:t>
      </w:r>
    </w:p>
    <w:p w14:paraId="07984B71">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（一）质量标准</w:t>
      </w:r>
    </w:p>
    <w:p w14:paraId="41FD822B">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w:t>
      </w:r>
      <w:bookmarkStart w:id="28" w:name="_Hlk129298658"/>
      <w:r>
        <w:rPr>
          <w:rFonts w:hint="eastAsia" w:ascii="仿宋_GB2312" w:hAnsi="仿宋" w:eastAsia="仿宋_GB2312"/>
          <w:bCs/>
          <w:sz w:val="32"/>
          <w:szCs w:val="32"/>
        </w:rPr>
        <w:t>乙方交付</w:t>
      </w:r>
      <w:bookmarkEnd w:id="28"/>
      <w:r>
        <w:rPr>
          <w:rFonts w:hint="eastAsia" w:ascii="仿宋_GB2312" w:hAnsi="仿宋" w:eastAsia="仿宋_GB2312"/>
          <w:bCs/>
          <w:sz w:val="32"/>
          <w:szCs w:val="32"/>
        </w:rPr>
        <w:t>的</w:t>
      </w:r>
      <w:bookmarkStart w:id="29" w:name="_Hlk129298245"/>
      <w:r>
        <w:rPr>
          <w:rFonts w:hint="eastAsia" w:ascii="仿宋_GB2312" w:hAnsi="仿宋" w:eastAsia="仿宋_GB2312"/>
          <w:bCs/>
          <w:sz w:val="32"/>
          <w:szCs w:val="32"/>
        </w:rPr>
        <w:t>物资</w:t>
      </w:r>
      <w:bookmarkEnd w:id="29"/>
      <w:r>
        <w:rPr>
          <w:rFonts w:hint="eastAsia" w:ascii="仿宋_GB2312" w:hAnsi="仿宋" w:eastAsia="仿宋_GB2312"/>
          <w:bCs/>
          <w:sz w:val="32"/>
          <w:szCs w:val="32"/>
        </w:rPr>
        <w:t>应当符合采购文件所述的标准。如果没有提及适用标准，则应当符合中华人民共和国有关机构发布的最新版本的标准。</w:t>
      </w:r>
    </w:p>
    <w:p w14:paraId="53D229F0">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2.采用中华人民共和国法定计量单位。</w:t>
      </w:r>
    </w:p>
    <w:p w14:paraId="52BF4D1C">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3.乙方</w:t>
      </w:r>
      <w:bookmarkStart w:id="30" w:name="_Hlk129298842"/>
      <w:r>
        <w:rPr>
          <w:rFonts w:hint="eastAsia" w:ascii="仿宋_GB2312" w:hAnsi="仿宋" w:eastAsia="仿宋_GB2312"/>
          <w:bCs/>
          <w:sz w:val="32"/>
          <w:szCs w:val="32"/>
        </w:rPr>
        <w:t>交付</w:t>
      </w:r>
      <w:bookmarkEnd w:id="30"/>
      <w:r>
        <w:rPr>
          <w:rFonts w:hint="eastAsia" w:ascii="仿宋_GB2312" w:hAnsi="仿宋" w:eastAsia="仿宋_GB2312"/>
          <w:bCs/>
          <w:sz w:val="32"/>
          <w:szCs w:val="32"/>
        </w:rPr>
        <w:t>的</w:t>
      </w:r>
      <w:bookmarkStart w:id="31" w:name="_Hlk129298745"/>
      <w:r>
        <w:rPr>
          <w:rFonts w:hint="eastAsia" w:ascii="仿宋_GB2312" w:hAnsi="仿宋" w:eastAsia="仿宋_GB2312"/>
          <w:bCs/>
          <w:sz w:val="32"/>
          <w:szCs w:val="32"/>
        </w:rPr>
        <w:t>物资</w:t>
      </w:r>
      <w:bookmarkEnd w:id="31"/>
      <w:r>
        <w:rPr>
          <w:rFonts w:hint="eastAsia" w:ascii="仿宋_GB2312" w:hAnsi="仿宋" w:eastAsia="仿宋_GB2312"/>
          <w:bCs/>
          <w:sz w:val="32"/>
          <w:szCs w:val="32"/>
        </w:rPr>
        <w:t>还应当符合国家有关安全、环保、卫生等规定。</w:t>
      </w:r>
    </w:p>
    <w:p w14:paraId="094DC57C">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（二）质量保证</w:t>
      </w:r>
    </w:p>
    <w:p w14:paraId="4605943B">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1.乙方应当保证交付物资是全新的、未使用过的，并完全符合合同约定的质量、规格和性能的要求。</w:t>
      </w:r>
    </w:p>
    <w:p w14:paraId="14BD69E8">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2.在质量保证期内出现的产品质量问题，甲方应当以书面形式通知乙方。乙方收到通知后应当在约定的响应时间内免费维修或更换有缺陷的物资或部件。</w:t>
      </w:r>
    </w:p>
    <w:p w14:paraId="7C5CBBAC">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3.乙方在约定的时间内未能解决质量问题，甲方可采取必要的补救措施，但其风险和费用将由乙方承担，甲方根据合同约定对乙方行使的其他权利不受影响。</w:t>
      </w:r>
    </w:p>
    <w:p w14:paraId="4E1567CD">
      <w:pPr>
        <w:tabs>
          <w:tab w:val="left" w:pos="0"/>
        </w:tabs>
        <w:autoSpaceDE w:val="0"/>
        <w:autoSpaceDN w:val="0"/>
        <w:adjustRightInd w:val="0"/>
        <w:spacing w:line="560" w:lineRule="exact"/>
        <w:ind w:firstLine="560"/>
        <w:rPr>
          <w:rFonts w:ascii="黑体" w:hAnsi="黑体" w:eastAsia="黑体" w:cs="黑体"/>
          <w:sz w:val="32"/>
          <w:szCs w:val="32"/>
        </w:rPr>
      </w:pPr>
      <w:r>
        <w:rPr>
          <w:rFonts w:hint="eastAsia" w:ascii="黑体" w:hAnsi="黑体" w:eastAsia="黑体" w:cs="黑体"/>
          <w:sz w:val="32"/>
          <w:szCs w:val="32"/>
        </w:rPr>
        <w:t>★五、履约保证金及质量保证金</w:t>
      </w:r>
    </w:p>
    <w:p w14:paraId="0B675138">
      <w:pPr>
        <w:adjustRightInd w:val="0"/>
        <w:snapToGrid w:val="0"/>
        <w:spacing w:line="530" w:lineRule="exact"/>
        <w:ind w:firstLine="640" w:firstLineChars="200"/>
        <w:rPr>
          <w:rFonts w:ascii="仿宋_GB2312" w:hAnsi="仿宋" w:eastAsia="仿宋_GB2312" w:cs="宋体"/>
          <w:color w:val="auto"/>
          <w:sz w:val="32"/>
          <w:szCs w:val="32"/>
        </w:rPr>
      </w:pPr>
      <w:r>
        <w:rPr>
          <w:rFonts w:hint="eastAsia" w:ascii="仿宋_GB2312" w:hAnsi="仿宋" w:eastAsia="仿宋_GB2312" w:cs="宋体"/>
          <w:color w:val="000000" w:themeColor="text1"/>
          <w:sz w:val="32"/>
          <w:szCs w:val="32"/>
          <w14:textFill>
            <w14:solidFill>
              <w14:schemeClr w14:val="tx1"/>
            </w14:solidFill>
          </w14:textFill>
        </w:rPr>
        <w:t>（一）本合同履约保证金为合同金额的5%，乙方应当在签订合同前缴纳履约保证金</w:t>
      </w:r>
      <w:r>
        <w:rPr>
          <w:rFonts w:hint="eastAsia" w:ascii="仿宋_GB2312" w:eastAsia="仿宋_GB2312" w:hAnsiTheme="minorEastAsia"/>
          <w:sz w:val="32"/>
          <w:szCs w:val="32"/>
        </w:rPr>
        <w:t>（汇款时请注</w:t>
      </w:r>
      <w:r>
        <w:rPr>
          <w:rFonts w:hint="eastAsia" w:ascii="仿宋_GB2312" w:eastAsia="仿宋_GB2312" w:hAnsiTheme="minorEastAsia"/>
          <w:color w:val="auto"/>
          <w:sz w:val="32"/>
          <w:szCs w:val="32"/>
        </w:rPr>
        <w:t>明“幼儿园户外室内玩具项目履约保证金”字样）。</w:t>
      </w:r>
    </w:p>
    <w:p w14:paraId="0A5FB5CA">
      <w:pPr>
        <w:adjustRightIn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bookmarkStart w:id="32" w:name="_Toc128150786"/>
      <w:bookmarkStart w:id="33" w:name="_Toc128150142"/>
      <w:bookmarkStart w:id="34" w:name="_Toc128151035"/>
      <w:bookmarkStart w:id="35" w:name="_Toc128397978"/>
      <w:bookmarkStart w:id="36" w:name="_Toc127820572"/>
      <w:r>
        <w:rPr>
          <w:rFonts w:hint="eastAsia" w:ascii="仿宋_GB2312" w:hAnsi="仿宋" w:eastAsia="仿宋_GB2312" w:cs="宋体"/>
          <w:color w:val="000000" w:themeColor="text1"/>
          <w:sz w:val="32"/>
          <w:szCs w:val="32"/>
          <w14:textFill>
            <w14:solidFill>
              <w14:schemeClr w14:val="tx1"/>
            </w14:solidFill>
          </w14:textFill>
        </w:rPr>
        <w:t>（二）若乙方未按时交付物资，或物资履约验收不合格，甲方有权终止合同，并没收乙方履约保证金。</w:t>
      </w:r>
    </w:p>
    <w:p w14:paraId="78DD00D9">
      <w:pPr>
        <w:adjustRightIn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bookmarkStart w:id="37" w:name="_Hlk129335643"/>
      <w:r>
        <w:rPr>
          <w:rFonts w:hint="eastAsia" w:ascii="仿宋_GB2312" w:hAnsi="仿宋" w:eastAsia="仿宋_GB2312" w:cs="宋体"/>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三</w:t>
      </w:r>
      <w:r>
        <w:rPr>
          <w:rFonts w:hint="eastAsia" w:ascii="仿宋_GB2312" w:hAnsi="仿宋" w:eastAsia="仿宋_GB2312" w:cs="宋体"/>
          <w:color w:val="000000" w:themeColor="text1"/>
          <w:sz w:val="32"/>
          <w:szCs w:val="32"/>
          <w14:textFill>
            <w14:solidFill>
              <w14:schemeClr w14:val="tx1"/>
            </w14:solidFill>
          </w14:textFill>
        </w:rPr>
        <w:t>）乙方应当向甲方支付合同下的违约金或赔偿金时，甲方有权从履约保证金中予以扣除。</w:t>
      </w:r>
      <w:bookmarkEnd w:id="37"/>
    </w:p>
    <w:bookmarkEnd w:id="32"/>
    <w:bookmarkEnd w:id="33"/>
    <w:bookmarkEnd w:id="34"/>
    <w:bookmarkEnd w:id="35"/>
    <w:bookmarkEnd w:id="36"/>
    <w:p w14:paraId="2101432B">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）质量保证金从履约保证金中扣留。在质保期内，物资因乙方责任产生质量问题未予以补救，或者予以补救后仍然造成损失的，甲方有权直接从质量保证金扣除相应损失。</w:t>
      </w:r>
    </w:p>
    <w:p w14:paraId="2DC56D88">
      <w:pPr>
        <w:adjustRightInd w:val="0"/>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）质量保证金在质保期满且无质量问题时全额无息退还。本合同约定的质保期满1年，甲方接到乙方质量保证金返还申请后，应当核实质量情况，办理质量保证金返还。</w:t>
      </w:r>
    </w:p>
    <w:p w14:paraId="0CA04662">
      <w:pPr>
        <w:pStyle w:val="13"/>
        <w:spacing w:line="560" w:lineRule="exact"/>
        <w:ind w:firstLine="640"/>
        <w:rPr>
          <w:rFonts w:ascii="黑体" w:hAnsi="黑体" w:eastAsia="黑体" w:cs="黑体"/>
          <w:kern w:val="2"/>
          <w:sz w:val="32"/>
          <w:szCs w:val="32"/>
        </w:rPr>
      </w:pPr>
      <w:r>
        <w:rPr>
          <w:rFonts w:hint="eastAsia" w:ascii="黑体" w:hAnsi="黑体" w:eastAsia="黑体" w:cs="黑体"/>
          <w:kern w:val="2"/>
          <w:sz w:val="32"/>
          <w:szCs w:val="32"/>
        </w:rPr>
        <w:t>★六、资金结算</w:t>
      </w:r>
    </w:p>
    <w:p w14:paraId="10FCD10A">
      <w:pPr>
        <w:adjustRightInd w:val="0"/>
        <w:spacing w:line="530" w:lineRule="exact"/>
        <w:ind w:firstLine="640" w:firstLineChars="200"/>
        <w:rPr>
          <w:rFonts w:ascii="仿宋_GB2312" w:hAnsi="楷体_GB2312" w:eastAsia="仿宋_GB2312" w:cs="楷体_GB2312"/>
          <w:bCs/>
          <w:sz w:val="32"/>
          <w:szCs w:val="32"/>
        </w:rPr>
      </w:pPr>
      <w:bookmarkStart w:id="38" w:name="_Hlk129336528"/>
      <w:r>
        <w:rPr>
          <w:rFonts w:hint="eastAsia" w:ascii="仿宋_GB2312" w:hAnsi="仿宋" w:eastAsia="仿宋_GB2312"/>
          <w:bCs/>
          <w:sz w:val="32"/>
          <w:szCs w:val="32"/>
          <w:lang w:val="zh-CN"/>
        </w:rPr>
        <w:t>（一）本合同无预付款，物资运达指定地点验收合格后，乙方收集发运接收单、发票、验收报告等</w:t>
      </w:r>
      <w:r>
        <w:rPr>
          <w:rFonts w:hint="eastAsia" w:ascii="仿宋_GB2312" w:hAnsi="仿宋" w:eastAsia="仿宋_GB2312"/>
          <w:bCs/>
          <w:sz w:val="32"/>
          <w:szCs w:val="32"/>
        </w:rPr>
        <w:t>材料</w:t>
      </w:r>
      <w:r>
        <w:rPr>
          <w:rFonts w:hint="eastAsia" w:ascii="仿宋_GB2312" w:hAnsi="仿宋" w:eastAsia="仿宋_GB2312"/>
          <w:bCs/>
          <w:sz w:val="32"/>
          <w:szCs w:val="32"/>
          <w:lang w:val="zh-CN"/>
        </w:rPr>
        <w:t>，提交甲方办理结算手续，甲方向乙方支付合同金额的</w:t>
      </w:r>
      <w:r>
        <w:rPr>
          <w:rFonts w:hint="eastAsia" w:ascii="仿宋_GB2312" w:hAnsi="仿宋" w:eastAsia="仿宋_GB2312"/>
          <w:bCs/>
          <w:sz w:val="32"/>
          <w:szCs w:val="32"/>
          <w:lang w:val="en-US" w:eastAsia="zh-CN"/>
        </w:rPr>
        <w:t>100</w:t>
      </w:r>
      <w:r>
        <w:rPr>
          <w:rFonts w:hint="eastAsia" w:ascii="仿宋_GB2312" w:hAnsi="仿宋" w:eastAsia="仿宋_GB2312"/>
          <w:bCs/>
          <w:sz w:val="32"/>
          <w:szCs w:val="32"/>
        </w:rPr>
        <w:t>%</w:t>
      </w:r>
      <w:r>
        <w:rPr>
          <w:rFonts w:hint="eastAsia" w:ascii="仿宋_GB2312" w:hAnsi="仿宋" w:eastAsia="仿宋_GB2312"/>
          <w:bCs/>
          <w:sz w:val="32"/>
          <w:szCs w:val="32"/>
          <w:lang w:val="zh-CN"/>
        </w:rPr>
        <w:t>。</w:t>
      </w:r>
    </w:p>
    <w:p w14:paraId="310AEA09">
      <w:pPr>
        <w:pStyle w:val="3"/>
        <w:adjustRightInd w:val="0"/>
        <w:spacing w:after="0" w:line="530" w:lineRule="exact"/>
        <w:ind w:firstLine="640" w:firstLineChars="200"/>
        <w:rPr>
          <w:rFonts w:ascii="仿宋_GB2312" w:hAnsi="仿宋" w:eastAsia="仿宋_GB2312"/>
          <w:sz w:val="32"/>
          <w:szCs w:val="32"/>
        </w:rPr>
      </w:pPr>
      <w:r>
        <w:rPr>
          <w:rFonts w:hint="eastAsia" w:ascii="仿宋_GB2312" w:hAnsi="仿宋" w:eastAsia="仿宋_GB2312"/>
          <w:kern w:val="0"/>
          <w:sz w:val="32"/>
          <w:szCs w:val="32"/>
        </w:rPr>
        <w:t>（二）乙方应</w:t>
      </w:r>
      <w:r>
        <w:rPr>
          <w:rFonts w:hint="eastAsia" w:ascii="仿宋_GB2312" w:hAnsi="仿宋" w:eastAsia="仿宋_GB2312"/>
          <w:sz w:val="32"/>
          <w:szCs w:val="32"/>
        </w:rPr>
        <w:t>当</w:t>
      </w:r>
      <w:r>
        <w:rPr>
          <w:rFonts w:hint="eastAsia" w:ascii="仿宋_GB2312" w:hAnsi="仿宋" w:eastAsia="仿宋_GB2312"/>
          <w:kern w:val="0"/>
          <w:sz w:val="32"/>
          <w:szCs w:val="32"/>
        </w:rPr>
        <w:t>向甲方支付合同项下的违约金或赔偿金时，甲方有权从上述任何一笔应</w:t>
      </w:r>
      <w:r>
        <w:rPr>
          <w:rFonts w:hint="eastAsia" w:ascii="仿宋_GB2312" w:hAnsi="仿宋" w:eastAsia="仿宋_GB2312"/>
          <w:sz w:val="32"/>
          <w:szCs w:val="32"/>
        </w:rPr>
        <w:t>当</w:t>
      </w:r>
      <w:r>
        <w:rPr>
          <w:rFonts w:hint="eastAsia" w:ascii="仿宋_GB2312" w:hAnsi="仿宋" w:eastAsia="仿宋_GB2312"/>
          <w:kern w:val="0"/>
          <w:sz w:val="32"/>
          <w:szCs w:val="32"/>
        </w:rPr>
        <w:t>付款中予以扣除。</w:t>
      </w:r>
    </w:p>
    <w:p w14:paraId="77233087">
      <w:pPr>
        <w:pStyle w:val="3"/>
        <w:adjustRightInd w:val="0"/>
        <w:spacing w:after="0"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（三）在结算过程中，乙方出具虚假发票或其他虚假材料的，按照提供虚假材料情况处理。</w:t>
      </w:r>
    </w:p>
    <w:p w14:paraId="24B86F6B">
      <w:pPr>
        <w:pStyle w:val="3"/>
        <w:adjustRightInd w:val="0"/>
        <w:spacing w:after="0"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（四）未经军队采购平台合同管理信息系统编号或者未按照要求进行备案的物资工程服务采购合同书，不得办理支付手续。</w:t>
      </w:r>
    </w:p>
    <w:p w14:paraId="3505FE0F">
      <w:pPr>
        <w:pStyle w:val="3"/>
        <w:spacing w:after="0" w:line="520" w:lineRule="exact"/>
        <w:ind w:firstLine="640" w:firstLineChars="200"/>
        <w:rPr>
          <w:rFonts w:ascii="仿宋_GB2312" w:hAnsi="楷体_GB2312" w:eastAsia="仿宋_GB2312" w:cs="楷体_GB2312"/>
          <w:bCs/>
          <w:sz w:val="32"/>
          <w:szCs w:val="32"/>
          <w:lang w:val="zh-CN"/>
        </w:rPr>
      </w:pPr>
      <w:r>
        <w:rPr>
          <w:rFonts w:hint="eastAsia" w:ascii="仿宋_GB2312" w:hAnsi="仿宋" w:eastAsia="仿宋_GB2312"/>
          <w:sz w:val="32"/>
          <w:szCs w:val="32"/>
        </w:rPr>
        <w:t>（五）若后期军队审计部门、军队采购管理部门、纪检监察部门等职能部门抽查，提出价格虚高等问题，乙方需无条件配合甲方进行调查，积极提供相关审价资料，若审价结果低于合同价，乙方需无条件退还虚高款项；若审价结果高于合同价，按合同价进行结算。</w:t>
      </w:r>
    </w:p>
    <w:bookmarkEnd w:id="38"/>
    <w:p w14:paraId="144B22E1">
      <w:pPr>
        <w:spacing w:line="560" w:lineRule="exact"/>
        <w:ind w:firstLine="645"/>
        <w:rPr>
          <w:rFonts w:ascii="黑体" w:hAnsi="黑体" w:eastAsia="黑体" w:cs="黑体"/>
          <w:sz w:val="32"/>
          <w:szCs w:val="32"/>
        </w:rPr>
      </w:pPr>
      <w:r>
        <w:rPr>
          <w:rFonts w:hint="eastAsia" w:ascii="黑体" w:hAnsi="黑体" w:eastAsia="黑体" w:cs="黑体"/>
          <w:sz w:val="32"/>
          <w:szCs w:val="32"/>
        </w:rPr>
        <w:t>★七、知识产权和保密要求</w:t>
      </w:r>
    </w:p>
    <w:p w14:paraId="103AE1CD">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乙方应当保证甲方在使用物资和服务时不受第三方提出侵犯其知识产权的指控，对此甲方不承担任何连带责任或赔偿责任。</w:t>
      </w:r>
    </w:p>
    <w:p w14:paraId="15AE1F3E">
      <w:pPr>
        <w:pStyle w:val="2"/>
        <w:keepNext w:val="0"/>
        <w:keepLines w:val="0"/>
        <w:adjustRightInd w:val="0"/>
        <w:spacing w:before="0" w:after="0" w:line="53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八、</w:t>
      </w:r>
      <w:bookmarkStart w:id="39" w:name="_Hlk129326502"/>
      <w:r>
        <w:rPr>
          <w:rFonts w:hint="eastAsia" w:ascii="黑体" w:hAnsi="黑体" w:cs="黑体"/>
          <w:b w:val="0"/>
          <w:bCs w:val="0"/>
          <w:sz w:val="32"/>
          <w:szCs w:val="32"/>
        </w:rPr>
        <w:t>物资编目编码、打码贴签要求</w:t>
      </w:r>
      <w:bookmarkEnd w:id="39"/>
    </w:p>
    <w:p w14:paraId="2BD9C17A">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55B0D8A0">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4CD363F2">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2.乙方应当配合甲方或承担军队资产编目编码职能的单位，补充完善编目数据。</w:t>
      </w:r>
    </w:p>
    <w:p w14:paraId="3A3CC1D0">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3.乙方通过甲方接收赋码后的编目数据包，导入编目用户终端软件，获取品种码，正确填入合同文本，用于打码贴签、验收结算等。</w:t>
      </w:r>
    </w:p>
    <w:p w14:paraId="1675B467">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4.甲方有单件管理需要的，乙方应当依据规则或示例程序自行生成单件码。</w:t>
      </w:r>
    </w:p>
    <w:p w14:paraId="18EBB4B9">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（二）乙方应当按照统一要求在物资交付前完成打码贴签工作。</w:t>
      </w:r>
    </w:p>
    <w:p w14:paraId="052EABBF">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1.物资标识标签格式、张挂位置、材质、码制等内容，应当符合军队有关要求。</w:t>
      </w:r>
    </w:p>
    <w:p w14:paraId="4ACE5184">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2.物资标识标签上的品种码应当与合同物资明细表中的品种码完全一致。</w:t>
      </w:r>
    </w:p>
    <w:p w14:paraId="5E8ABB05">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（三）物资编目数据填报和打码贴签情况，列入出厂检验、到货检验内容，编目数据、标识标签不符合规范要求的，不予通过，不得进入物资储存单位。乙方应当在7日内完成整改，并重新进行检验。</w:t>
      </w:r>
    </w:p>
    <w:p w14:paraId="3D1343A0">
      <w:pPr>
        <w:pStyle w:val="2"/>
        <w:keepNext w:val="0"/>
        <w:keepLines w:val="0"/>
        <w:adjustRightInd w:val="0"/>
        <w:spacing w:before="0" w:after="0" w:line="530" w:lineRule="exact"/>
        <w:ind w:firstLine="640" w:firstLineChars="200"/>
        <w:rPr>
          <w:rFonts w:ascii="黑体" w:hAnsi="黑体" w:cs="黑体"/>
          <w:b w:val="0"/>
          <w:bCs w:val="0"/>
          <w:sz w:val="32"/>
          <w:szCs w:val="32"/>
        </w:rPr>
      </w:pPr>
      <w:r>
        <w:rPr>
          <w:rFonts w:hint="eastAsia" w:ascii="黑体" w:hAnsi="黑体" w:cs="黑体"/>
          <w:b w:val="0"/>
          <w:bCs w:val="0"/>
          <w:sz w:val="32"/>
          <w:szCs w:val="32"/>
        </w:rPr>
        <w:t>九、售后服务</w:t>
      </w:r>
    </w:p>
    <w:p w14:paraId="76317940">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（一）自</w:t>
      </w:r>
      <w:bookmarkStart w:id="40" w:name="_Hlk129331333"/>
      <w:r>
        <w:rPr>
          <w:rFonts w:hint="eastAsia" w:ascii="仿宋_GB2312" w:hAnsi="仿宋" w:eastAsia="仿宋_GB2312"/>
          <w:bCs/>
          <w:sz w:val="32"/>
          <w:szCs w:val="32"/>
        </w:rPr>
        <w:t>物资</w:t>
      </w:r>
      <w:bookmarkEnd w:id="40"/>
      <w:r>
        <w:rPr>
          <w:rFonts w:hint="eastAsia" w:ascii="仿宋_GB2312" w:hAnsi="仿宋" w:eastAsia="仿宋_GB2312"/>
          <w:bCs/>
          <w:sz w:val="32"/>
          <w:szCs w:val="32"/>
        </w:rPr>
        <w:t>验收合格之日起，物资免费质保期为12个月。在</w:t>
      </w:r>
      <w:bookmarkStart w:id="41" w:name="_Hlk129331519"/>
      <w:r>
        <w:rPr>
          <w:rFonts w:hint="eastAsia" w:ascii="仿宋_GB2312" w:hAnsi="仿宋" w:eastAsia="仿宋_GB2312"/>
          <w:bCs/>
          <w:sz w:val="32"/>
          <w:szCs w:val="32"/>
        </w:rPr>
        <w:t>免费质保期</w:t>
      </w:r>
      <w:bookmarkEnd w:id="41"/>
      <w:r>
        <w:rPr>
          <w:rFonts w:hint="eastAsia" w:ascii="仿宋_GB2312" w:hAnsi="仿宋" w:eastAsia="仿宋_GB2312"/>
          <w:bCs/>
          <w:sz w:val="32"/>
          <w:szCs w:val="32"/>
        </w:rPr>
        <w:t>内，出现质量问题，甲方提出后，乙方应当在12小时内响应，12小时内到达现场提供相关的维修、更换等服务。</w:t>
      </w:r>
    </w:p>
    <w:p w14:paraId="64CAC074">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（二）乙方不能按约定期限派人保修的，甲方在技术允许的范围内自行修理，费用由乙方承担。</w:t>
      </w:r>
    </w:p>
    <w:p w14:paraId="51AEA6CA">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（三）因设计、制造缺陷导致物资质量问题或存在质量隐患的，乙方应当免费提供包修、包换、包退服务，因此导致的损失，甲方有权向乙方追偿。</w:t>
      </w:r>
    </w:p>
    <w:p w14:paraId="73B7FF50">
      <w:pPr>
        <w:pStyle w:val="3"/>
        <w:adjustRightInd w:val="0"/>
        <w:spacing w:after="0"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（四）在</w:t>
      </w:r>
      <w:bookmarkStart w:id="42" w:name="_Hlk129333864"/>
      <w:r>
        <w:rPr>
          <w:rFonts w:hint="eastAsia" w:ascii="仿宋_GB2312" w:hAnsi="仿宋" w:eastAsia="仿宋_GB2312"/>
          <w:bCs/>
          <w:sz w:val="32"/>
          <w:szCs w:val="32"/>
        </w:rPr>
        <w:t>物资</w:t>
      </w:r>
      <w:bookmarkEnd w:id="42"/>
      <w:r>
        <w:rPr>
          <w:rFonts w:hint="eastAsia" w:ascii="仿宋_GB2312" w:hAnsi="仿宋" w:eastAsia="仿宋_GB2312"/>
          <w:bCs/>
          <w:sz w:val="32"/>
          <w:szCs w:val="32"/>
        </w:rPr>
        <w:t>全生命周期5年</w:t>
      </w:r>
      <w:r>
        <w:rPr>
          <w:rFonts w:hint="eastAsia" w:ascii="仿宋_GB2312" w:hAnsi="楷体_GB2312" w:eastAsia="仿宋_GB2312" w:cs="楷体_GB2312"/>
          <w:bCs/>
          <w:sz w:val="32"/>
          <w:szCs w:val="32"/>
        </w:rPr>
        <w:t>内</w:t>
      </w:r>
      <w:r>
        <w:rPr>
          <w:rFonts w:hint="eastAsia" w:ascii="仿宋_GB2312" w:hAnsi="仿宋" w:eastAsia="仿宋_GB2312"/>
          <w:bCs/>
          <w:sz w:val="32"/>
          <w:szCs w:val="32"/>
        </w:rPr>
        <w:t>，乙方提供维护保障。质保期外，乙方继续提供技术支持服务，备品备件应当以不高于其投标（报价）文件或本合同约定的价格向甲方供应。</w:t>
      </w:r>
    </w:p>
    <w:p w14:paraId="61E58897">
      <w:pPr>
        <w:spacing w:line="560" w:lineRule="exact"/>
        <w:ind w:firstLine="645"/>
        <w:rPr>
          <w:rFonts w:ascii="黑体" w:hAnsi="黑体" w:eastAsia="黑体" w:cs="黑体"/>
          <w:sz w:val="32"/>
          <w:szCs w:val="32"/>
        </w:rPr>
      </w:pPr>
      <w:r>
        <w:rPr>
          <w:rFonts w:hint="eastAsia" w:ascii="黑体" w:hAnsi="黑体" w:eastAsia="黑体" w:cs="黑体"/>
          <w:sz w:val="32"/>
          <w:szCs w:val="32"/>
        </w:rPr>
        <w:t>★十、合同履约要求</w:t>
      </w:r>
    </w:p>
    <w:p w14:paraId="5A7EC7AC">
      <w:pPr>
        <w:spacing w:line="560" w:lineRule="exact"/>
        <w:ind w:firstLine="645"/>
        <w:rPr>
          <w:rFonts w:ascii="仿宋_GB2312" w:hAnsi="黑体" w:eastAsia="仿宋_GB2312" w:cs="黑体"/>
          <w:b/>
          <w:sz w:val="32"/>
          <w:szCs w:val="32"/>
        </w:rPr>
      </w:pPr>
      <w:r>
        <w:rPr>
          <w:rFonts w:hint="eastAsia" w:ascii="仿宋_GB2312" w:hAnsi="黑体" w:eastAsia="仿宋_GB2312" w:cs="黑体"/>
          <w:b/>
          <w:sz w:val="32"/>
          <w:szCs w:val="32"/>
        </w:rPr>
        <w:t>（一）违约责任</w:t>
      </w:r>
    </w:p>
    <w:p w14:paraId="5E5E4B54">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1.乙方未经甲方同意而延期交付时，应当向甲方偿付违约金，违约金每天按违约金额的</w:t>
      </w:r>
      <w:r>
        <w:rPr>
          <w:rFonts w:hint="eastAsia" w:ascii="仿宋_GB2312" w:hAnsi="仿宋" w:eastAsia="仿宋_GB2312"/>
          <w:bCs/>
          <w:sz w:val="32"/>
          <w:szCs w:val="32"/>
          <w:u w:val="single"/>
        </w:rPr>
        <w:t xml:space="preserve">  5‰  </w:t>
      </w:r>
      <w:r>
        <w:rPr>
          <w:rFonts w:hint="eastAsia" w:ascii="仿宋_GB2312" w:hAnsi="仿宋" w:eastAsia="仿宋_GB2312"/>
          <w:bCs/>
          <w:sz w:val="32"/>
          <w:szCs w:val="32"/>
        </w:rPr>
        <w:t>计算，违约金最高限额为违约金额的</w:t>
      </w:r>
      <w:r>
        <w:rPr>
          <w:rFonts w:hint="eastAsia" w:ascii="仿宋_GB2312" w:hAnsi="仿宋" w:eastAsia="仿宋_GB2312"/>
          <w:bCs/>
          <w:sz w:val="32"/>
          <w:szCs w:val="32"/>
          <w:u w:val="single"/>
        </w:rPr>
        <w:t xml:space="preserve">  5%  </w:t>
      </w:r>
      <w:r>
        <w:rPr>
          <w:rFonts w:hint="eastAsia" w:ascii="仿宋_GB2312" w:eastAsia="仿宋_GB2312"/>
          <w:bCs/>
          <w:sz w:val="32"/>
          <w:szCs w:val="32"/>
        </w:rPr>
        <w:t>。</w:t>
      </w:r>
      <w:r>
        <w:rPr>
          <w:rFonts w:hint="eastAsia" w:ascii="仿宋_GB2312" w:hAnsi="仿宋" w:eastAsia="仿宋_GB2312"/>
          <w:bCs/>
          <w:sz w:val="32"/>
          <w:szCs w:val="32"/>
        </w:rPr>
        <w:t>如果达到违约金最高限额时仍不能交付，或因延期交付影响甲方任务实施，甲方可以终止合同，而由此给甲方造成的实际损失，乙方应</w:t>
      </w:r>
      <w:r>
        <w:rPr>
          <w:rFonts w:hint="eastAsia" w:ascii="仿宋_GB2312" w:hAnsi="仿宋" w:eastAsia="仿宋_GB2312"/>
          <w:sz w:val="32"/>
          <w:szCs w:val="32"/>
        </w:rPr>
        <w:t>当</w:t>
      </w:r>
      <w:r>
        <w:rPr>
          <w:rFonts w:hint="eastAsia" w:ascii="仿宋_GB2312" w:hAnsi="仿宋" w:eastAsia="仿宋_GB2312"/>
          <w:bCs/>
          <w:sz w:val="32"/>
          <w:szCs w:val="32"/>
        </w:rPr>
        <w:t>给予足额赔偿。</w:t>
      </w:r>
    </w:p>
    <w:p w14:paraId="07BD54BD">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乙方未按合同约定履行义务或产品技术性能指标不达标而给甲方或产品使用单位造成损失的，乙方应按损失金额予以赔偿。因甲方不具备接收条件或拒绝接收，致使乙方无法按期交付并造成损失的，甲方应按损失金额予以赔偿。</w:t>
      </w:r>
    </w:p>
    <w:p w14:paraId="29F2D2AA">
      <w:pPr>
        <w:adjustRightInd w:val="0"/>
        <w:spacing w:line="530" w:lineRule="exact"/>
        <w:ind w:firstLine="640" w:firstLineChars="200"/>
        <w:rPr>
          <w:rFonts w:ascii="仿宋_GB2312" w:hAnsi="仿宋" w:eastAsia="仿宋_GB2312"/>
          <w:bCs/>
          <w:sz w:val="32"/>
          <w:szCs w:val="32"/>
        </w:rPr>
      </w:pPr>
      <w:bookmarkStart w:id="43" w:name="_Hlk129349156"/>
      <w:r>
        <w:rPr>
          <w:rFonts w:hint="eastAsia" w:ascii="仿宋_GB2312" w:hAnsi="仿宋" w:eastAsia="仿宋_GB2312"/>
          <w:bCs/>
          <w:sz w:val="32"/>
          <w:szCs w:val="32"/>
        </w:rPr>
        <w:t>3.甲方</w:t>
      </w:r>
      <w:bookmarkEnd w:id="43"/>
      <w:r>
        <w:rPr>
          <w:rFonts w:hint="eastAsia" w:ascii="仿宋_GB2312" w:hAnsi="仿宋" w:eastAsia="仿宋_GB2312"/>
          <w:bCs/>
          <w:sz w:val="32"/>
          <w:szCs w:val="32"/>
        </w:rPr>
        <w:t>需按约定及时足额支付货款，未按约定及时足额支付货款时，甲方向乙方偿付违约金。每迟付一天按应付款金额的</w:t>
      </w:r>
      <w:r>
        <w:rPr>
          <w:rFonts w:hint="eastAsia" w:ascii="仿宋_GB2312" w:hAnsi="仿宋" w:eastAsia="仿宋_GB2312"/>
          <w:bCs/>
          <w:sz w:val="32"/>
          <w:szCs w:val="32"/>
          <w:u w:val="single"/>
        </w:rPr>
        <w:t xml:space="preserve"> 1‰  </w:t>
      </w:r>
      <w:r>
        <w:rPr>
          <w:rFonts w:hint="eastAsia" w:ascii="仿宋_GB2312" w:hAnsi="仿宋" w:eastAsia="仿宋_GB2312"/>
          <w:bCs/>
          <w:sz w:val="32"/>
          <w:szCs w:val="32"/>
        </w:rPr>
        <w:t>向乙方偿付违约金，违约金最高限额为应付款金额的</w:t>
      </w:r>
      <w:r>
        <w:rPr>
          <w:rFonts w:hint="eastAsia" w:ascii="仿宋_GB2312" w:hAnsi="仿宋" w:eastAsia="仿宋_GB2312"/>
          <w:bCs/>
          <w:sz w:val="32"/>
          <w:szCs w:val="32"/>
          <w:u w:val="single"/>
        </w:rPr>
        <w:t xml:space="preserve"> 5% </w:t>
      </w:r>
      <w:r>
        <w:rPr>
          <w:rFonts w:hint="eastAsia" w:ascii="仿宋_GB2312" w:hAnsi="仿宋" w:eastAsia="仿宋_GB2312"/>
          <w:bCs/>
          <w:sz w:val="32"/>
          <w:szCs w:val="32"/>
        </w:rPr>
        <w:t>。</w:t>
      </w:r>
    </w:p>
    <w:p w14:paraId="0673BD8A">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4.如因不可抗力事件导致一方无法履行合同，该方应立即书面通知对方，并在合理期限内提供权威机构出具的证明。受影响方应尽力减轻不可抗力事件所造成的影响。如法律对不可抗力有其他规定，或合同迟延履行后发生不可抗力事件，本条款不免除违约方的责任。</w:t>
      </w:r>
    </w:p>
    <w:p w14:paraId="5343EEAB">
      <w:pPr>
        <w:spacing w:line="560" w:lineRule="exact"/>
        <w:ind w:firstLine="645"/>
        <w:rPr>
          <w:rFonts w:ascii="仿宋_GB2312" w:hAnsi="黑体" w:eastAsia="仿宋_GB2312" w:cs="黑体"/>
          <w:b/>
          <w:sz w:val="32"/>
          <w:szCs w:val="32"/>
        </w:rPr>
      </w:pPr>
      <w:r>
        <w:rPr>
          <w:rFonts w:hint="eastAsia" w:ascii="仿宋_GB2312" w:hAnsi="黑体" w:eastAsia="仿宋_GB2312" w:cs="黑体"/>
          <w:b/>
          <w:sz w:val="32"/>
          <w:szCs w:val="32"/>
        </w:rPr>
        <w:t>（二）争议处理</w:t>
      </w:r>
    </w:p>
    <w:p w14:paraId="30E04262">
      <w:pPr>
        <w:adjustRightInd w:val="0"/>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合同履行过程中，发生争议时，甲方和乙方协商解决。协商不一致的，甲方或者乙方向采购机构负责合同履约的部门反映情况，请求第一次调解处理；第一次调解不成功的，向军级单位采购管理部门或者同等权限的采购管理部门请求第二次调解处理。 </w:t>
      </w:r>
    </w:p>
    <w:p w14:paraId="1E3B9B80">
      <w:pPr>
        <w:adjustRightInd w:val="0"/>
        <w:spacing w:line="530" w:lineRule="exact"/>
        <w:ind w:firstLine="640" w:firstLineChars="200"/>
        <w:rPr>
          <w:rFonts w:ascii="黑体" w:hAnsi="黑体" w:eastAsia="黑体" w:cs="黑体"/>
          <w:sz w:val="32"/>
          <w:szCs w:val="32"/>
        </w:rPr>
      </w:pPr>
      <w:r>
        <w:rPr>
          <w:rFonts w:hint="eastAsia" w:ascii="仿宋_GB2312" w:hAnsi="仿宋" w:eastAsia="仿宋_GB2312"/>
          <w:sz w:val="32"/>
          <w:szCs w:val="32"/>
        </w:rPr>
        <w:t xml:space="preserve"> 调节不成功的，甲方或者乙方向向甲方所在地人民法院提起诉讼。诉讼费由承担责任的一方承担。在诉讼期间，除正在诉讼的部分外，合同的其他部分应继续执行。</w:t>
      </w:r>
    </w:p>
    <w:p w14:paraId="2229D6E5">
      <w:pPr>
        <w:widowControl/>
        <w:spacing w:line="5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roman"/>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DC"/>
    <w:rsid w:val="000021DC"/>
    <w:rsid w:val="00056468"/>
    <w:rsid w:val="000F225D"/>
    <w:rsid w:val="000F6A73"/>
    <w:rsid w:val="00162998"/>
    <w:rsid w:val="00456D28"/>
    <w:rsid w:val="004B0A7E"/>
    <w:rsid w:val="0051765B"/>
    <w:rsid w:val="006343FF"/>
    <w:rsid w:val="006E1A0B"/>
    <w:rsid w:val="00776188"/>
    <w:rsid w:val="008274A4"/>
    <w:rsid w:val="0087690D"/>
    <w:rsid w:val="009672D4"/>
    <w:rsid w:val="00A65275"/>
    <w:rsid w:val="00B44AA8"/>
    <w:rsid w:val="00BB48BC"/>
    <w:rsid w:val="00BC6654"/>
    <w:rsid w:val="00C16618"/>
    <w:rsid w:val="00D24221"/>
    <w:rsid w:val="00D43F86"/>
    <w:rsid w:val="00DD672D"/>
    <w:rsid w:val="00FC1DE7"/>
    <w:rsid w:val="1C4E1577"/>
    <w:rsid w:val="22250FCC"/>
    <w:rsid w:val="2D091A5A"/>
    <w:rsid w:val="2E0642D6"/>
    <w:rsid w:val="3AC70A1B"/>
    <w:rsid w:val="3C356188"/>
    <w:rsid w:val="53A375EE"/>
    <w:rsid w:val="54442073"/>
    <w:rsid w:val="564B36A1"/>
    <w:rsid w:val="58CE4E73"/>
    <w:rsid w:val="72D97014"/>
    <w:rsid w:val="73674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6"/>
    <w:qFormat/>
    <w:uiPriority w:val="0"/>
    <w:pPr>
      <w:keepNext/>
      <w:keepLines/>
      <w:spacing w:before="280" w:after="290" w:line="376" w:lineRule="auto"/>
      <w:outlineLvl w:val="3"/>
    </w:pPr>
    <w:rPr>
      <w:rFonts w:ascii="Arial" w:hAnsi="Arial" w:eastAsia="黑体" w:cs="仿宋_GB2312"/>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0"/>
    <w:unhideWhenUsed/>
    <w:qFormat/>
    <w:uiPriority w:val="0"/>
    <w:pPr>
      <w:spacing w:after="120"/>
    </w:pPr>
    <w:rPr>
      <w:rFonts w:ascii="Calibri" w:hAnsi="Calibri" w:eastAsia="宋体" w:cs="Times New Roman"/>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3"/>
    <w:qFormat/>
    <w:uiPriority w:val="0"/>
    <w:rPr>
      <w:rFonts w:ascii="Calibri" w:hAnsi="Calibri" w:eastAsia="宋体" w:cs="Times New Roman"/>
      <w:szCs w:val="24"/>
    </w:rPr>
  </w:style>
  <w:style w:type="paragraph" w:customStyle="1" w:styleId="11">
    <w:name w:val="_Style 24"/>
    <w:basedOn w:val="1"/>
    <w:qFormat/>
    <w:uiPriority w:val="34"/>
    <w:pPr>
      <w:ind w:firstLine="420" w:firstLineChars="200"/>
    </w:pPr>
    <w:rPr>
      <w:rFonts w:ascii="Calibri" w:hAnsi="Calibri" w:eastAsia="宋体" w:cs="Times New Roman"/>
    </w:rPr>
  </w:style>
  <w:style w:type="paragraph" w:styleId="12">
    <w:name w:val="List Paragraph"/>
    <w:basedOn w:val="1"/>
    <w:qFormat/>
    <w:uiPriority w:val="34"/>
    <w:pPr>
      <w:ind w:firstLine="420" w:firstLineChars="200"/>
    </w:pPr>
  </w:style>
  <w:style w:type="paragraph" w:customStyle="1" w:styleId="13">
    <w:name w:val="列出段落1"/>
    <w:basedOn w:val="1"/>
    <w:link w:val="14"/>
    <w:qFormat/>
    <w:uiPriority w:val="0"/>
    <w:pPr>
      <w:ind w:firstLine="420" w:firstLineChars="200"/>
    </w:pPr>
    <w:rPr>
      <w:rFonts w:ascii="Times New Roman" w:hAnsi="Times New Roman" w:eastAsia="宋体" w:cs="Times New Roman"/>
      <w:kern w:val="0"/>
      <w:sz w:val="24"/>
      <w:szCs w:val="24"/>
    </w:rPr>
  </w:style>
  <w:style w:type="character" w:customStyle="1" w:styleId="14">
    <w:name w:val="List Paragraph Char"/>
    <w:link w:val="13"/>
    <w:qFormat/>
    <w:locked/>
    <w:uiPriority w:val="0"/>
    <w:rPr>
      <w:rFonts w:ascii="Times New Roman" w:hAnsi="Times New Roman" w:eastAsia="宋体" w:cs="Times New Roman"/>
      <w:kern w:val="0"/>
      <w:sz w:val="24"/>
      <w:szCs w:val="24"/>
    </w:rPr>
  </w:style>
  <w:style w:type="character" w:customStyle="1" w:styleId="15">
    <w:name w:val="标题 4 字符"/>
    <w:basedOn w:val="9"/>
    <w:semiHidden/>
    <w:qFormat/>
    <w:uiPriority w:val="9"/>
    <w:rPr>
      <w:rFonts w:asciiTheme="majorHAnsi" w:hAnsiTheme="majorHAnsi" w:eastAsiaTheme="majorEastAsia" w:cstheme="majorBidi"/>
      <w:b/>
      <w:bCs/>
      <w:sz w:val="28"/>
      <w:szCs w:val="28"/>
    </w:rPr>
  </w:style>
  <w:style w:type="character" w:customStyle="1" w:styleId="16">
    <w:name w:val="标题 4 Char"/>
    <w:basedOn w:val="9"/>
    <w:link w:val="2"/>
    <w:qFormat/>
    <w:uiPriority w:val="0"/>
    <w:rPr>
      <w:rFonts w:ascii="Arial" w:hAnsi="Arial" w:eastAsia="黑体" w:cs="仿宋_GB2312"/>
      <w:b/>
      <w:bCs/>
      <w:sz w:val="28"/>
      <w:szCs w:val="28"/>
    </w:rPr>
  </w:style>
  <w:style w:type="character" w:customStyle="1" w:styleId="17">
    <w:name w:val="页眉 Char"/>
    <w:basedOn w:val="9"/>
    <w:link w:val="6"/>
    <w:semiHidden/>
    <w:qFormat/>
    <w:uiPriority w:val="99"/>
    <w:rPr>
      <w:sz w:val="18"/>
      <w:szCs w:val="18"/>
    </w:rPr>
  </w:style>
  <w:style w:type="character" w:customStyle="1" w:styleId="18">
    <w:name w:val="页脚 Char"/>
    <w:basedOn w:val="9"/>
    <w:link w:val="5"/>
    <w:semiHidden/>
    <w:qFormat/>
    <w:uiPriority w:val="99"/>
    <w:rPr>
      <w:sz w:val="18"/>
      <w:szCs w:val="18"/>
    </w:rPr>
  </w:style>
  <w:style w:type="table" w:customStyle="1" w:styleId="19">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1">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1091</Words>
  <Characters>6220</Characters>
  <Lines>51</Lines>
  <Paragraphs>14</Paragraphs>
  <TotalTime>0</TotalTime>
  <ScaleCrop>false</ScaleCrop>
  <LinksUpToDate>false</LinksUpToDate>
  <CharactersWithSpaces>7297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2025-06-16T01:52:00Z</dcterms:created>
  <dc:creator>Administrator</dc:creator>
  <cp:lastModifiedBy>Administrator</cp:lastModifiedBy>
  <cp:lastPrinted>2025-06-30T08:35:00Z</cp:lastPrinted>
  <dcterms:modified xsi:type="dcterms:W3CDTF">2025-07-04T01:38:51Z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eyJoZGlkIjoiZGYwMDRhZDcwOTA3ZDdjNDIyMjc4OTgzZDA3ZjcyZDkifQ==</vt:lpwstr>
  </property>
  <property fmtid="{D5CDD505-2E9C-101B-9397-08002B2CF9AE}" pid="3" name="KSOProductBuildVer">
    <vt:lpwstr>2052-12.1.0.20305</vt:lpwstr>
  </property>
  <property fmtid="{D5CDD505-2E9C-101B-9397-08002B2CF9AE}" pid="4" name="ICV">
    <vt:lpwstr>FA65FDBDD2414076A2D3C519F77A1A98_13</vt:lpwstr>
  </property>
</Properties>
</file>