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B1F17">
      <w:pPr>
        <w:spacing w:after="156" w:afterLines="50" w:line="579" w:lineRule="exact"/>
        <w:jc w:val="center"/>
        <w:rPr>
          <w:rFonts w:hint="eastAsia" w:ascii="方正小标宋简体" w:eastAsia="方正小标宋简体"/>
          <w:spacing w:val="-4"/>
          <w:sz w:val="44"/>
          <w:szCs w:val="44"/>
        </w:rPr>
      </w:pPr>
      <w:r>
        <w:rPr>
          <w:rFonts w:hint="eastAsia" w:ascii="方正小标宋简体" w:eastAsia="方正小标宋简体"/>
          <w:spacing w:val="-4"/>
          <w:sz w:val="44"/>
          <w:szCs w:val="44"/>
        </w:rPr>
        <w:t>不间断电源采购项目</w:t>
      </w:r>
    </w:p>
    <w:p w14:paraId="47298853">
      <w:pPr>
        <w:pStyle w:val="2"/>
      </w:pPr>
    </w:p>
    <w:p w14:paraId="79446CF3">
      <w:pPr>
        <w:spacing w:line="560" w:lineRule="exact"/>
        <w:ind w:firstLine="630"/>
        <w:rPr>
          <w:rFonts w:ascii="黑体" w:hAnsi="黑体" w:eastAsia="黑体"/>
          <w:sz w:val="32"/>
          <w:szCs w:val="32"/>
        </w:rPr>
      </w:pPr>
      <w:r>
        <w:rPr>
          <w:rFonts w:hint="eastAsia" w:ascii="黑体" w:hAnsi="黑体" w:eastAsia="黑体"/>
          <w:sz w:val="32"/>
          <w:szCs w:val="32"/>
        </w:rPr>
        <w:t>一、采购项目基本情况</w:t>
      </w:r>
    </w:p>
    <w:p w14:paraId="51149DF0">
      <w:pPr>
        <w:spacing w:line="579"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kern w:val="0"/>
          <w:sz w:val="32"/>
          <w:szCs w:val="32"/>
        </w:rPr>
        <w:t>我单位数据中心不间断电源（UPS）已超出设备正常使用生命周期，存在一定电力安全风险。随着新增服务器、存储及网络安全设备数量较多，不间断电源（UPS）的负荷也相应增加到极限不足以支撑数据中心的用电需求。现结合实际使用情况，拟购置新型国产化不间断电源（UPS）系统进行设备替换，该项目预算金额50万元 。</w:t>
      </w:r>
    </w:p>
    <w:p w14:paraId="42AD1B3F">
      <w:pPr>
        <w:spacing w:line="579" w:lineRule="exact"/>
        <w:ind w:firstLine="3968" w:firstLineChars="1240"/>
        <w:rPr>
          <w:rFonts w:ascii="仿宋_GB2312" w:hAnsi="仿宋_GB2312" w:eastAsia="仿宋_GB2312" w:cs="仿宋_GB2312"/>
          <w:sz w:val="32"/>
          <w:szCs w:val="32"/>
        </w:rPr>
      </w:pPr>
    </w:p>
    <w:p w14:paraId="05FB09B2">
      <w:pPr>
        <w:spacing w:line="560" w:lineRule="exact"/>
        <w:ind w:firstLine="640" w:firstLineChars="200"/>
        <w:rPr>
          <w:rFonts w:hAnsi="黑体" w:eastAsia="黑体"/>
          <w:sz w:val="32"/>
          <w:szCs w:val="32"/>
        </w:rPr>
      </w:pPr>
    </w:p>
    <w:p w14:paraId="0AAFA1EC">
      <w:pPr>
        <w:spacing w:line="560" w:lineRule="exact"/>
        <w:rPr>
          <w:rFonts w:ascii="仿宋_GB2312" w:hAnsi="仿宋" w:eastAsia="仿宋_GB2312"/>
          <w:color w:val="000000"/>
          <w:sz w:val="32"/>
          <w:szCs w:val="32"/>
        </w:rPr>
        <w:sectPr>
          <w:pgSz w:w="11906" w:h="16838"/>
          <w:pgMar w:top="1440" w:right="1800" w:bottom="1440" w:left="1800" w:header="851" w:footer="992" w:gutter="0"/>
          <w:cols w:space="425" w:num="1"/>
          <w:docGrid w:type="lines" w:linePitch="312" w:charSpace="0"/>
        </w:sectPr>
      </w:pPr>
    </w:p>
    <w:p w14:paraId="0EE38D50">
      <w:pPr>
        <w:widowControl/>
        <w:spacing w:line="579" w:lineRule="exact"/>
        <w:jc w:val="left"/>
        <w:rPr>
          <w:rFonts w:ascii="黑体" w:hAnsi="黑体" w:eastAsia="黑体" w:cs="Times New Roman"/>
          <w:sz w:val="32"/>
          <w:szCs w:val="32"/>
        </w:rPr>
      </w:pPr>
      <w:r>
        <w:rPr>
          <w:rFonts w:hint="eastAsia" w:ascii="黑体" w:hAnsi="黑体" w:eastAsia="黑体" w:cs="Times New Roman"/>
          <w:sz w:val="32"/>
          <w:szCs w:val="32"/>
        </w:rPr>
        <w:t>附件1</w:t>
      </w:r>
    </w:p>
    <w:p w14:paraId="4AB100D7">
      <w:pPr>
        <w:spacing w:line="579"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采购需求明细表</w:t>
      </w:r>
    </w:p>
    <w:tbl>
      <w:tblPr>
        <w:tblStyle w:val="6"/>
        <w:tblW w:w="13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3108"/>
        <w:gridCol w:w="988"/>
        <w:gridCol w:w="1271"/>
        <w:gridCol w:w="707"/>
        <w:gridCol w:w="848"/>
        <w:gridCol w:w="847"/>
        <w:gridCol w:w="1130"/>
        <w:gridCol w:w="1271"/>
        <w:gridCol w:w="1451"/>
        <w:gridCol w:w="1071"/>
      </w:tblGrid>
      <w:tr w14:paraId="37D3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7EA77038">
            <w:pPr>
              <w:overflowPunct w:val="0"/>
              <w:spacing w:line="300" w:lineRule="exact"/>
              <w:jc w:val="center"/>
              <w:rPr>
                <w:rFonts w:ascii="黑体" w:hAnsi="黑体" w:eastAsia="黑体" w:cs="宋体"/>
                <w:sz w:val="24"/>
              </w:rPr>
            </w:pPr>
            <w:r>
              <w:rPr>
                <w:rFonts w:hint="eastAsia" w:ascii="黑体" w:hAnsi="黑体" w:eastAsia="黑体" w:cs="宋体"/>
                <w:sz w:val="24"/>
              </w:rPr>
              <w:t>序号</w:t>
            </w:r>
          </w:p>
        </w:tc>
        <w:tc>
          <w:tcPr>
            <w:tcW w:w="3108" w:type="dxa"/>
            <w:tcBorders>
              <w:top w:val="single" w:color="auto" w:sz="4" w:space="0"/>
              <w:left w:val="single" w:color="auto" w:sz="4" w:space="0"/>
              <w:bottom w:val="single" w:color="auto" w:sz="4" w:space="0"/>
              <w:right w:val="single" w:color="auto" w:sz="4" w:space="0"/>
            </w:tcBorders>
            <w:vAlign w:val="center"/>
          </w:tcPr>
          <w:p w14:paraId="78890A5A">
            <w:pPr>
              <w:overflowPunct w:val="0"/>
              <w:spacing w:line="300" w:lineRule="exact"/>
              <w:jc w:val="center"/>
              <w:rPr>
                <w:rFonts w:ascii="黑体" w:hAnsi="黑体" w:eastAsia="黑体" w:cs="宋体"/>
                <w:sz w:val="24"/>
              </w:rPr>
            </w:pPr>
            <w:r>
              <w:rPr>
                <w:rFonts w:hint="eastAsia" w:ascii="黑体" w:hAnsi="黑体" w:eastAsia="黑体" w:cs="宋体"/>
                <w:sz w:val="24"/>
              </w:rPr>
              <w:t>项目及</w:t>
            </w:r>
          </w:p>
          <w:p w14:paraId="3C5F2232">
            <w:pPr>
              <w:overflowPunct w:val="0"/>
              <w:spacing w:line="300" w:lineRule="exact"/>
              <w:jc w:val="center"/>
              <w:rPr>
                <w:rFonts w:ascii="黑体" w:hAnsi="黑体" w:eastAsia="黑体" w:cs="宋体"/>
                <w:sz w:val="24"/>
              </w:rPr>
            </w:pPr>
            <w:r>
              <w:rPr>
                <w:rFonts w:hint="eastAsia" w:ascii="黑体" w:hAnsi="黑体" w:eastAsia="黑体" w:cs="宋体"/>
                <w:sz w:val="24"/>
              </w:rPr>
              <w:t>品种名称</w:t>
            </w:r>
          </w:p>
        </w:tc>
        <w:tc>
          <w:tcPr>
            <w:tcW w:w="988" w:type="dxa"/>
            <w:tcBorders>
              <w:top w:val="single" w:color="auto" w:sz="4" w:space="0"/>
              <w:left w:val="single" w:color="auto" w:sz="4" w:space="0"/>
              <w:bottom w:val="single" w:color="auto" w:sz="4" w:space="0"/>
              <w:right w:val="single" w:color="auto" w:sz="4" w:space="0"/>
            </w:tcBorders>
            <w:vAlign w:val="center"/>
          </w:tcPr>
          <w:p w14:paraId="28AFA99D">
            <w:pPr>
              <w:overflowPunct w:val="0"/>
              <w:spacing w:line="300" w:lineRule="exact"/>
              <w:jc w:val="center"/>
              <w:rPr>
                <w:rFonts w:ascii="黑体" w:hAnsi="黑体" w:eastAsia="黑体" w:cs="宋体"/>
                <w:sz w:val="24"/>
              </w:rPr>
            </w:pPr>
            <w:r>
              <w:rPr>
                <w:rFonts w:hint="eastAsia" w:ascii="黑体" w:hAnsi="黑体" w:eastAsia="黑体" w:cs="宋体"/>
                <w:sz w:val="24"/>
              </w:rPr>
              <w:t>采购编码</w:t>
            </w:r>
          </w:p>
        </w:tc>
        <w:tc>
          <w:tcPr>
            <w:tcW w:w="1271" w:type="dxa"/>
            <w:tcBorders>
              <w:top w:val="single" w:color="auto" w:sz="4" w:space="0"/>
              <w:left w:val="single" w:color="auto" w:sz="4" w:space="0"/>
              <w:bottom w:val="single" w:color="auto" w:sz="4" w:space="0"/>
              <w:right w:val="single" w:color="auto" w:sz="4" w:space="0"/>
            </w:tcBorders>
            <w:vAlign w:val="center"/>
          </w:tcPr>
          <w:p w14:paraId="760AB084">
            <w:pPr>
              <w:overflowPunct w:val="0"/>
              <w:spacing w:line="300" w:lineRule="exact"/>
              <w:jc w:val="center"/>
              <w:rPr>
                <w:rFonts w:ascii="黑体" w:hAnsi="黑体" w:eastAsia="黑体" w:cs="宋体"/>
                <w:sz w:val="24"/>
              </w:rPr>
            </w:pPr>
            <w:r>
              <w:rPr>
                <w:rFonts w:hint="eastAsia" w:ascii="黑体" w:hAnsi="黑体" w:eastAsia="黑体" w:cs="宋体"/>
                <w:sz w:val="24"/>
              </w:rPr>
              <w:t>物资</w:t>
            </w:r>
          </w:p>
          <w:p w14:paraId="1322B8E8">
            <w:pPr>
              <w:overflowPunct w:val="0"/>
              <w:spacing w:line="300" w:lineRule="exact"/>
              <w:jc w:val="center"/>
              <w:rPr>
                <w:rFonts w:ascii="黑体" w:hAnsi="黑体" w:eastAsia="黑体" w:cs="宋体"/>
                <w:sz w:val="24"/>
              </w:rPr>
            </w:pPr>
            <w:r>
              <w:rPr>
                <w:rFonts w:hint="eastAsia" w:ascii="黑体" w:hAnsi="黑体" w:eastAsia="黑体" w:cs="宋体"/>
                <w:sz w:val="24"/>
              </w:rPr>
              <w:t>编目码</w:t>
            </w:r>
          </w:p>
        </w:tc>
        <w:tc>
          <w:tcPr>
            <w:tcW w:w="707" w:type="dxa"/>
            <w:tcBorders>
              <w:top w:val="single" w:color="auto" w:sz="4" w:space="0"/>
              <w:left w:val="single" w:color="auto" w:sz="4" w:space="0"/>
              <w:bottom w:val="single" w:color="auto" w:sz="4" w:space="0"/>
              <w:right w:val="single" w:color="auto" w:sz="4" w:space="0"/>
            </w:tcBorders>
            <w:vAlign w:val="center"/>
          </w:tcPr>
          <w:p w14:paraId="361C66FC">
            <w:pPr>
              <w:overflowPunct w:val="0"/>
              <w:spacing w:line="300" w:lineRule="exact"/>
              <w:jc w:val="center"/>
              <w:rPr>
                <w:rFonts w:ascii="黑体" w:hAnsi="黑体" w:eastAsia="黑体" w:cs="宋体"/>
                <w:sz w:val="24"/>
              </w:rPr>
            </w:pPr>
            <w:r>
              <w:rPr>
                <w:rFonts w:hint="eastAsia" w:ascii="黑体" w:hAnsi="黑体" w:eastAsia="黑体" w:cs="宋体"/>
                <w:sz w:val="24"/>
              </w:rPr>
              <w:t>分包方案</w:t>
            </w:r>
          </w:p>
        </w:tc>
        <w:tc>
          <w:tcPr>
            <w:tcW w:w="848" w:type="dxa"/>
            <w:tcBorders>
              <w:top w:val="single" w:color="auto" w:sz="4" w:space="0"/>
              <w:left w:val="single" w:color="auto" w:sz="4" w:space="0"/>
              <w:bottom w:val="single" w:color="auto" w:sz="4" w:space="0"/>
              <w:right w:val="single" w:color="auto" w:sz="4" w:space="0"/>
            </w:tcBorders>
            <w:vAlign w:val="center"/>
          </w:tcPr>
          <w:p w14:paraId="7AA7AF0E">
            <w:pPr>
              <w:overflowPunct w:val="0"/>
              <w:spacing w:line="300" w:lineRule="exact"/>
              <w:jc w:val="center"/>
              <w:rPr>
                <w:rFonts w:ascii="黑体" w:hAnsi="黑体" w:eastAsia="黑体" w:cs="宋体"/>
                <w:sz w:val="24"/>
              </w:rPr>
            </w:pPr>
            <w:r>
              <w:rPr>
                <w:rFonts w:hint="eastAsia" w:ascii="黑体" w:hAnsi="黑体" w:eastAsia="黑体" w:cs="宋体"/>
                <w:sz w:val="24"/>
              </w:rPr>
              <w:t>计量</w:t>
            </w:r>
          </w:p>
          <w:p w14:paraId="0DF3A04E">
            <w:pPr>
              <w:overflowPunct w:val="0"/>
              <w:spacing w:line="300" w:lineRule="exact"/>
              <w:jc w:val="center"/>
              <w:rPr>
                <w:rFonts w:ascii="黑体" w:hAnsi="黑体" w:eastAsia="黑体" w:cs="宋体"/>
                <w:sz w:val="24"/>
              </w:rPr>
            </w:pPr>
            <w:r>
              <w:rPr>
                <w:rFonts w:hint="eastAsia" w:ascii="黑体" w:hAnsi="黑体" w:eastAsia="黑体" w:cs="宋体"/>
                <w:sz w:val="24"/>
              </w:rPr>
              <w:t>单位</w:t>
            </w:r>
          </w:p>
        </w:tc>
        <w:tc>
          <w:tcPr>
            <w:tcW w:w="847" w:type="dxa"/>
            <w:tcBorders>
              <w:top w:val="single" w:color="auto" w:sz="4" w:space="0"/>
              <w:left w:val="single" w:color="auto" w:sz="4" w:space="0"/>
              <w:bottom w:val="single" w:color="auto" w:sz="4" w:space="0"/>
              <w:right w:val="single" w:color="auto" w:sz="4" w:space="0"/>
            </w:tcBorders>
            <w:vAlign w:val="center"/>
          </w:tcPr>
          <w:p w14:paraId="56597952">
            <w:pPr>
              <w:overflowPunct w:val="0"/>
              <w:spacing w:line="300" w:lineRule="exact"/>
              <w:jc w:val="center"/>
              <w:rPr>
                <w:rFonts w:ascii="黑体" w:hAnsi="黑体" w:eastAsia="黑体" w:cs="宋体"/>
                <w:sz w:val="24"/>
              </w:rPr>
            </w:pPr>
            <w:r>
              <w:rPr>
                <w:rFonts w:hint="eastAsia" w:ascii="黑体" w:hAnsi="黑体" w:eastAsia="黑体" w:cs="宋体"/>
                <w:sz w:val="24"/>
              </w:rPr>
              <w:t>采购</w:t>
            </w:r>
          </w:p>
          <w:p w14:paraId="41902657">
            <w:pPr>
              <w:overflowPunct w:val="0"/>
              <w:spacing w:line="300" w:lineRule="exact"/>
              <w:jc w:val="center"/>
              <w:rPr>
                <w:rFonts w:ascii="黑体" w:hAnsi="黑体" w:eastAsia="黑体" w:cs="宋体"/>
                <w:sz w:val="24"/>
              </w:rPr>
            </w:pPr>
            <w:r>
              <w:rPr>
                <w:rFonts w:hint="eastAsia" w:ascii="黑体" w:hAnsi="黑体" w:eastAsia="黑体" w:cs="宋体"/>
                <w:sz w:val="24"/>
              </w:rPr>
              <w:t>数量</w:t>
            </w:r>
          </w:p>
        </w:tc>
        <w:tc>
          <w:tcPr>
            <w:tcW w:w="1130" w:type="dxa"/>
            <w:tcBorders>
              <w:top w:val="single" w:color="auto" w:sz="4" w:space="0"/>
              <w:left w:val="single" w:color="auto" w:sz="4" w:space="0"/>
              <w:bottom w:val="single" w:color="auto" w:sz="4" w:space="0"/>
              <w:right w:val="single" w:color="auto" w:sz="4" w:space="0"/>
            </w:tcBorders>
            <w:vAlign w:val="center"/>
          </w:tcPr>
          <w:p w14:paraId="521BB27E">
            <w:pPr>
              <w:overflowPunct w:val="0"/>
              <w:spacing w:line="300" w:lineRule="exact"/>
              <w:jc w:val="center"/>
              <w:rPr>
                <w:rFonts w:ascii="黑体" w:hAnsi="黑体" w:eastAsia="黑体" w:cs="宋体"/>
                <w:sz w:val="24"/>
              </w:rPr>
            </w:pPr>
            <w:r>
              <w:rPr>
                <w:rFonts w:hint="eastAsia" w:ascii="黑体" w:hAnsi="黑体" w:eastAsia="黑体" w:cs="宋体"/>
                <w:sz w:val="24"/>
              </w:rPr>
              <w:t>单价</w:t>
            </w:r>
          </w:p>
          <w:p w14:paraId="0B9B7247">
            <w:pPr>
              <w:overflowPunct w:val="0"/>
              <w:spacing w:line="300" w:lineRule="exact"/>
              <w:jc w:val="center"/>
              <w:rPr>
                <w:rFonts w:ascii="黑体" w:hAnsi="黑体" w:eastAsia="黑体" w:cs="宋体"/>
                <w:sz w:val="24"/>
              </w:rPr>
            </w:pPr>
            <w:r>
              <w:rPr>
                <w:rFonts w:hint="eastAsia" w:ascii="黑体" w:hAnsi="黑体" w:eastAsia="黑体" w:cs="宋体"/>
                <w:sz w:val="24"/>
              </w:rPr>
              <w:t>（万元）</w:t>
            </w:r>
          </w:p>
        </w:tc>
        <w:tc>
          <w:tcPr>
            <w:tcW w:w="1271" w:type="dxa"/>
            <w:tcBorders>
              <w:top w:val="single" w:color="auto" w:sz="4" w:space="0"/>
              <w:left w:val="single" w:color="auto" w:sz="4" w:space="0"/>
              <w:bottom w:val="single" w:color="auto" w:sz="4" w:space="0"/>
              <w:right w:val="single" w:color="auto" w:sz="4" w:space="0"/>
            </w:tcBorders>
            <w:vAlign w:val="center"/>
          </w:tcPr>
          <w:p w14:paraId="657BD3D9">
            <w:pPr>
              <w:overflowPunct w:val="0"/>
              <w:spacing w:line="300" w:lineRule="exact"/>
              <w:jc w:val="center"/>
              <w:rPr>
                <w:rFonts w:ascii="黑体" w:hAnsi="黑体" w:eastAsia="黑体" w:cs="宋体"/>
                <w:sz w:val="24"/>
              </w:rPr>
            </w:pPr>
            <w:r>
              <w:rPr>
                <w:rFonts w:hint="eastAsia" w:ascii="黑体" w:hAnsi="黑体" w:eastAsia="黑体" w:cs="宋体"/>
                <w:sz w:val="24"/>
              </w:rPr>
              <w:t>预算金额</w:t>
            </w:r>
          </w:p>
          <w:p w14:paraId="5A7B25AA">
            <w:pPr>
              <w:overflowPunct w:val="0"/>
              <w:spacing w:line="300" w:lineRule="exact"/>
              <w:jc w:val="center"/>
              <w:rPr>
                <w:rFonts w:ascii="黑体" w:hAnsi="黑体" w:eastAsia="黑体" w:cs="宋体"/>
                <w:sz w:val="24"/>
              </w:rPr>
            </w:pPr>
            <w:r>
              <w:rPr>
                <w:rFonts w:hint="eastAsia" w:ascii="黑体" w:hAnsi="黑体" w:eastAsia="黑体" w:cs="宋体"/>
                <w:sz w:val="24"/>
              </w:rPr>
              <w:t>（万元）</w:t>
            </w:r>
          </w:p>
        </w:tc>
        <w:tc>
          <w:tcPr>
            <w:tcW w:w="1451" w:type="dxa"/>
            <w:tcBorders>
              <w:top w:val="single" w:color="auto" w:sz="4" w:space="0"/>
              <w:left w:val="single" w:color="auto" w:sz="4" w:space="0"/>
              <w:bottom w:val="single" w:color="auto" w:sz="4" w:space="0"/>
              <w:right w:val="single" w:color="auto" w:sz="4" w:space="0"/>
            </w:tcBorders>
            <w:vAlign w:val="center"/>
          </w:tcPr>
          <w:p w14:paraId="4160D1EF">
            <w:pPr>
              <w:overflowPunct w:val="0"/>
              <w:spacing w:line="300" w:lineRule="exact"/>
              <w:jc w:val="center"/>
              <w:rPr>
                <w:rFonts w:ascii="黑体" w:hAnsi="黑体" w:eastAsia="黑体" w:cs="宋体"/>
                <w:sz w:val="24"/>
              </w:rPr>
            </w:pPr>
            <w:r>
              <w:rPr>
                <w:rFonts w:hint="eastAsia" w:ascii="黑体" w:hAnsi="黑体" w:eastAsia="黑体" w:cs="宋体"/>
                <w:sz w:val="24"/>
              </w:rPr>
              <w:t>交付（实施）</w:t>
            </w:r>
          </w:p>
          <w:p w14:paraId="3A629C3C">
            <w:pPr>
              <w:overflowPunct w:val="0"/>
              <w:spacing w:line="300" w:lineRule="exact"/>
              <w:jc w:val="center"/>
              <w:rPr>
                <w:rFonts w:ascii="黑体" w:hAnsi="黑体" w:eastAsia="黑体" w:cs="宋体"/>
                <w:sz w:val="24"/>
              </w:rPr>
            </w:pPr>
            <w:r>
              <w:rPr>
                <w:rFonts w:hint="eastAsia" w:ascii="黑体" w:hAnsi="黑体" w:eastAsia="黑体" w:cs="宋体"/>
                <w:sz w:val="24"/>
              </w:rPr>
              <w:t>时间</w:t>
            </w:r>
          </w:p>
        </w:tc>
        <w:tc>
          <w:tcPr>
            <w:tcW w:w="1071" w:type="dxa"/>
            <w:tcBorders>
              <w:top w:val="single" w:color="auto" w:sz="4" w:space="0"/>
              <w:left w:val="single" w:color="auto" w:sz="4" w:space="0"/>
              <w:bottom w:val="single" w:color="auto" w:sz="4" w:space="0"/>
              <w:right w:val="single" w:color="auto" w:sz="4" w:space="0"/>
            </w:tcBorders>
            <w:vAlign w:val="center"/>
          </w:tcPr>
          <w:p w14:paraId="74107E8A">
            <w:pPr>
              <w:overflowPunct w:val="0"/>
              <w:spacing w:line="300" w:lineRule="exact"/>
              <w:jc w:val="center"/>
              <w:rPr>
                <w:rFonts w:ascii="黑体" w:hAnsi="黑体" w:eastAsia="黑体" w:cs="宋体"/>
                <w:sz w:val="24"/>
              </w:rPr>
            </w:pPr>
            <w:r>
              <w:rPr>
                <w:rFonts w:hint="eastAsia" w:ascii="黑体" w:hAnsi="黑体" w:eastAsia="黑体" w:cs="宋体"/>
                <w:sz w:val="24"/>
              </w:rPr>
              <w:t>采购方式建议</w:t>
            </w:r>
          </w:p>
        </w:tc>
      </w:tr>
      <w:tr w14:paraId="10E8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2E41E70">
            <w:pPr>
              <w:spacing w:line="280" w:lineRule="exact"/>
              <w:jc w:val="center"/>
              <w:rPr>
                <w:rFonts w:cs="宋体" w:asciiTheme="minorEastAsia" w:hAnsiTheme="minorEastAsia"/>
                <w:sz w:val="20"/>
                <w:szCs w:val="20"/>
              </w:rPr>
            </w:pPr>
            <w:r>
              <w:rPr>
                <w:rFonts w:hint="eastAsia" w:asciiTheme="minorEastAsia" w:hAnsiTheme="minorEastAsia"/>
                <w:sz w:val="20"/>
                <w:szCs w:val="20"/>
              </w:rPr>
              <w:t>1</w:t>
            </w:r>
          </w:p>
        </w:tc>
        <w:tc>
          <w:tcPr>
            <w:tcW w:w="3108" w:type="dxa"/>
            <w:tcBorders>
              <w:top w:val="single" w:color="auto" w:sz="4" w:space="0"/>
              <w:left w:val="single" w:color="auto" w:sz="4" w:space="0"/>
              <w:bottom w:val="single" w:color="auto" w:sz="4" w:space="0"/>
              <w:right w:val="single" w:color="auto" w:sz="4" w:space="0"/>
            </w:tcBorders>
            <w:vAlign w:val="center"/>
          </w:tcPr>
          <w:p w14:paraId="447097BD">
            <w:pPr>
              <w:spacing w:line="280" w:lineRule="exact"/>
              <w:jc w:val="center"/>
              <w:rPr>
                <w:rFonts w:cs="宋体" w:asciiTheme="minorEastAsia" w:hAnsiTheme="minorEastAsia"/>
                <w:sz w:val="20"/>
                <w:szCs w:val="20"/>
              </w:rPr>
            </w:pPr>
            <w:r>
              <w:rPr>
                <w:rFonts w:hint="eastAsia" w:asciiTheme="minorEastAsia" w:hAnsiTheme="minorEastAsia"/>
                <w:sz w:val="20"/>
                <w:szCs w:val="20"/>
              </w:rPr>
              <w:t>不间断电源（UPS）</w:t>
            </w:r>
          </w:p>
        </w:tc>
        <w:tc>
          <w:tcPr>
            <w:tcW w:w="988" w:type="dxa"/>
            <w:tcBorders>
              <w:top w:val="single" w:color="auto" w:sz="4" w:space="0"/>
              <w:left w:val="single" w:color="auto" w:sz="4" w:space="0"/>
              <w:right w:val="single" w:color="auto" w:sz="4" w:space="0"/>
            </w:tcBorders>
            <w:vAlign w:val="center"/>
          </w:tcPr>
          <w:p w14:paraId="2E79FA77">
            <w:pPr>
              <w:spacing w:line="280" w:lineRule="exact"/>
              <w:jc w:val="center"/>
              <w:rPr>
                <w:rFonts w:cs="宋体" w:asciiTheme="minorEastAsia" w:hAnsiTheme="minorEastAsia"/>
                <w:color w:val="000000" w:themeColor="text1"/>
                <w:sz w:val="20"/>
                <w:szCs w:val="20"/>
                <w14:textFill>
                  <w14:solidFill>
                    <w14:schemeClr w14:val="tx1"/>
                  </w14:solidFill>
                </w14:textFill>
              </w:rPr>
            </w:pPr>
            <w:r>
              <w:rPr>
                <w:rFonts w:ascii="仿宋_GB2312" w:hAnsi="宋体" w:eastAsia="宋体" w:cs="宋体"/>
                <w:sz w:val="18"/>
                <w:szCs w:val="18"/>
              </w:rPr>
              <w:t>A061504</w:t>
            </w:r>
          </w:p>
        </w:tc>
        <w:tc>
          <w:tcPr>
            <w:tcW w:w="1271" w:type="dxa"/>
            <w:tcBorders>
              <w:top w:val="single" w:color="auto" w:sz="4" w:space="0"/>
              <w:left w:val="single" w:color="auto" w:sz="4" w:space="0"/>
              <w:right w:val="single" w:color="auto" w:sz="4" w:space="0"/>
            </w:tcBorders>
            <w:vAlign w:val="center"/>
          </w:tcPr>
          <w:p w14:paraId="188A61AD">
            <w:pPr>
              <w:spacing w:line="280" w:lineRule="exact"/>
              <w:jc w:val="center"/>
              <w:rPr>
                <w:rFonts w:cs="宋体" w:asciiTheme="minorEastAsia" w:hAnsiTheme="minorEastAsia"/>
                <w:color w:val="000000" w:themeColor="text1"/>
                <w:sz w:val="20"/>
                <w:szCs w:val="20"/>
                <w14:textFill>
                  <w14:solidFill>
                    <w14:schemeClr w14:val="tx1"/>
                  </w14:solidFill>
                </w14:textFill>
              </w:rPr>
            </w:pPr>
            <w:r>
              <w:rPr>
                <w:rFonts w:ascii="仿宋_GB2312" w:hAnsi="宋体" w:eastAsia="宋体" w:cs="宋体"/>
                <w:sz w:val="18"/>
                <w:szCs w:val="18"/>
              </w:rPr>
              <w:t>863668042</w:t>
            </w:r>
          </w:p>
        </w:tc>
        <w:tc>
          <w:tcPr>
            <w:tcW w:w="707" w:type="dxa"/>
            <w:tcBorders>
              <w:top w:val="single" w:color="auto" w:sz="4" w:space="0"/>
              <w:left w:val="single" w:color="auto" w:sz="4" w:space="0"/>
              <w:right w:val="single" w:color="auto" w:sz="4" w:space="0"/>
            </w:tcBorders>
            <w:vAlign w:val="center"/>
          </w:tcPr>
          <w:p w14:paraId="0FD1F767">
            <w:pPr>
              <w:widowControl/>
              <w:spacing w:line="280" w:lineRule="exact"/>
              <w:jc w:val="center"/>
              <w:rPr>
                <w:rFonts w:cs="宋体" w:asciiTheme="minorEastAsia" w:hAnsiTheme="minorEastAsia"/>
                <w:bCs/>
                <w:kern w:val="0"/>
                <w:sz w:val="20"/>
                <w:szCs w:val="20"/>
              </w:rPr>
            </w:pPr>
            <w:r>
              <w:rPr>
                <w:rFonts w:hint="eastAsia" w:cs="宋体" w:asciiTheme="minorEastAsia" w:hAnsiTheme="minorEastAsia"/>
                <w:bCs/>
                <w:kern w:val="0"/>
                <w:sz w:val="20"/>
                <w:szCs w:val="20"/>
              </w:rPr>
              <w:t>不分包</w:t>
            </w:r>
          </w:p>
        </w:tc>
        <w:tc>
          <w:tcPr>
            <w:tcW w:w="848" w:type="dxa"/>
            <w:tcBorders>
              <w:top w:val="single" w:color="auto" w:sz="4" w:space="0"/>
              <w:left w:val="single" w:color="auto" w:sz="4" w:space="0"/>
              <w:bottom w:val="single" w:color="auto" w:sz="4" w:space="0"/>
              <w:right w:val="single" w:color="auto" w:sz="4" w:space="0"/>
            </w:tcBorders>
            <w:vAlign w:val="center"/>
          </w:tcPr>
          <w:p w14:paraId="050CDDD3">
            <w:pPr>
              <w:widowControl/>
              <w:spacing w:line="280" w:lineRule="exact"/>
              <w:jc w:val="center"/>
              <w:rPr>
                <w:rFonts w:cs="宋体" w:asciiTheme="minorEastAsia" w:hAnsiTheme="minorEastAsia"/>
                <w:bCs/>
                <w:kern w:val="0"/>
                <w:sz w:val="20"/>
                <w:szCs w:val="20"/>
              </w:rPr>
            </w:pPr>
            <w:r>
              <w:rPr>
                <w:rFonts w:hint="eastAsia" w:cs="宋体" w:asciiTheme="minorEastAsia" w:hAnsiTheme="minorEastAsia"/>
                <w:bCs/>
                <w:kern w:val="0"/>
                <w:sz w:val="20"/>
                <w:szCs w:val="20"/>
              </w:rPr>
              <w:t>套</w:t>
            </w:r>
          </w:p>
        </w:tc>
        <w:tc>
          <w:tcPr>
            <w:tcW w:w="847" w:type="dxa"/>
            <w:tcBorders>
              <w:top w:val="single" w:color="auto" w:sz="4" w:space="0"/>
              <w:left w:val="single" w:color="auto" w:sz="4" w:space="0"/>
              <w:bottom w:val="single" w:color="auto" w:sz="4" w:space="0"/>
              <w:right w:val="single" w:color="auto" w:sz="4" w:space="0"/>
            </w:tcBorders>
            <w:vAlign w:val="center"/>
          </w:tcPr>
          <w:p w14:paraId="59A68BFE">
            <w:pPr>
              <w:spacing w:line="280" w:lineRule="exact"/>
              <w:jc w:val="center"/>
              <w:rPr>
                <w:rFonts w:cs="宋体" w:asciiTheme="minorEastAsia" w:hAnsiTheme="minorEastAsia"/>
                <w:sz w:val="20"/>
                <w:szCs w:val="20"/>
              </w:rPr>
            </w:pPr>
            <w:r>
              <w:rPr>
                <w:rFonts w:hint="eastAsia" w:cs="宋体" w:asciiTheme="minorEastAsia" w:hAnsiTheme="minorEastAsia"/>
                <w:sz w:val="20"/>
                <w:szCs w:val="20"/>
              </w:rPr>
              <w:t>1</w:t>
            </w:r>
          </w:p>
        </w:tc>
        <w:tc>
          <w:tcPr>
            <w:tcW w:w="1130" w:type="dxa"/>
            <w:tcBorders>
              <w:top w:val="single" w:color="auto" w:sz="4" w:space="0"/>
              <w:left w:val="single" w:color="auto" w:sz="4" w:space="0"/>
              <w:bottom w:val="single" w:color="auto" w:sz="4" w:space="0"/>
              <w:right w:val="single" w:color="auto" w:sz="4" w:space="0"/>
            </w:tcBorders>
            <w:vAlign w:val="center"/>
          </w:tcPr>
          <w:p w14:paraId="65556CC8">
            <w:pPr>
              <w:spacing w:line="280" w:lineRule="exact"/>
              <w:jc w:val="center"/>
              <w:rPr>
                <w:rFonts w:cs="宋体" w:asciiTheme="minorEastAsia" w:hAnsiTheme="minorEastAsia"/>
                <w:sz w:val="20"/>
                <w:szCs w:val="20"/>
              </w:rPr>
            </w:pPr>
            <w:r>
              <w:rPr>
                <w:rFonts w:hint="eastAsia" w:cs="宋体" w:asciiTheme="minorEastAsia" w:hAnsiTheme="minorEastAsia"/>
                <w:sz w:val="20"/>
                <w:szCs w:val="20"/>
              </w:rPr>
              <w:t>50</w:t>
            </w:r>
          </w:p>
        </w:tc>
        <w:tc>
          <w:tcPr>
            <w:tcW w:w="1271" w:type="dxa"/>
            <w:tcBorders>
              <w:top w:val="single" w:color="auto" w:sz="4" w:space="0"/>
              <w:left w:val="single" w:color="auto" w:sz="4" w:space="0"/>
              <w:bottom w:val="single" w:color="auto" w:sz="4" w:space="0"/>
              <w:right w:val="single" w:color="auto" w:sz="4" w:space="0"/>
            </w:tcBorders>
            <w:vAlign w:val="center"/>
          </w:tcPr>
          <w:p w14:paraId="193B28DF">
            <w:pPr>
              <w:spacing w:line="280" w:lineRule="exact"/>
              <w:jc w:val="center"/>
              <w:rPr>
                <w:rFonts w:cs="宋体" w:asciiTheme="minorEastAsia" w:hAnsiTheme="minorEastAsia"/>
                <w:sz w:val="20"/>
                <w:szCs w:val="20"/>
              </w:rPr>
            </w:pPr>
            <w:r>
              <w:rPr>
                <w:rFonts w:hint="eastAsia" w:cs="宋体" w:asciiTheme="minorEastAsia" w:hAnsiTheme="minorEastAsia"/>
                <w:sz w:val="20"/>
                <w:szCs w:val="20"/>
              </w:rPr>
              <w:t>50</w:t>
            </w:r>
          </w:p>
        </w:tc>
        <w:tc>
          <w:tcPr>
            <w:tcW w:w="1451" w:type="dxa"/>
            <w:tcBorders>
              <w:top w:val="single" w:color="auto" w:sz="4" w:space="0"/>
              <w:left w:val="single" w:color="auto" w:sz="4" w:space="0"/>
              <w:right w:val="single" w:color="auto" w:sz="4" w:space="0"/>
            </w:tcBorders>
            <w:vAlign w:val="center"/>
          </w:tcPr>
          <w:p w14:paraId="0D9BC24A">
            <w:pPr>
              <w:pStyle w:val="11"/>
              <w:spacing w:line="280" w:lineRule="exact"/>
              <w:ind w:firstLine="0" w:firstLineChars="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自合同签订之日起90日内完成供货、安装。</w:t>
            </w:r>
          </w:p>
        </w:tc>
        <w:tc>
          <w:tcPr>
            <w:tcW w:w="1071" w:type="dxa"/>
            <w:tcBorders>
              <w:top w:val="single" w:color="auto" w:sz="4" w:space="0"/>
              <w:left w:val="single" w:color="auto" w:sz="4" w:space="0"/>
              <w:right w:val="single" w:color="auto" w:sz="4" w:space="0"/>
            </w:tcBorders>
            <w:vAlign w:val="center"/>
          </w:tcPr>
          <w:p w14:paraId="2B794B1B">
            <w:pPr>
              <w:spacing w:line="280" w:lineRule="exact"/>
              <w:jc w:val="center"/>
              <w:rPr>
                <w:rFonts w:cs="宋体" w:asciiTheme="minorEastAsia" w:hAnsiTheme="minorEastAsia"/>
                <w:bCs/>
                <w:kern w:val="0"/>
                <w:sz w:val="20"/>
                <w:szCs w:val="20"/>
              </w:rPr>
            </w:pPr>
            <w:r>
              <w:rPr>
                <w:rFonts w:hint="eastAsia" w:cs="宋体" w:asciiTheme="minorEastAsia" w:hAnsiTheme="minorEastAsia"/>
                <w:bCs/>
                <w:kern w:val="0"/>
                <w:sz w:val="20"/>
                <w:szCs w:val="20"/>
              </w:rPr>
              <w:t>竞争性</w:t>
            </w:r>
          </w:p>
          <w:p w14:paraId="67430374">
            <w:pPr>
              <w:spacing w:line="280" w:lineRule="exact"/>
              <w:jc w:val="center"/>
              <w:rPr>
                <w:rFonts w:cs="宋体" w:asciiTheme="minorEastAsia" w:hAnsiTheme="minorEastAsia"/>
                <w:bCs/>
                <w:kern w:val="0"/>
                <w:sz w:val="20"/>
                <w:szCs w:val="20"/>
              </w:rPr>
            </w:pPr>
            <w:r>
              <w:rPr>
                <w:rFonts w:hint="eastAsia" w:cs="宋体" w:asciiTheme="minorEastAsia" w:hAnsiTheme="minorEastAsia"/>
                <w:bCs/>
                <w:kern w:val="0"/>
                <w:sz w:val="20"/>
                <w:szCs w:val="20"/>
              </w:rPr>
              <w:t>谈判</w:t>
            </w:r>
          </w:p>
        </w:tc>
      </w:tr>
    </w:tbl>
    <w:p w14:paraId="3D9BA3A5">
      <w:pPr>
        <w:spacing w:line="560" w:lineRule="exact"/>
        <w:ind w:firstLine="640" w:firstLineChars="200"/>
        <w:rPr>
          <w:rFonts w:hAnsi="黑体" w:eastAsia="黑体"/>
          <w:sz w:val="32"/>
          <w:szCs w:val="32"/>
        </w:rPr>
        <w:sectPr>
          <w:pgSz w:w="16838" w:h="11906" w:orient="landscape"/>
          <w:pgMar w:top="1800" w:right="1440" w:bottom="1800" w:left="1440" w:header="851" w:footer="992" w:gutter="0"/>
          <w:cols w:space="425" w:num="1"/>
          <w:docGrid w:type="lines" w:linePitch="312" w:charSpace="0"/>
        </w:sectPr>
      </w:pPr>
    </w:p>
    <w:p w14:paraId="16E1D905">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p>
    <w:p w14:paraId="714F53C1">
      <w:pPr>
        <w:widowControl/>
        <w:spacing w:line="560" w:lineRule="exact"/>
        <w:rPr>
          <w:rFonts w:ascii="方正小标宋简体" w:hAnsi="Times New Roman" w:eastAsia="方正小标宋简体"/>
          <w:sz w:val="44"/>
          <w:szCs w:val="44"/>
        </w:rPr>
      </w:pPr>
      <w:r>
        <w:rPr>
          <w:rFonts w:hint="eastAsia" w:ascii="方正小标宋简体" w:hAnsi="Times New Roman" w:eastAsia="方正小标宋简体"/>
          <w:sz w:val="44"/>
          <w:szCs w:val="44"/>
        </w:rPr>
        <w:t xml:space="preserve">                 技术要求</w:t>
      </w:r>
    </w:p>
    <w:p w14:paraId="0B4D0322">
      <w:pPr>
        <w:spacing w:line="580" w:lineRule="exact"/>
        <w:ind w:firstLine="640" w:firstLineChars="200"/>
        <w:rPr>
          <w:rFonts w:ascii="黑体" w:hAnsi="黑体" w:eastAsia="黑体"/>
          <w:sz w:val="32"/>
          <w:szCs w:val="32"/>
        </w:rPr>
      </w:pPr>
      <w:r>
        <w:rPr>
          <w:rFonts w:hint="eastAsia" w:ascii="黑体" w:hAnsi="黑体" w:eastAsia="黑体"/>
          <w:sz w:val="32"/>
          <w:szCs w:val="32"/>
        </w:rPr>
        <w:t>一、建设要求</w:t>
      </w:r>
    </w:p>
    <w:p w14:paraId="247DF81C">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★1.建设要求</w:t>
      </w:r>
    </w:p>
    <w:p w14:paraId="0FA40BF6">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本次数据中心不间断电源（UPS）采购项目主要为：</w:t>
      </w:r>
    </w:p>
    <w:p w14:paraId="236BA247">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通过购置120KVA不间断电源（UPS）系统，替换老旧不间断电源（UPS），以确保数据中心电力系统稳定运行，同时为未来业务增长预留充足的扩展空间。</w:t>
      </w:r>
    </w:p>
    <w:p w14:paraId="733D4353">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蓄电池规格及数量：12V 100AH铅酸蓄电池160块，采用阀控式铅酸免维护蓄电池，容量为100AH。</w:t>
      </w:r>
    </w:p>
    <w:p w14:paraId="104CB693">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▲2.整体架构</w:t>
      </w:r>
    </w:p>
    <w:p w14:paraId="6A04DCC6">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按照目前项目的应用情况，采用模块化UPS电源供电架构，主机柜可N+X冗余配置，功率模块采用N+X冗余配置方案。</w:t>
      </w:r>
    </w:p>
    <w:p w14:paraId="57967AAF">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模块化设计：系统由监控模块，功率模块，配电单元等UPS模块组成，结构简洁，稳定可靠。模块标准化设计进一步提高模块的可靠性。</w:t>
      </w:r>
    </w:p>
    <w:p w14:paraId="42ED74D9">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N+X并联冗余：功率模块采用N+X并联冗余设计，当冗余模块达到1个以上时，UPS系统可用性达到99.999%。MTBF（平均无故障时间）高达100万小时以上。</w:t>
      </w:r>
    </w:p>
    <w:p w14:paraId="2AA88A8A">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热插拔技术：功率模块、监控模块和旁路模块都可以实现在线热插拔，不影响设备安全运行。在插拔前不需要在操作界面进行设置和操作，方便使用。</w:t>
      </w:r>
    </w:p>
    <w:p w14:paraId="1ED7A494">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微储功能：通设置充电时间段和放电时间段，实现错峰调峰时间，实现低碳运行。</w:t>
      </w:r>
    </w:p>
    <w:p w14:paraId="51D19071">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监控模块大触摸屏LCD显示：采用人机对话界面，LCD触摸彩屏，中英文双语可选择，同时具有触摸屏功能，可以不操作按键，直接轻触屏幕进行操作。</w:t>
      </w:r>
    </w:p>
    <w:p w14:paraId="6F9F0E3F">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功率模块LED显示：每个功率模块都可以独立显示自身工作状态，拔出监控模块时，不影响系统正常工作。</w:t>
      </w:r>
    </w:p>
    <w:p w14:paraId="43F286DD">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EPO功能：监控模块面有紧急关机（EPO）按键，紧急情况下按下EPO按键可以紧急关机，此按键为防误操作设计，并且有透明外盖遮盖，有效防止误操作，具有远程紧急关机（REPO）功能。</w:t>
      </w:r>
    </w:p>
    <w:p w14:paraId="4A2CAF6A">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无主从分散逻辑控制：</w:t>
      </w:r>
      <w:r>
        <w:rPr>
          <w:rFonts w:hint="eastAsia" w:ascii="仿宋_GB2312" w:hAnsi="仿宋"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729615</wp:posOffset>
                </wp:positionV>
                <wp:extent cx="635" cy="635"/>
                <wp:effectExtent l="0" t="0" r="0" b="0"/>
                <wp:wrapNone/>
                <wp:docPr id="1432992685"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15875">
                          <a:solidFill>
                            <a:srgbClr val="739CC3"/>
                          </a:solidFill>
                          <a:round/>
                        </a:ln>
                      </wps:spPr>
                      <wps:bodyPr/>
                    </wps:wsp>
                  </a:graphicData>
                </a:graphic>
              </wp:anchor>
            </w:drawing>
          </mc:Choice>
          <mc:Fallback>
            <w:pict>
              <v:shape id="直接箭头连接符 1" o:spid="_x0000_s1026" o:spt="32" type="#_x0000_t32" style="position:absolute;left:0pt;margin-left:22.8pt;margin-top:57.45pt;height:0.05pt;width:0.05pt;z-index:251659264;mso-width-relative:page;mso-height-relative:page;" filled="f" stroked="t" coordsize="21600,21600" o:gfxdata="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4qwQTWAAAACQEAAA8AAAAAAAAAAQAgAAAAIgAAAGRycy9kb3ducmV2&#10;LnhtbFBLAQIUABQAAAAIAIdO4kBdjxLL/gEAAMYDAAAOAAAAAAAAAAEAIAAAACUBAABkcnMvZTJv&#10;RG9jLnhtbFBLBQYAAAAABgAGAFkBAACVBQAAAAA=&#10;">
                <v:fill on="f" focussize="0,0"/>
                <v:stroke weight="1.25pt" color="#739CC3" joinstyle="round"/>
                <v:imagedata o:title=""/>
                <o:lock v:ext="edit" aspectratio="f"/>
              </v:shape>
            </w:pict>
          </mc:Fallback>
        </mc:AlternateContent>
      </w:r>
      <w:r>
        <w:rPr>
          <w:rFonts w:hint="eastAsia" w:ascii="仿宋_GB2312" w:hAnsi="仿宋" w:eastAsia="仿宋_GB2312"/>
          <w:color w:val="000000"/>
          <w:sz w:val="32"/>
          <w:szCs w:val="32"/>
        </w:rPr>
        <w:t>每个功率模块采用独立控制系统，功率模块失效后立即与UPS系统脱离，不影响UPS系统运行。</w:t>
      </w:r>
    </w:p>
    <w:p w14:paraId="2F525B43">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智能电池充电管理：电池放电后，系统采用三阶段充电方法，即第一阶段为大电流恒流充电，快速回充90%的电量，第二阶段恒压充电，活化电池特性并将电池完全充满，第三阶段转为浮充阶段，保持电池容量。</w:t>
      </w:r>
    </w:p>
    <w:p w14:paraId="0583E672">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自动充电电流分配：利用虚拟阻抗并联技术使各模块的充电电流自动均流。</w:t>
      </w:r>
    </w:p>
    <w:p w14:paraId="302C535F">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电池数量可调：每组蓄电池可在30-50颗范围内调整，确保了在现场任何环境下，UPS的正常运行，同时在蓄电池故障的情况下，可以确保系统的高可靠性。</w:t>
      </w:r>
    </w:p>
    <w:p w14:paraId="2F872094">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3.系统建设功能模块</w:t>
      </w:r>
    </w:p>
    <w:p w14:paraId="6DF9A907">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▲1.主机为三相模块化UPS电源产品，配置容量为120KVA，单柜最大可以扩容至150KVA。符合N+X冗余设计；</w:t>
      </w:r>
    </w:p>
    <w:p w14:paraId="1DD65487">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▲2.单模块功率不低于30KVA；</w:t>
      </w:r>
    </w:p>
    <w:p w14:paraId="42757092">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模块化UPS支持机架并联，并联机架数不少于4台，采用双线环形并机方式,以确保坏掉一根并机线,系统依然可以正常运行.且满足并机线可在整机正常运行时,随意热拔插其中一根.如两根全部断掉,机器必须切换至旁路输出,而不可关掉输出,导致负载断电.以避免并机线的单点故障；</w:t>
      </w:r>
    </w:p>
    <w:p w14:paraId="2E6C6D5A">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▲4.并机系统既支持共用电池,也可支持独立电池组,灵活配置或降低成本；</w:t>
      </w:r>
    </w:p>
    <w:p w14:paraId="10ABE725">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▲5.整机采用全模块化冗余设计，主机监控模块、功率模块和旁路模块均满足在线热拔插功能，主机支持无旁路模块工作模式，整机无单点故障；</w:t>
      </w:r>
    </w:p>
    <w:p w14:paraId="2DCF3AED">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▲6.功率模块采用双DSP全数字化控制技术,以确保产品性能的稳定性；</w:t>
      </w:r>
    </w:p>
    <w:p w14:paraId="021470B1">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▲7.功率模块可以设置逐个启动功能；</w:t>
      </w:r>
    </w:p>
    <w:p w14:paraId="6533DA90">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8.功率模块采用人性化的编号方法和编号装置，可智能识别，无需通过拨码或软件设置；</w:t>
      </w:r>
    </w:p>
    <w:p w14:paraId="1154C339">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▲9.控制系统并联冗余，控制方式为分散控制、集中管理；集中控制单元为冗余并联，其中一个失效不影响整机运行；</w:t>
      </w:r>
    </w:p>
    <w:p w14:paraId="7BD22451">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10.集中监控模块具备热插拔功能，当拔出其中任意一个监控模块时系统可以正常工作；</w:t>
      </w:r>
    </w:p>
    <w:p w14:paraId="47C8239F">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▲11.每个功率模块都应是完整的整流，充电，逆变电路及逻辑控制部分组成.不接受独立充电模块,避免无充电冗余及出现充电器单点故障,而不能保证对电池组的可靠充电；</w:t>
      </w:r>
    </w:p>
    <w:p w14:paraId="640B6FB0">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12.模块化UPS采用集中旁路，且旁路模块可以在线插拨而不影响对负载的供电,支持无旁路运行，不接受分散旁路结构,避免出现功率模块出故障退出系统后,整机旁路功率容量也在相应减小，同时避免分散旁路不均流问题；</w:t>
      </w:r>
    </w:p>
    <w:p w14:paraId="25C8A67B">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▲13.集中旁路模块要求采用大功率SCR，杜绝采用小功率SCR+接触器方案,确保产品切换的稳定性.同时具备旁路电流防反灌保护功能；</w:t>
      </w:r>
    </w:p>
    <w:p w14:paraId="1DA7739C">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14.主机采用先进的两段式三阶段充电方法，能够很好的兼顾快速充电与延长电池使用寿命的目标，充电电流可设定，通过面板LCD设置用户配置的电池容量、充电电流；</w:t>
      </w:r>
    </w:p>
    <w:p w14:paraId="3C0AE09E">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15.UPS功率模块和旁路模块内扇热风扇,具有智能风扇调速和容错功能，一路风扇损坏可带50%负载，两路风扇损坏可带30%负载；</w:t>
      </w:r>
    </w:p>
    <w:p w14:paraId="0857E90A">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16.人性化的人机对话界面,监控显示采用不小于10寸的LCD触摸彩屏，支持中英文显示，智能显示主机各工作状态的参数指标，单模块LED显示，用户可以通过模块LED灯了解模块的工作状态；</w:t>
      </w:r>
    </w:p>
    <w:p w14:paraId="2F93DDBB">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17.主机采用RGB状态指示灯，根据主机不同的工作状态，直观呈现不同颜色的灯光；</w:t>
      </w:r>
    </w:p>
    <w:p w14:paraId="56AE1225">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18.主机具有自老化功能，可进行系统满载测试；</w:t>
      </w:r>
    </w:p>
    <w:p w14:paraId="6EFAECA8">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19.功率模块具有智能休眠功能, 动态轮休，以节省能耗真正实现绿色节能，同时提高系统综合使用寿命；</w:t>
      </w:r>
    </w:p>
    <w:p w14:paraId="2B55D35B">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▲20.主机具有微储功能，可通过显示屏设置充电时间段和放电时间段，UPS与蓄电池形成一个小储能电站。UPS可设置错峰调峰时间，实现低碳运行；</w:t>
      </w:r>
    </w:p>
    <w:p w14:paraId="169A1A4F">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21.主机与电池组的BMS交互通信，智能显示和监控蓄电池参数指标，提高蓄电池使用可靠性；</w:t>
      </w:r>
    </w:p>
    <w:p w14:paraId="30F010C8">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22.输出同步：为提升所投产品可靠性，输出母线同步功能应原厂预装标配，无需额外增加电路改造，只需要选配通信线缆即可实现；不接受使用高成本的外置LBS总线同步控制器来实现，减少新旧设备兼容问题，降低系统安全隐患；</w:t>
      </w:r>
    </w:p>
    <w:p w14:paraId="04C09875">
      <w:pPr>
        <w:spacing w:line="579" w:lineRule="exact"/>
        <w:ind w:firstLine="640" w:firstLineChars="200"/>
        <w:rPr>
          <w:rFonts w:ascii="黑体" w:hAnsi="黑体" w:cs="黑体"/>
          <w:sz w:val="32"/>
          <w:szCs w:val="32"/>
        </w:rPr>
      </w:pPr>
      <w:r>
        <w:rPr>
          <w:rFonts w:hint="eastAsia" w:ascii="仿宋_GB2312" w:hAnsi="仿宋" w:eastAsia="仿宋_GB2312"/>
          <w:color w:val="000000"/>
          <w:sz w:val="32"/>
          <w:szCs w:val="32"/>
        </w:rPr>
        <w:t>23.具备EPO功能，具有远程紧急关机（REPO）功能。</w:t>
      </w:r>
    </w:p>
    <w:p w14:paraId="6BA58523">
      <w:pPr>
        <w:pStyle w:val="3"/>
        <w:keepNext w:val="0"/>
        <w:keepLines w:val="0"/>
        <w:adjustRightInd w:val="0"/>
        <w:spacing w:before="0" w:after="0" w:line="530" w:lineRule="exact"/>
        <w:ind w:firstLine="640" w:firstLineChars="200"/>
        <w:rPr>
          <w:rFonts w:ascii="黑体" w:hAnsi="黑体" w:cs="黑体"/>
          <w:b w:val="0"/>
          <w:bCs w:val="0"/>
          <w:sz w:val="32"/>
          <w:szCs w:val="32"/>
        </w:rPr>
      </w:pPr>
      <w:r>
        <w:rPr>
          <w:rFonts w:hint="eastAsia" w:ascii="黑体" w:hAnsi="黑体" w:cs="黑体"/>
          <w:b w:val="0"/>
          <w:bCs w:val="0"/>
          <w:sz w:val="32"/>
          <w:szCs w:val="32"/>
        </w:rPr>
        <w:t>二、</w:t>
      </w:r>
      <w:bookmarkStart w:id="0" w:name="_Hlk129332993"/>
      <w:r>
        <w:rPr>
          <w:rFonts w:hint="eastAsia" w:ascii="黑体" w:hAnsi="黑体" w:cs="黑体"/>
          <w:b w:val="0"/>
          <w:bCs w:val="0"/>
          <w:sz w:val="32"/>
          <w:szCs w:val="32"/>
        </w:rPr>
        <w:t>履约验收</w:t>
      </w:r>
      <w:bookmarkEnd w:id="0"/>
    </w:p>
    <w:p w14:paraId="18C2CC95">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（一）</w:t>
      </w:r>
      <w:bookmarkStart w:id="1" w:name="_Hlk129302104"/>
      <w:bookmarkStart w:id="2" w:name="_Hlk129333184"/>
      <w:r>
        <w:rPr>
          <w:rFonts w:hint="eastAsia" w:ascii="仿宋_GB2312" w:eastAsia="仿宋_GB2312"/>
          <w:sz w:val="32"/>
          <w:szCs w:val="32"/>
        </w:rPr>
        <w:t>到货</w:t>
      </w:r>
      <w:bookmarkEnd w:id="1"/>
      <w:r>
        <w:rPr>
          <w:rFonts w:hint="eastAsia" w:ascii="仿宋_GB2312" w:eastAsia="仿宋_GB2312"/>
          <w:sz w:val="32"/>
          <w:szCs w:val="32"/>
        </w:rPr>
        <w:t>检验</w:t>
      </w:r>
      <w:bookmarkEnd w:id="2"/>
    </w:p>
    <w:p w14:paraId="042F2E2C">
      <w:pPr>
        <w:adjustRightInd w:val="0"/>
        <w:spacing w:line="530" w:lineRule="exact"/>
        <w:ind w:firstLine="640" w:firstLineChars="200"/>
        <w:rPr>
          <w:rFonts w:ascii="仿宋_GB2312" w:eastAsia="仿宋_GB2312"/>
          <w:sz w:val="32"/>
          <w:szCs w:val="32"/>
        </w:rPr>
      </w:pPr>
      <w:bookmarkStart w:id="3" w:name="_Hlk129301698"/>
      <w:r>
        <w:rPr>
          <w:rFonts w:hint="eastAsia" w:ascii="仿宋_GB2312" w:eastAsia="仿宋_GB2312"/>
          <w:sz w:val="32"/>
          <w:szCs w:val="32"/>
        </w:rPr>
        <w:t>1</w:t>
      </w:r>
      <w:bookmarkStart w:id="4" w:name="_Hlk129302273"/>
      <w:r>
        <w:rPr>
          <w:rFonts w:hint="eastAsia" w:ascii="仿宋_GB2312" w:eastAsia="仿宋_GB2312"/>
          <w:sz w:val="32"/>
          <w:szCs w:val="32"/>
        </w:rPr>
        <w:t>.物资</w:t>
      </w:r>
      <w:bookmarkEnd w:id="4"/>
      <w:r>
        <w:rPr>
          <w:rFonts w:hint="eastAsia" w:ascii="仿宋_GB2312" w:eastAsia="仿宋_GB2312"/>
          <w:sz w:val="32"/>
          <w:szCs w:val="32"/>
        </w:rPr>
        <w:t>交货后，甲方应当在现场检验，包括但不限于外包装、合同号、箱件数、收货单位名称、品名、货号、批次及相关资料等；检验物资品名、型号规格、数量、外观、产品合格证、质量保证书、技术资料、出厂日期、出厂编号、</w:t>
      </w:r>
      <w:bookmarkStart w:id="5" w:name="_Hlk129326561"/>
      <w:r>
        <w:rPr>
          <w:rFonts w:hint="eastAsia" w:ascii="仿宋_GB2312" w:eastAsia="仿宋_GB2312"/>
          <w:sz w:val="32"/>
          <w:szCs w:val="32"/>
        </w:rPr>
        <w:t>物资编目编码、打码贴签</w:t>
      </w:r>
      <w:bookmarkEnd w:id="5"/>
      <w:r>
        <w:rPr>
          <w:rFonts w:hint="eastAsia" w:ascii="仿宋_GB2312" w:eastAsia="仿宋_GB2312"/>
          <w:sz w:val="32"/>
          <w:szCs w:val="32"/>
        </w:rPr>
        <w:t>等。涉及进口产品的，乙方应当出示中华人民共和国海关出具的检验证书等相关证明材料。</w:t>
      </w:r>
    </w:p>
    <w:p w14:paraId="210B10BF">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2.到货检验由双方共同进行，乙方应当自费派遣代表到场参加到货检验，甲方应予</w:t>
      </w:r>
      <w:r>
        <w:rPr>
          <w:rFonts w:hint="eastAsia" w:ascii="仿宋_GB2312" w:eastAsia="仿宋_GB2312"/>
          <w:bCs/>
          <w:sz w:val="32"/>
          <w:szCs w:val="32"/>
        </w:rPr>
        <w:t>提供必要的临时办公场所和出入许可等。</w:t>
      </w:r>
    </w:p>
    <w:p w14:paraId="408E4328">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3.在</w:t>
      </w:r>
      <w:bookmarkStart w:id="6" w:name="_Hlk129302538"/>
      <w:r>
        <w:rPr>
          <w:rFonts w:hint="eastAsia" w:ascii="仿宋_GB2312" w:eastAsia="仿宋_GB2312"/>
          <w:sz w:val="32"/>
          <w:szCs w:val="32"/>
        </w:rPr>
        <w:t>到货</w:t>
      </w:r>
      <w:bookmarkEnd w:id="6"/>
      <w:r>
        <w:rPr>
          <w:rFonts w:hint="eastAsia" w:ascii="仿宋_GB2312" w:eastAsia="仿宋_GB2312"/>
          <w:sz w:val="32"/>
          <w:szCs w:val="32"/>
        </w:rPr>
        <w:t>检验中发现</w:t>
      </w:r>
      <w:bookmarkStart w:id="7" w:name="_Hlk129302417"/>
      <w:r>
        <w:rPr>
          <w:rFonts w:hint="eastAsia" w:ascii="仿宋_GB2312" w:eastAsia="仿宋_GB2312"/>
          <w:sz w:val="32"/>
          <w:szCs w:val="32"/>
        </w:rPr>
        <w:t>物资</w:t>
      </w:r>
      <w:bookmarkEnd w:id="7"/>
      <w:r>
        <w:rPr>
          <w:rFonts w:hint="eastAsia" w:ascii="仿宋_GB2312" w:eastAsia="仿宋_GB2312"/>
          <w:sz w:val="32"/>
          <w:szCs w:val="32"/>
        </w:rPr>
        <w:t>短缺、损坏或其它与合同约定不符的情形，由乙方负责，乙方应当补齐、更换及采取其他补救措施。</w:t>
      </w:r>
    </w:p>
    <w:p w14:paraId="2CB33238">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4.在到货检验中，双方应当共同签署检验报告，列明检验结果，包括检验合格或发现的任何短缺、损坏或其它与合同约定不符的情形。</w:t>
      </w:r>
    </w:p>
    <w:p w14:paraId="719A5C44">
      <w:pPr>
        <w:pStyle w:val="2"/>
        <w:adjustRightInd w:val="0"/>
        <w:spacing w:after="0" w:line="530" w:lineRule="exact"/>
        <w:ind w:firstLine="640" w:firstLineChars="200"/>
        <w:rPr>
          <w:rFonts w:ascii="仿宋_GB2312" w:eastAsia="仿宋_GB2312"/>
          <w:sz w:val="32"/>
          <w:szCs w:val="32"/>
        </w:rPr>
      </w:pPr>
      <w:r>
        <w:rPr>
          <w:rFonts w:hint="eastAsia" w:ascii="仿宋_GB2312" w:eastAsia="仿宋_GB2312"/>
          <w:sz w:val="32"/>
          <w:szCs w:val="32"/>
        </w:rPr>
        <w:t>5.到货检验的检验结果不能对抗在</w:t>
      </w:r>
      <w:bookmarkStart w:id="8" w:name="_Hlk129303145"/>
      <w:r>
        <w:rPr>
          <w:rFonts w:hint="eastAsia" w:ascii="仿宋_GB2312" w:eastAsia="仿宋_GB2312"/>
          <w:sz w:val="32"/>
          <w:szCs w:val="32"/>
        </w:rPr>
        <w:t>物资</w:t>
      </w:r>
      <w:bookmarkEnd w:id="8"/>
      <w:r>
        <w:rPr>
          <w:rFonts w:hint="eastAsia" w:ascii="仿宋_GB2312" w:eastAsia="仿宋_GB2312"/>
          <w:sz w:val="32"/>
          <w:szCs w:val="32"/>
        </w:rPr>
        <w:t>的安装、调试、检测、验收中及质量保证期内发现的物资质量问题，亦不能免除或影响乙方依照合同约定对甲方负有的包括物资质量在内的任何义务或责任。</w:t>
      </w:r>
      <w:bookmarkEnd w:id="3"/>
    </w:p>
    <w:p w14:paraId="49D2994F">
      <w:pPr>
        <w:pStyle w:val="2"/>
        <w:adjustRightInd w:val="0"/>
        <w:spacing w:after="0" w:line="530" w:lineRule="exact"/>
        <w:ind w:firstLine="640" w:firstLineChars="200"/>
        <w:rPr>
          <w:rFonts w:ascii="仿宋_GB2312" w:hAnsi="楷体_GB2312" w:eastAsia="仿宋_GB2312" w:cs="楷体_GB2312"/>
          <w:sz w:val="32"/>
          <w:szCs w:val="32"/>
        </w:rPr>
      </w:pPr>
      <w:r>
        <w:rPr>
          <w:rFonts w:hint="eastAsia" w:ascii="仿宋_GB2312" w:eastAsia="仿宋_GB2312"/>
          <w:sz w:val="32"/>
          <w:szCs w:val="32"/>
        </w:rPr>
        <w:t>6.到货检验的时间为：</w:t>
      </w:r>
      <w:r>
        <w:rPr>
          <w:rFonts w:hint="eastAsia" w:ascii="仿宋_GB2312" w:eastAsia="仿宋_GB2312"/>
          <w:sz w:val="32"/>
          <w:szCs w:val="32"/>
          <w:u w:val="single"/>
        </w:rPr>
        <w:t xml:space="preserve">交货后5个自然日内 </w:t>
      </w:r>
      <w:r>
        <w:rPr>
          <w:rFonts w:hint="eastAsia" w:ascii="仿宋_GB2312" w:eastAsia="仿宋_GB2312"/>
          <w:sz w:val="32"/>
          <w:szCs w:val="32"/>
        </w:rPr>
        <w:t>。</w:t>
      </w:r>
    </w:p>
    <w:p w14:paraId="35F00C26">
      <w:pPr>
        <w:adjustRightInd w:val="0"/>
        <w:spacing w:line="530" w:lineRule="exact"/>
        <w:ind w:firstLine="640" w:firstLineChars="200"/>
        <w:rPr>
          <w:rFonts w:ascii="仿宋_GB2312" w:eastAsia="仿宋_GB2312"/>
          <w:sz w:val="32"/>
          <w:szCs w:val="32"/>
        </w:rPr>
      </w:pPr>
      <w:bookmarkStart w:id="9" w:name="_Hlk129303860"/>
      <w:bookmarkStart w:id="10" w:name="_Hlk129333264"/>
      <w:r>
        <w:rPr>
          <w:rFonts w:hint="eastAsia" w:ascii="仿宋_GB2312" w:eastAsia="仿宋_GB2312"/>
          <w:sz w:val="32"/>
          <w:szCs w:val="32"/>
        </w:rPr>
        <w:t>（二）</w:t>
      </w:r>
      <w:bookmarkEnd w:id="9"/>
      <w:r>
        <w:rPr>
          <w:rFonts w:hint="eastAsia" w:ascii="仿宋_GB2312" w:eastAsia="仿宋_GB2312"/>
          <w:sz w:val="32"/>
          <w:szCs w:val="32"/>
        </w:rPr>
        <w:t>安装、调试</w:t>
      </w:r>
    </w:p>
    <w:bookmarkEnd w:id="10"/>
    <w:p w14:paraId="550EEC4A">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1.到货检验完成后，乙方应当按合同约定对</w:t>
      </w:r>
      <w:bookmarkStart w:id="11" w:name="_Hlk129303208"/>
      <w:r>
        <w:rPr>
          <w:rFonts w:hint="eastAsia" w:ascii="仿宋_GB2312" w:eastAsia="仿宋_GB2312"/>
          <w:sz w:val="32"/>
          <w:szCs w:val="32"/>
        </w:rPr>
        <w:t>物资</w:t>
      </w:r>
      <w:bookmarkEnd w:id="11"/>
      <w:r>
        <w:rPr>
          <w:rFonts w:hint="eastAsia" w:ascii="仿宋_GB2312" w:eastAsia="仿宋_GB2312"/>
          <w:sz w:val="32"/>
          <w:szCs w:val="32"/>
        </w:rPr>
        <w:t>进行安装、调试。</w:t>
      </w:r>
      <w:bookmarkStart w:id="12" w:name="_Hlk129304289"/>
    </w:p>
    <w:bookmarkEnd w:id="12"/>
    <w:p w14:paraId="388BAE99">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2.在安装、调试过程中，如出现安装、调试不成功或造成物资损坏的情况，乙方应当承担责任。</w:t>
      </w:r>
    </w:p>
    <w:p w14:paraId="61B5E3A5">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3.双方应当对物资的安装、调试情况共同进行记录。</w:t>
      </w:r>
    </w:p>
    <w:p w14:paraId="463FBE52">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4.物资到货后，乙方应当在接到甲方通知后</w:t>
      </w:r>
      <w:r>
        <w:rPr>
          <w:rFonts w:hint="eastAsia" w:ascii="仿宋_GB2312" w:eastAsia="仿宋_GB2312"/>
          <w:sz w:val="32"/>
          <w:szCs w:val="32"/>
          <w:u w:val="single"/>
        </w:rPr>
        <w:t xml:space="preserve">  60  </w:t>
      </w:r>
      <w:r>
        <w:rPr>
          <w:rFonts w:hint="eastAsia" w:ascii="仿宋_GB2312" w:eastAsia="仿宋_GB2312"/>
          <w:sz w:val="32"/>
          <w:szCs w:val="32"/>
        </w:rPr>
        <w:t>日内完成安装调试。</w:t>
      </w:r>
    </w:p>
    <w:p w14:paraId="20FB56DD">
      <w:pPr>
        <w:pStyle w:val="2"/>
      </w:pPr>
    </w:p>
    <w:p w14:paraId="667B5412">
      <w:pPr>
        <w:pStyle w:val="2"/>
      </w:pPr>
    </w:p>
    <w:p w14:paraId="6F39C135">
      <w:pPr>
        <w:pStyle w:val="2"/>
      </w:pPr>
    </w:p>
    <w:p w14:paraId="03F0D4B5">
      <w:pPr>
        <w:pStyle w:val="2"/>
      </w:pPr>
    </w:p>
    <w:p w14:paraId="7106F4C9">
      <w:pPr>
        <w:pStyle w:val="2"/>
      </w:pPr>
    </w:p>
    <w:p w14:paraId="4C101D98">
      <w:pPr>
        <w:pStyle w:val="2"/>
      </w:pPr>
    </w:p>
    <w:p w14:paraId="04B0D3B3">
      <w:pPr>
        <w:pStyle w:val="2"/>
      </w:pPr>
    </w:p>
    <w:p w14:paraId="7D52E729">
      <w:pPr>
        <w:pStyle w:val="2"/>
      </w:pPr>
    </w:p>
    <w:p w14:paraId="3E056B4F">
      <w:pPr>
        <w:pStyle w:val="2"/>
      </w:pPr>
    </w:p>
    <w:p w14:paraId="211B199B">
      <w:pPr>
        <w:pStyle w:val="2"/>
      </w:pPr>
    </w:p>
    <w:p w14:paraId="74639C34">
      <w:pPr>
        <w:pStyle w:val="2"/>
      </w:pPr>
    </w:p>
    <w:p w14:paraId="57E2684F">
      <w:pPr>
        <w:pStyle w:val="2"/>
      </w:pPr>
    </w:p>
    <w:p w14:paraId="5FD5D47F">
      <w:pPr>
        <w:pStyle w:val="2"/>
      </w:pPr>
    </w:p>
    <w:p w14:paraId="7D62EDA6">
      <w:pPr>
        <w:pStyle w:val="2"/>
      </w:pPr>
    </w:p>
    <w:p w14:paraId="167529C8">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3</w:t>
      </w:r>
    </w:p>
    <w:p w14:paraId="27D096E7">
      <w:pPr>
        <w:widowControl/>
        <w:spacing w:line="560" w:lineRule="exact"/>
        <w:rPr>
          <w:rFonts w:ascii="方正小标宋简体" w:hAnsi="Times New Roman" w:eastAsia="方正小标宋简体"/>
          <w:sz w:val="44"/>
          <w:szCs w:val="44"/>
        </w:rPr>
      </w:pPr>
      <w:r>
        <w:rPr>
          <w:rFonts w:hint="eastAsia" w:ascii="方正小标宋简体" w:hAnsi="Times New Roman" w:eastAsia="方正小标宋简体"/>
          <w:sz w:val="44"/>
          <w:szCs w:val="44"/>
        </w:rPr>
        <w:t xml:space="preserve">                 技术参数</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939"/>
        <w:gridCol w:w="5722"/>
        <w:gridCol w:w="604"/>
        <w:gridCol w:w="679"/>
      </w:tblGrid>
      <w:tr w14:paraId="0904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7" w:type="pct"/>
            <w:shd w:val="clear" w:color="auto" w:fill="auto"/>
            <w:noWrap/>
            <w:vAlign w:val="center"/>
          </w:tcPr>
          <w:p w14:paraId="0839ED12">
            <w:pPr>
              <w:spacing w:after="160" w:line="360" w:lineRule="auto"/>
              <w:jc w:val="center"/>
              <w:rPr>
                <w:rFonts w:ascii="仿宋_GB2312" w:hAnsi="宋体" w:eastAsia="仿宋_GB2312" w:cs="宋体"/>
                <w:b/>
                <w:bCs/>
                <w:color w:val="000000"/>
                <w:kern w:val="0"/>
                <w:sz w:val="18"/>
                <w:szCs w:val="18"/>
              </w:rPr>
            </w:pPr>
            <w:bookmarkStart w:id="13" w:name="_Toc168476478"/>
            <w:r>
              <w:rPr>
                <w:rFonts w:hint="eastAsia" w:ascii="仿宋_GB2312" w:hAnsi="宋体" w:eastAsia="仿宋_GB2312" w:cs="宋体"/>
                <w:b/>
                <w:bCs/>
                <w:color w:val="000000"/>
                <w:kern w:val="0"/>
                <w:sz w:val="18"/>
                <w:szCs w:val="18"/>
              </w:rPr>
              <w:t>序号</w:t>
            </w:r>
          </w:p>
        </w:tc>
        <w:tc>
          <w:tcPr>
            <w:tcW w:w="531" w:type="pct"/>
            <w:shd w:val="clear" w:color="auto" w:fill="auto"/>
            <w:noWrap/>
            <w:vAlign w:val="center"/>
          </w:tcPr>
          <w:p w14:paraId="31487427">
            <w:pPr>
              <w:widowControl/>
              <w:spacing w:line="360" w:lineRule="auto"/>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设备名称</w:t>
            </w:r>
          </w:p>
        </w:tc>
        <w:tc>
          <w:tcPr>
            <w:tcW w:w="3368" w:type="pct"/>
            <w:shd w:val="clear" w:color="auto" w:fill="auto"/>
            <w:noWrap/>
            <w:vAlign w:val="center"/>
          </w:tcPr>
          <w:p w14:paraId="439CC0E1">
            <w:pPr>
              <w:widowControl/>
              <w:spacing w:line="360" w:lineRule="auto"/>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参数</w:t>
            </w:r>
          </w:p>
        </w:tc>
        <w:tc>
          <w:tcPr>
            <w:tcW w:w="365" w:type="pct"/>
            <w:shd w:val="clear" w:color="auto" w:fill="auto"/>
            <w:noWrap/>
            <w:vAlign w:val="center"/>
          </w:tcPr>
          <w:p w14:paraId="6FA040DE">
            <w:pPr>
              <w:widowControl/>
              <w:spacing w:line="360" w:lineRule="auto"/>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数量</w:t>
            </w:r>
          </w:p>
        </w:tc>
        <w:tc>
          <w:tcPr>
            <w:tcW w:w="409" w:type="pct"/>
            <w:shd w:val="clear" w:color="auto" w:fill="auto"/>
            <w:noWrap/>
            <w:vAlign w:val="center"/>
          </w:tcPr>
          <w:p w14:paraId="71E56946">
            <w:pPr>
              <w:widowControl/>
              <w:spacing w:line="360" w:lineRule="auto"/>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单位</w:t>
            </w:r>
          </w:p>
        </w:tc>
      </w:tr>
      <w:tr w14:paraId="39B5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7" w:type="pct"/>
            <w:vMerge w:val="restart"/>
            <w:shd w:val="clear" w:color="auto" w:fill="auto"/>
            <w:noWrap/>
            <w:vAlign w:val="center"/>
          </w:tcPr>
          <w:p w14:paraId="118F7639">
            <w:pPr>
              <w:spacing w:after="160" w:line="360" w:lineRule="auto"/>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531" w:type="pct"/>
            <w:vMerge w:val="restart"/>
            <w:shd w:val="clear" w:color="auto" w:fill="auto"/>
            <w:noWrap/>
            <w:vAlign w:val="center"/>
          </w:tcPr>
          <w:p w14:paraId="47B72300">
            <w:pPr>
              <w:spacing w:after="160" w:line="360" w:lineRule="auto"/>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UPS</w:t>
            </w:r>
          </w:p>
        </w:tc>
        <w:tc>
          <w:tcPr>
            <w:tcW w:w="3368" w:type="pct"/>
            <w:shd w:val="clear" w:color="auto" w:fill="auto"/>
            <w:vAlign w:val="center"/>
          </w:tcPr>
          <w:p w14:paraId="57C69CFA">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b/>
                <w:bCs/>
                <w:kern w:val="0"/>
                <w:sz w:val="18"/>
                <w:szCs w:val="18"/>
              </w:rPr>
              <w:t>★1.品牌：</w:t>
            </w:r>
            <w:r>
              <w:rPr>
                <w:rFonts w:hint="eastAsia" w:ascii="仿宋_GB2312" w:hAnsi="宋体" w:eastAsia="仿宋_GB2312" w:cs="宋体"/>
                <w:kern w:val="0"/>
                <w:sz w:val="18"/>
                <w:szCs w:val="18"/>
              </w:rPr>
              <w:t>不间断电源（UPS）与电池为国产品牌</w:t>
            </w:r>
          </w:p>
        </w:tc>
        <w:tc>
          <w:tcPr>
            <w:tcW w:w="365" w:type="pct"/>
            <w:vMerge w:val="restart"/>
            <w:shd w:val="clear" w:color="auto" w:fill="auto"/>
            <w:noWrap/>
            <w:vAlign w:val="center"/>
          </w:tcPr>
          <w:p w14:paraId="798104D3">
            <w:pPr>
              <w:widowControl/>
              <w:spacing w:line="360" w:lineRule="auto"/>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409" w:type="pct"/>
            <w:vMerge w:val="restart"/>
            <w:shd w:val="clear" w:color="auto" w:fill="auto"/>
            <w:noWrap/>
            <w:vAlign w:val="center"/>
          </w:tcPr>
          <w:p w14:paraId="65A302F8">
            <w:pPr>
              <w:widowControl/>
              <w:spacing w:line="360" w:lineRule="auto"/>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套</w:t>
            </w:r>
          </w:p>
        </w:tc>
      </w:tr>
      <w:tr w14:paraId="55BB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0DE238E0">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3AACB0C8">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0E06C678">
            <w:pPr>
              <w:widowControl/>
              <w:spacing w:line="360" w:lineRule="auto"/>
              <w:jc w:val="lef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▲2.系统柜要求：</w:t>
            </w:r>
            <w:r>
              <w:rPr>
                <w:rFonts w:hint="eastAsia" w:ascii="仿宋_GB2312" w:hAnsi="宋体" w:eastAsia="仿宋_GB2312" w:cs="宋体"/>
                <w:kern w:val="0"/>
                <w:sz w:val="18"/>
                <w:szCs w:val="18"/>
              </w:rPr>
              <w:t>主机为三相模块化UPS电源产品，配置容量为120KVA，最大可扩容至150KVA。符合N+X冗余设计（提供投标型号最大可扩展容量厂商官网截图及链接）。</w:t>
            </w:r>
          </w:p>
        </w:tc>
        <w:tc>
          <w:tcPr>
            <w:tcW w:w="365" w:type="pct"/>
            <w:vMerge w:val="continue"/>
            <w:vAlign w:val="center"/>
          </w:tcPr>
          <w:p w14:paraId="34F8ACF5">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430FF1CB">
            <w:pPr>
              <w:widowControl/>
              <w:spacing w:line="360" w:lineRule="auto"/>
              <w:ind w:firstLine="482"/>
              <w:jc w:val="left"/>
              <w:rPr>
                <w:rFonts w:ascii="仿宋_GB2312" w:hAnsi="宋体" w:eastAsia="仿宋_GB2312" w:cs="宋体"/>
                <w:b/>
                <w:bCs/>
                <w:color w:val="000000"/>
                <w:kern w:val="0"/>
                <w:sz w:val="18"/>
                <w:szCs w:val="18"/>
              </w:rPr>
            </w:pPr>
          </w:p>
        </w:tc>
      </w:tr>
      <w:tr w14:paraId="791D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22C6C7F1">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3EF1229F">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43C9FED6">
            <w:pPr>
              <w:widowControl/>
              <w:spacing w:line="360" w:lineRule="auto"/>
              <w:jc w:val="left"/>
              <w:rPr>
                <w:rFonts w:ascii="仿宋_GB2312" w:hAnsi="宋体" w:eastAsia="仿宋_GB2312"/>
                <w:sz w:val="18"/>
                <w:szCs w:val="18"/>
              </w:rPr>
            </w:pPr>
            <w:r>
              <w:rPr>
                <w:rFonts w:hint="eastAsia" w:ascii="仿宋_GB2312" w:hAnsi="宋体" w:eastAsia="仿宋_GB2312" w:cs="宋体"/>
                <w:b/>
                <w:bCs/>
                <w:kern w:val="0"/>
                <w:sz w:val="18"/>
                <w:szCs w:val="18"/>
              </w:rPr>
              <w:t>▲3.模块要求：</w:t>
            </w:r>
            <w:r>
              <w:rPr>
                <w:rFonts w:hint="eastAsia" w:ascii="仿宋_GB2312" w:hAnsi="宋体" w:eastAsia="仿宋_GB2312" w:cs="宋体"/>
                <w:kern w:val="0"/>
                <w:sz w:val="18"/>
                <w:szCs w:val="18"/>
              </w:rPr>
              <w:t>单模块功率为30KVA；</w:t>
            </w:r>
            <w:r>
              <w:rPr>
                <w:rFonts w:hint="eastAsia" w:ascii="仿宋_GB2312" w:hAnsi="宋体" w:eastAsia="仿宋_GB2312"/>
                <w:sz w:val="18"/>
                <w:szCs w:val="18"/>
              </w:rPr>
              <w:t>功率模块采用双DSP全数字化控制技术,以确保产品性能的稳定性；功率模块可以设置逐个启动功能；功率模块采用人性化的编号方法和编号装置，可智能识别，无需通过拨码或软件设置；每个功率模块都应是完整的整流，充电，逆变电路及逻辑控制部分组成.不接受独立充电模块,避免无充电冗余及出现充电器单点故障,而不能保证对电池组的可靠充电（提供单模块参数官网截图及链接）。</w:t>
            </w:r>
          </w:p>
        </w:tc>
        <w:tc>
          <w:tcPr>
            <w:tcW w:w="365" w:type="pct"/>
            <w:vMerge w:val="continue"/>
            <w:vAlign w:val="center"/>
          </w:tcPr>
          <w:p w14:paraId="37421FC0">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7EC8D194">
            <w:pPr>
              <w:widowControl/>
              <w:spacing w:line="360" w:lineRule="auto"/>
              <w:ind w:firstLine="482"/>
              <w:jc w:val="left"/>
              <w:rPr>
                <w:rFonts w:ascii="仿宋_GB2312" w:hAnsi="宋体" w:eastAsia="仿宋_GB2312" w:cs="宋体"/>
                <w:b/>
                <w:bCs/>
                <w:color w:val="000000"/>
                <w:kern w:val="0"/>
                <w:sz w:val="18"/>
                <w:szCs w:val="18"/>
              </w:rPr>
            </w:pPr>
          </w:p>
        </w:tc>
      </w:tr>
      <w:tr w14:paraId="78F8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6A110B53">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2AEC6278">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498A5DF9">
            <w:pPr>
              <w:widowControl/>
              <w:spacing w:line="360" w:lineRule="auto"/>
              <w:jc w:val="left"/>
              <w:rPr>
                <w:rFonts w:ascii="仿宋_GB2312" w:hAnsi="宋体" w:eastAsia="仿宋_GB2312"/>
                <w:sz w:val="18"/>
                <w:szCs w:val="18"/>
              </w:rPr>
            </w:pPr>
            <w:r>
              <w:rPr>
                <w:rFonts w:hint="eastAsia" w:ascii="仿宋_GB2312" w:hAnsi="宋体" w:eastAsia="仿宋_GB2312" w:cs="宋体"/>
                <w:b/>
                <w:bCs/>
                <w:kern w:val="0"/>
                <w:sz w:val="18"/>
                <w:szCs w:val="18"/>
              </w:rPr>
              <w:t>▲4.并联要求：</w:t>
            </w:r>
            <w:r>
              <w:rPr>
                <w:rFonts w:hint="eastAsia" w:ascii="仿宋_GB2312" w:hAnsi="宋体" w:eastAsia="仿宋_GB2312" w:cs="宋体"/>
                <w:kern w:val="0"/>
                <w:sz w:val="18"/>
                <w:szCs w:val="18"/>
              </w:rPr>
              <w:t>模块化UPS支持机架并联，并联机架数不少于4台，采用双线环形并机方式,以确保坏掉一根并机线,系统依然可以正常运行.且满足并机线可在整机正常运行时,随意热拔插其中一根.如两根全部断掉,机器必须切换至旁路输出,而不可关掉输出,导致负载断电.以避免并机线的单点故障。</w:t>
            </w:r>
            <w:r>
              <w:rPr>
                <w:rFonts w:hint="eastAsia" w:ascii="仿宋_GB2312" w:hAnsi="宋体" w:eastAsia="仿宋_GB2312"/>
                <w:sz w:val="18"/>
                <w:szCs w:val="18"/>
              </w:rPr>
              <w:t>并机系统既支持共用电池,也可支持独立电池组,灵活配置或降低成本。控制系统并联冗余，控制方式为分散控制、集中管理；集中控制单元为冗余并联，其中一个失效不影响整机运行</w:t>
            </w:r>
            <w:r>
              <w:rPr>
                <w:rFonts w:hint="eastAsia" w:ascii="仿宋_GB2312" w:hAnsi="宋体" w:eastAsia="仿宋_GB2312" w:cs="宋体"/>
                <w:kern w:val="0"/>
                <w:sz w:val="22"/>
              </w:rPr>
              <w:t>（</w:t>
            </w:r>
            <w:r>
              <w:rPr>
                <w:rFonts w:hint="eastAsia" w:ascii="仿宋_GB2312" w:hAnsi="宋体" w:eastAsia="仿宋_GB2312" w:cs="宋体"/>
                <w:kern w:val="0"/>
                <w:sz w:val="18"/>
                <w:szCs w:val="18"/>
              </w:rPr>
              <w:t>提供相关证明材料并加盖鲜章）。</w:t>
            </w:r>
          </w:p>
        </w:tc>
        <w:tc>
          <w:tcPr>
            <w:tcW w:w="365" w:type="pct"/>
            <w:vMerge w:val="continue"/>
            <w:vAlign w:val="center"/>
          </w:tcPr>
          <w:p w14:paraId="5C440521">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38859D81">
            <w:pPr>
              <w:widowControl/>
              <w:spacing w:line="360" w:lineRule="auto"/>
              <w:ind w:firstLine="482"/>
              <w:jc w:val="left"/>
              <w:rPr>
                <w:rFonts w:ascii="仿宋_GB2312" w:hAnsi="宋体" w:eastAsia="仿宋_GB2312" w:cs="宋体"/>
                <w:b/>
                <w:bCs/>
                <w:color w:val="000000"/>
                <w:kern w:val="0"/>
                <w:sz w:val="18"/>
                <w:szCs w:val="18"/>
              </w:rPr>
            </w:pPr>
          </w:p>
        </w:tc>
      </w:tr>
      <w:tr w14:paraId="471A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27" w:type="pct"/>
            <w:vMerge w:val="continue"/>
            <w:vAlign w:val="center"/>
          </w:tcPr>
          <w:p w14:paraId="622AEC57">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23B9BDB8">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27AFF5D7">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b/>
                <w:bCs/>
                <w:kern w:val="0"/>
                <w:sz w:val="18"/>
                <w:szCs w:val="18"/>
              </w:rPr>
              <w:t>▲5.集中监控模块：</w:t>
            </w:r>
            <w:r>
              <w:rPr>
                <w:rFonts w:hint="eastAsia" w:ascii="仿宋_GB2312" w:hAnsi="宋体" w:eastAsia="仿宋_GB2312" w:cs="宋体"/>
                <w:kern w:val="0"/>
                <w:sz w:val="18"/>
                <w:szCs w:val="18"/>
              </w:rPr>
              <w:t>集中监控模块具备热插拔功能，当拔出其中任意一个监控模块时系统可以正常工作</w:t>
            </w:r>
            <w:r>
              <w:rPr>
                <w:rFonts w:hint="eastAsia" w:ascii="仿宋_GB2312" w:hAnsi="宋体" w:eastAsia="仿宋_GB2312" w:cs="宋体"/>
                <w:kern w:val="0"/>
                <w:sz w:val="22"/>
              </w:rPr>
              <w:t>（</w:t>
            </w:r>
            <w:r>
              <w:rPr>
                <w:rFonts w:hint="eastAsia" w:ascii="仿宋_GB2312" w:hAnsi="宋体" w:eastAsia="仿宋_GB2312" w:cs="宋体"/>
                <w:kern w:val="0"/>
                <w:sz w:val="18"/>
                <w:szCs w:val="18"/>
              </w:rPr>
              <w:t>提供相关证明材料并加盖鲜章）。</w:t>
            </w:r>
          </w:p>
        </w:tc>
        <w:tc>
          <w:tcPr>
            <w:tcW w:w="365" w:type="pct"/>
            <w:vMerge w:val="continue"/>
            <w:vAlign w:val="center"/>
          </w:tcPr>
          <w:p w14:paraId="24770336">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04C2FAC0">
            <w:pPr>
              <w:widowControl/>
              <w:spacing w:line="360" w:lineRule="auto"/>
              <w:ind w:firstLine="482"/>
              <w:jc w:val="left"/>
              <w:rPr>
                <w:rFonts w:ascii="仿宋_GB2312" w:hAnsi="宋体" w:eastAsia="仿宋_GB2312" w:cs="宋体"/>
                <w:b/>
                <w:bCs/>
                <w:color w:val="000000"/>
                <w:kern w:val="0"/>
                <w:sz w:val="18"/>
                <w:szCs w:val="18"/>
              </w:rPr>
            </w:pPr>
          </w:p>
        </w:tc>
      </w:tr>
      <w:tr w14:paraId="3CD7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5429DFBF">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657978C7">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001B54B2">
            <w:pPr>
              <w:widowControl/>
              <w:spacing w:line="360" w:lineRule="auto"/>
              <w:jc w:val="lef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▲6.控制系统：</w:t>
            </w:r>
            <w:r>
              <w:rPr>
                <w:rFonts w:hint="eastAsia" w:ascii="仿宋_GB2312" w:hAnsi="宋体" w:eastAsia="仿宋_GB2312" w:cs="宋体"/>
                <w:kern w:val="0"/>
                <w:sz w:val="18"/>
                <w:szCs w:val="18"/>
              </w:rPr>
              <w:t>控制系统并联冗余，控制方式为分散控制、集中管理；集中控制单元为冗余并联，其中一个失效不影响整机运行</w:t>
            </w:r>
            <w:r>
              <w:rPr>
                <w:rFonts w:hint="eastAsia" w:ascii="仿宋_GB2312" w:hAnsi="宋体" w:eastAsia="仿宋_GB2312" w:cs="宋体"/>
                <w:kern w:val="0"/>
                <w:sz w:val="22"/>
              </w:rPr>
              <w:t>（</w:t>
            </w:r>
            <w:r>
              <w:rPr>
                <w:rFonts w:hint="eastAsia" w:ascii="仿宋_GB2312" w:hAnsi="宋体" w:eastAsia="仿宋_GB2312" w:cs="宋体"/>
                <w:kern w:val="0"/>
                <w:sz w:val="18"/>
                <w:szCs w:val="18"/>
              </w:rPr>
              <w:t>提供相关证明材料并加盖鲜章）。</w:t>
            </w:r>
          </w:p>
        </w:tc>
        <w:tc>
          <w:tcPr>
            <w:tcW w:w="365" w:type="pct"/>
            <w:vMerge w:val="continue"/>
            <w:vAlign w:val="center"/>
          </w:tcPr>
          <w:p w14:paraId="338CE172">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3EB18F68">
            <w:pPr>
              <w:widowControl/>
              <w:spacing w:line="360" w:lineRule="auto"/>
              <w:ind w:firstLine="482"/>
              <w:jc w:val="left"/>
              <w:rPr>
                <w:rFonts w:ascii="仿宋_GB2312" w:hAnsi="宋体" w:eastAsia="仿宋_GB2312" w:cs="宋体"/>
                <w:b/>
                <w:bCs/>
                <w:color w:val="000000"/>
                <w:kern w:val="0"/>
                <w:sz w:val="18"/>
                <w:szCs w:val="18"/>
              </w:rPr>
            </w:pPr>
          </w:p>
        </w:tc>
      </w:tr>
      <w:tr w14:paraId="4928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2F42702D">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22D62DD0">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0DA858A3">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b/>
                <w:bCs/>
                <w:kern w:val="0"/>
                <w:sz w:val="18"/>
                <w:szCs w:val="18"/>
              </w:rPr>
              <w:t>▲7.旁路系统：</w:t>
            </w:r>
            <w:r>
              <w:rPr>
                <w:rFonts w:hint="eastAsia" w:ascii="仿宋_GB2312" w:hAnsi="宋体" w:eastAsia="仿宋_GB2312" w:cs="宋体"/>
                <w:kern w:val="0"/>
                <w:sz w:val="18"/>
                <w:szCs w:val="18"/>
              </w:rPr>
              <w:t>模块化UPS采用集中旁路，且旁路模块可以在线插拨而不影响对负载的供电,支持无旁路运行，不接受分散旁路结构,避免出现功率模块出故障退出系统后,整机旁路功率容量也在相应减小.同时避免分散旁路不均流问题。集中旁路模块要求采用大功率SCR，杜绝采用小功率SCR+接触器方案,确保产品切换的稳定性.同时具备旁路电流防反灌保护功能</w:t>
            </w:r>
            <w:r>
              <w:rPr>
                <w:rFonts w:hint="eastAsia" w:ascii="仿宋_GB2312" w:hAnsi="宋体" w:eastAsia="仿宋_GB2312" w:cs="宋体"/>
                <w:kern w:val="0"/>
                <w:sz w:val="22"/>
              </w:rPr>
              <w:t>（</w:t>
            </w:r>
            <w:r>
              <w:rPr>
                <w:rFonts w:hint="eastAsia" w:ascii="仿宋_GB2312" w:hAnsi="宋体" w:eastAsia="仿宋_GB2312" w:cs="宋体"/>
                <w:kern w:val="0"/>
                <w:sz w:val="18"/>
                <w:szCs w:val="18"/>
              </w:rPr>
              <w:t>提供相关证明材料并加盖鲜章）。</w:t>
            </w:r>
          </w:p>
        </w:tc>
        <w:tc>
          <w:tcPr>
            <w:tcW w:w="365" w:type="pct"/>
            <w:vMerge w:val="continue"/>
            <w:vAlign w:val="center"/>
          </w:tcPr>
          <w:p w14:paraId="0E5D110D">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2363DD2A">
            <w:pPr>
              <w:widowControl/>
              <w:spacing w:line="360" w:lineRule="auto"/>
              <w:ind w:firstLine="482"/>
              <w:jc w:val="left"/>
              <w:rPr>
                <w:rFonts w:ascii="仿宋_GB2312" w:hAnsi="宋体" w:eastAsia="仿宋_GB2312" w:cs="宋体"/>
                <w:b/>
                <w:bCs/>
                <w:color w:val="000000"/>
                <w:kern w:val="0"/>
                <w:sz w:val="18"/>
                <w:szCs w:val="18"/>
              </w:rPr>
            </w:pPr>
          </w:p>
        </w:tc>
      </w:tr>
      <w:tr w14:paraId="52F2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2EC40A60">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31CEDE91">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683D2469">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b/>
                <w:bCs/>
                <w:kern w:val="0"/>
                <w:sz w:val="18"/>
                <w:szCs w:val="18"/>
              </w:rPr>
              <w:t>8.充电要求：</w:t>
            </w:r>
            <w:r>
              <w:rPr>
                <w:rFonts w:hint="eastAsia" w:ascii="仿宋_GB2312" w:hAnsi="宋体" w:eastAsia="仿宋_GB2312" w:cs="宋体"/>
                <w:kern w:val="0"/>
                <w:sz w:val="18"/>
                <w:szCs w:val="18"/>
              </w:rPr>
              <w:t>主机采用先进的两段式三阶段充电方法，能够很好的兼顾快速充电与延长电池使用寿命的目标，充电电流可设定，通过面板LCD设置用户配置的电池容量、充电电流。</w:t>
            </w:r>
          </w:p>
        </w:tc>
        <w:tc>
          <w:tcPr>
            <w:tcW w:w="365" w:type="pct"/>
            <w:vMerge w:val="continue"/>
            <w:vAlign w:val="center"/>
          </w:tcPr>
          <w:p w14:paraId="0CAAB1C8">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0B72ECC6">
            <w:pPr>
              <w:widowControl/>
              <w:spacing w:line="360" w:lineRule="auto"/>
              <w:ind w:firstLine="482"/>
              <w:jc w:val="left"/>
              <w:rPr>
                <w:rFonts w:ascii="仿宋_GB2312" w:hAnsi="宋体" w:eastAsia="仿宋_GB2312" w:cs="宋体"/>
                <w:b/>
                <w:bCs/>
                <w:color w:val="000000"/>
                <w:kern w:val="0"/>
                <w:sz w:val="18"/>
                <w:szCs w:val="18"/>
              </w:rPr>
            </w:pPr>
          </w:p>
        </w:tc>
      </w:tr>
      <w:tr w14:paraId="6725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2C04029C">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30E4F7CF">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5B039192">
            <w:pPr>
              <w:widowControl/>
              <w:spacing w:line="360" w:lineRule="auto"/>
              <w:jc w:val="lef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9.显示功能：</w:t>
            </w:r>
            <w:r>
              <w:rPr>
                <w:rFonts w:hint="eastAsia" w:ascii="仿宋_GB2312" w:hAnsi="宋体" w:eastAsia="仿宋_GB2312" w:cs="MicrosoftYaHei-Bold"/>
                <w:color w:val="333333"/>
                <w:kern w:val="0"/>
                <w:sz w:val="18"/>
                <w:szCs w:val="18"/>
              </w:rPr>
              <w:t>采用中文触摸式大屏幕显示器LED+LCD，人性化的人机对话界面,监控显示采用不小于10寸的LCD触摸彩屏，支持中英文显示，智能显示主机各工作状态的参数指标，单模块LED显示，用户可以通过模块LED灯了解模块的工作状态。</w:t>
            </w:r>
          </w:p>
        </w:tc>
        <w:tc>
          <w:tcPr>
            <w:tcW w:w="365" w:type="pct"/>
            <w:vMerge w:val="continue"/>
            <w:vAlign w:val="center"/>
          </w:tcPr>
          <w:p w14:paraId="32F471EB">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66C32314">
            <w:pPr>
              <w:widowControl/>
              <w:spacing w:line="360" w:lineRule="auto"/>
              <w:ind w:firstLine="482"/>
              <w:jc w:val="left"/>
              <w:rPr>
                <w:rFonts w:ascii="仿宋_GB2312" w:hAnsi="宋体" w:eastAsia="仿宋_GB2312" w:cs="宋体"/>
                <w:b/>
                <w:bCs/>
                <w:color w:val="000000"/>
                <w:kern w:val="0"/>
                <w:sz w:val="18"/>
                <w:szCs w:val="18"/>
              </w:rPr>
            </w:pPr>
          </w:p>
        </w:tc>
      </w:tr>
      <w:tr w14:paraId="4E3F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2A80062B">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0C795FD7">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275E61C5">
            <w:pPr>
              <w:widowControl/>
              <w:spacing w:line="360" w:lineRule="auto"/>
              <w:jc w:val="left"/>
              <w:rPr>
                <w:rFonts w:ascii="仿宋_GB2312" w:hAnsi="宋体" w:eastAsia="仿宋_GB2312"/>
                <w:b/>
                <w:bCs/>
                <w:sz w:val="18"/>
                <w:szCs w:val="18"/>
              </w:rPr>
            </w:pPr>
            <w:r>
              <w:rPr>
                <w:rFonts w:hint="eastAsia" w:ascii="仿宋_GB2312" w:hAnsi="宋体" w:eastAsia="仿宋_GB2312" w:cs="宋体"/>
                <w:b/>
                <w:bCs/>
                <w:kern w:val="0"/>
                <w:sz w:val="18"/>
                <w:szCs w:val="18"/>
              </w:rPr>
              <w:t>▲10.</w:t>
            </w:r>
            <w:r>
              <w:rPr>
                <w:rFonts w:hint="eastAsia" w:ascii="仿宋_GB2312" w:hAnsi="宋体" w:eastAsia="仿宋_GB2312" w:cs="MicrosoftYaHei-Bold"/>
                <w:b/>
                <w:bCs/>
                <w:color w:val="333333"/>
                <w:kern w:val="0"/>
                <w:sz w:val="18"/>
                <w:szCs w:val="18"/>
              </w:rPr>
              <w:t>微储功能</w:t>
            </w:r>
            <w:r>
              <w:rPr>
                <w:rFonts w:hint="eastAsia" w:ascii="仿宋_GB2312" w:hAnsi="宋体" w:eastAsia="仿宋_GB2312" w:cs="MicrosoftYaHei-Bold"/>
                <w:color w:val="333333"/>
                <w:kern w:val="0"/>
                <w:sz w:val="18"/>
                <w:szCs w:val="18"/>
              </w:rPr>
              <w:t>：主机具有微储功能，可通过显示屏设置充电时间段和放电时间段，UPS与电池组形成一个小储能电站。UPS可设置错峰调峰时间，实现低碳运行，节省电费</w:t>
            </w:r>
            <w:r>
              <w:rPr>
                <w:rFonts w:hint="eastAsia" w:ascii="仿宋_GB2312" w:hAnsi="宋体" w:eastAsia="仿宋_GB2312" w:cs="宋体"/>
                <w:kern w:val="0"/>
                <w:sz w:val="22"/>
              </w:rPr>
              <w:t>（</w:t>
            </w:r>
            <w:r>
              <w:rPr>
                <w:rFonts w:hint="eastAsia" w:ascii="仿宋_GB2312" w:hAnsi="宋体" w:eastAsia="仿宋_GB2312" w:cs="宋体"/>
                <w:kern w:val="0"/>
                <w:sz w:val="18"/>
                <w:szCs w:val="18"/>
              </w:rPr>
              <w:t>提供相关证明材料并加盖鲜章）。</w:t>
            </w:r>
            <w:r>
              <w:rPr>
                <w:rFonts w:hint="eastAsia" w:ascii="仿宋_GB2312" w:hAnsi="宋体" w:eastAsia="仿宋_GB2312" w:cs="MicrosoftYaHei-Bold"/>
                <w:color w:val="333333"/>
                <w:kern w:val="0"/>
                <w:sz w:val="18"/>
                <w:szCs w:val="18"/>
              </w:rPr>
              <w:t>。</w:t>
            </w:r>
          </w:p>
        </w:tc>
        <w:tc>
          <w:tcPr>
            <w:tcW w:w="365" w:type="pct"/>
            <w:vMerge w:val="continue"/>
            <w:vAlign w:val="center"/>
          </w:tcPr>
          <w:p w14:paraId="6AD991EA">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37BFA58F">
            <w:pPr>
              <w:widowControl/>
              <w:spacing w:line="360" w:lineRule="auto"/>
              <w:ind w:firstLine="482"/>
              <w:jc w:val="left"/>
              <w:rPr>
                <w:rFonts w:ascii="仿宋_GB2312" w:hAnsi="宋体" w:eastAsia="仿宋_GB2312" w:cs="宋体"/>
                <w:b/>
                <w:bCs/>
                <w:color w:val="000000"/>
                <w:kern w:val="0"/>
                <w:sz w:val="18"/>
                <w:szCs w:val="18"/>
              </w:rPr>
            </w:pPr>
          </w:p>
        </w:tc>
      </w:tr>
      <w:tr w14:paraId="5861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6AA06CFC">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2781E3BA">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3D0A2ACA">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b/>
                <w:bCs/>
                <w:kern w:val="0"/>
                <w:sz w:val="18"/>
                <w:szCs w:val="18"/>
              </w:rPr>
              <w:t>11.通讯功能</w:t>
            </w:r>
            <w:r>
              <w:rPr>
                <w:rFonts w:hint="eastAsia" w:ascii="仿宋_GB2312" w:hAnsi="宋体" w:eastAsia="仿宋_GB2312" w:cs="宋体"/>
                <w:kern w:val="0"/>
                <w:sz w:val="18"/>
                <w:szCs w:val="18"/>
              </w:rPr>
              <w:t>：主机与蓄电池组的BMS交互通信，智能显示和监控蓄电池参数指标，提高电池使用可靠性。标配RS232、RS485、干接点；（SNMP网卡选配）。</w:t>
            </w:r>
          </w:p>
        </w:tc>
        <w:tc>
          <w:tcPr>
            <w:tcW w:w="365" w:type="pct"/>
            <w:vMerge w:val="continue"/>
            <w:vAlign w:val="center"/>
          </w:tcPr>
          <w:p w14:paraId="4A186784">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25480E84">
            <w:pPr>
              <w:widowControl/>
              <w:spacing w:line="360" w:lineRule="auto"/>
              <w:ind w:firstLine="482"/>
              <w:jc w:val="left"/>
              <w:rPr>
                <w:rFonts w:ascii="仿宋_GB2312" w:hAnsi="宋体" w:eastAsia="仿宋_GB2312" w:cs="宋体"/>
                <w:b/>
                <w:bCs/>
                <w:color w:val="000000"/>
                <w:kern w:val="0"/>
                <w:sz w:val="18"/>
                <w:szCs w:val="18"/>
              </w:rPr>
            </w:pPr>
          </w:p>
        </w:tc>
      </w:tr>
      <w:tr w14:paraId="4BB4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27" w:type="pct"/>
            <w:vMerge w:val="continue"/>
            <w:vAlign w:val="center"/>
          </w:tcPr>
          <w:p w14:paraId="37A0FABF">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35C0483B">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2C9FC6EB">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b/>
                <w:bCs/>
                <w:kern w:val="0"/>
                <w:sz w:val="18"/>
                <w:szCs w:val="18"/>
              </w:rPr>
              <w:t>12.输出同步：</w:t>
            </w:r>
            <w:r>
              <w:rPr>
                <w:rFonts w:hint="eastAsia" w:ascii="仿宋_GB2312" w:hAnsi="宋体" w:eastAsia="仿宋_GB2312" w:cs="宋体"/>
                <w:kern w:val="0"/>
                <w:sz w:val="18"/>
                <w:szCs w:val="18"/>
              </w:rPr>
              <w:t>为提升所投产品可靠性，输出母线同步功能应原厂预装标配，无需额外增加电路改造，只需要选配通信线缆即可实现，现场应用灵活；不接受使用高成本的外置LBS总线同步控制器来实现，减少新旧设备兼容问题，降低系统安全隐患。具备EPO功能，具有远程紧急关（REPO）功能。</w:t>
            </w:r>
          </w:p>
        </w:tc>
        <w:tc>
          <w:tcPr>
            <w:tcW w:w="365" w:type="pct"/>
            <w:vMerge w:val="continue"/>
            <w:vAlign w:val="center"/>
          </w:tcPr>
          <w:p w14:paraId="089EE3CA">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52957B9F">
            <w:pPr>
              <w:widowControl/>
              <w:spacing w:line="360" w:lineRule="auto"/>
              <w:ind w:firstLine="482"/>
              <w:jc w:val="left"/>
              <w:rPr>
                <w:rFonts w:ascii="仿宋_GB2312" w:hAnsi="宋体" w:eastAsia="仿宋_GB2312" w:cs="宋体"/>
                <w:b/>
                <w:bCs/>
                <w:color w:val="000000"/>
                <w:kern w:val="0"/>
                <w:sz w:val="18"/>
                <w:szCs w:val="18"/>
              </w:rPr>
            </w:pPr>
          </w:p>
        </w:tc>
      </w:tr>
      <w:tr w14:paraId="6CDC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6311BD71">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3A9D7ABB">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467A3A3D">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b/>
                <w:bCs/>
                <w:kern w:val="0"/>
                <w:sz w:val="18"/>
                <w:szCs w:val="18"/>
              </w:rPr>
              <w:t>▲13.</w:t>
            </w:r>
            <w:r>
              <w:rPr>
                <w:rFonts w:hint="eastAsia" w:ascii="仿宋_GB2312" w:hAnsi="宋体" w:eastAsia="仿宋_GB2312" w:cs="MicrosoftYaHei-Bold"/>
                <w:b/>
                <w:bCs/>
                <w:color w:val="333333"/>
                <w:kern w:val="0"/>
                <w:sz w:val="18"/>
                <w:szCs w:val="18"/>
              </w:rPr>
              <w:t>市电输入</w:t>
            </w:r>
            <w:r>
              <w:rPr>
                <w:rFonts w:hint="eastAsia" w:ascii="仿宋_GB2312" w:hAnsi="宋体" w:eastAsia="仿宋_GB2312" w:cs="宋体"/>
                <w:b/>
                <w:bCs/>
                <w:kern w:val="0"/>
                <w:sz w:val="18"/>
                <w:szCs w:val="18"/>
              </w:rPr>
              <w:t>：</w:t>
            </w:r>
            <w:r>
              <w:rPr>
                <w:rFonts w:hint="eastAsia" w:ascii="仿宋_GB2312" w:hAnsi="宋体" w:eastAsia="仿宋_GB2312" w:cs="宋体"/>
                <w:kern w:val="0"/>
                <w:sz w:val="18"/>
                <w:szCs w:val="18"/>
              </w:rPr>
              <w:t>输入制式</w:t>
            </w: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三相四线+ G线</w:t>
            </w:r>
          </w:p>
          <w:p w14:paraId="5A191BFD">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电压范围</w:t>
            </w: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线电压291～492V可带额定满载；200V～291V线性降额；频率范围：35Hz～70Hz；电流谐波&lt;3%满载；功率因数：0.995；旁路范围： -10%～10%（可根据要求设置为-10%～-30%，+10%～+20%）。</w:t>
            </w:r>
          </w:p>
        </w:tc>
        <w:tc>
          <w:tcPr>
            <w:tcW w:w="365" w:type="pct"/>
            <w:vMerge w:val="continue"/>
            <w:vAlign w:val="center"/>
          </w:tcPr>
          <w:p w14:paraId="10538CFC">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70544B61">
            <w:pPr>
              <w:widowControl/>
              <w:spacing w:line="360" w:lineRule="auto"/>
              <w:ind w:firstLine="482"/>
              <w:jc w:val="left"/>
              <w:rPr>
                <w:rFonts w:ascii="仿宋_GB2312" w:hAnsi="宋体" w:eastAsia="仿宋_GB2312" w:cs="宋体"/>
                <w:b/>
                <w:bCs/>
                <w:color w:val="000000"/>
                <w:kern w:val="0"/>
                <w:sz w:val="18"/>
                <w:szCs w:val="18"/>
              </w:rPr>
            </w:pPr>
          </w:p>
        </w:tc>
      </w:tr>
      <w:tr w14:paraId="2DDB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68C0F9BC">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4E39961C">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124090D5">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b/>
                <w:bCs/>
                <w:kern w:val="0"/>
                <w:sz w:val="18"/>
                <w:szCs w:val="18"/>
              </w:rPr>
              <w:t>▲14.</w:t>
            </w:r>
            <w:r>
              <w:rPr>
                <w:rFonts w:hint="eastAsia" w:ascii="仿宋_GB2312" w:hAnsi="宋体" w:eastAsia="仿宋_GB2312" w:cs="MicrosoftYaHei-Bold"/>
                <w:b/>
                <w:bCs/>
                <w:color w:val="333333"/>
                <w:kern w:val="0"/>
                <w:sz w:val="18"/>
                <w:szCs w:val="18"/>
              </w:rPr>
              <w:t>输 出（逆变器）</w:t>
            </w:r>
            <w:r>
              <w:rPr>
                <w:rFonts w:hint="eastAsia" w:ascii="仿宋_GB2312" w:hAnsi="宋体" w:eastAsia="仿宋_GB2312" w:cs="宋体"/>
                <w:b/>
                <w:bCs/>
                <w:kern w:val="0"/>
                <w:sz w:val="18"/>
                <w:szCs w:val="18"/>
              </w:rPr>
              <w:t>：</w:t>
            </w:r>
            <w:r>
              <w:rPr>
                <w:rFonts w:hint="eastAsia" w:ascii="仿宋_GB2312" w:hAnsi="宋体" w:eastAsia="仿宋_GB2312" w:cs="宋体"/>
                <w:kern w:val="0"/>
                <w:sz w:val="18"/>
                <w:szCs w:val="18"/>
              </w:rPr>
              <w:t>输出电压</w:t>
            </w: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380Vac三相四线+G线；稳压精度&lt;±1%；锁相范：50Hz/60Hz±5Hz;(自振频率50Hz/60Hz±0.01Hz）；输出频率50Hz/60Hz±0.01Hz（锁相期间为市电率）；电压波形失真度：线性负载：≤2%, 非线性负载：≤3%；三相电压不平衡度：平衡负载≤0.5% 100%不平衡负载≤1.5%；电压动态瞬变范围＜3%；电压瞬变恢复时间：0ms；转换时间 市电</w:t>
            </w:r>
            <w:r>
              <w:rPr>
                <w:rFonts w:ascii="Courier New" w:hAnsi="Courier New" w:eastAsia="仿宋_GB2312" w:cs="Courier New"/>
                <w:kern w:val="0"/>
                <w:sz w:val="18"/>
                <w:szCs w:val="18"/>
              </w:rPr>
              <w:t>↔</w:t>
            </w:r>
            <w:r>
              <w:rPr>
                <w:rFonts w:hint="eastAsia" w:ascii="仿宋_GB2312" w:hAnsi="宋体" w:eastAsia="仿宋_GB2312" w:cs="宋体"/>
                <w:kern w:val="0"/>
                <w:sz w:val="18"/>
                <w:szCs w:val="18"/>
              </w:rPr>
              <w:t>电池：0ms；逆变</w:t>
            </w:r>
            <w:r>
              <w:rPr>
                <w:rFonts w:ascii="Courier New" w:hAnsi="Courier New" w:eastAsia="仿宋_GB2312" w:cs="Courier New"/>
                <w:kern w:val="0"/>
                <w:sz w:val="18"/>
                <w:szCs w:val="18"/>
              </w:rPr>
              <w:t>↔</w:t>
            </w:r>
            <w:r>
              <w:rPr>
                <w:rFonts w:hint="eastAsia" w:ascii="仿宋_GB2312" w:hAnsi="宋体" w:eastAsia="仿宋_GB2312" w:cs="宋体"/>
                <w:kern w:val="0"/>
                <w:sz w:val="18"/>
                <w:szCs w:val="18"/>
              </w:rPr>
              <w:t>旁路0ms；过载能力125%负载持续10min；150%负载持续1min；＞150%负载200ms；保护效率≥95%。</w:t>
            </w:r>
          </w:p>
        </w:tc>
        <w:tc>
          <w:tcPr>
            <w:tcW w:w="365" w:type="pct"/>
            <w:vMerge w:val="continue"/>
            <w:vAlign w:val="center"/>
          </w:tcPr>
          <w:p w14:paraId="5200FAFE">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0AA9C449">
            <w:pPr>
              <w:widowControl/>
              <w:spacing w:line="360" w:lineRule="auto"/>
              <w:ind w:firstLine="482"/>
              <w:jc w:val="left"/>
              <w:rPr>
                <w:rFonts w:ascii="仿宋_GB2312" w:hAnsi="宋体" w:eastAsia="仿宋_GB2312" w:cs="宋体"/>
                <w:b/>
                <w:bCs/>
                <w:color w:val="000000"/>
                <w:kern w:val="0"/>
                <w:sz w:val="18"/>
                <w:szCs w:val="18"/>
              </w:rPr>
            </w:pPr>
          </w:p>
        </w:tc>
      </w:tr>
      <w:tr w14:paraId="4416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6398BEB9">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75D9B644">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3C324098">
            <w:pPr>
              <w:widowControl/>
              <w:spacing w:line="360" w:lineRule="auto"/>
              <w:jc w:val="left"/>
              <w:rPr>
                <w:rFonts w:ascii="仿宋_GB2312" w:hAnsi="宋体" w:eastAsia="仿宋_GB2312" w:cs="MicrosoftYaHei-Bold"/>
                <w:color w:val="333333"/>
                <w:kern w:val="0"/>
                <w:sz w:val="18"/>
                <w:szCs w:val="18"/>
              </w:rPr>
            </w:pPr>
            <w:r>
              <w:rPr>
                <w:rFonts w:hint="eastAsia" w:ascii="仿宋_GB2312" w:hAnsi="宋体" w:eastAsia="仿宋_GB2312" w:cs="宋体"/>
                <w:b/>
                <w:bCs/>
                <w:kern w:val="0"/>
                <w:sz w:val="18"/>
                <w:szCs w:val="18"/>
              </w:rPr>
              <w:t>▲15.</w:t>
            </w:r>
            <w:r>
              <w:rPr>
                <w:rFonts w:hint="eastAsia" w:ascii="仿宋_GB2312" w:hAnsi="宋体" w:eastAsia="仿宋_GB2312" w:cs="MicrosoftYaHei-Bold"/>
                <w:b/>
                <w:bCs/>
                <w:color w:val="333333"/>
                <w:kern w:val="0"/>
                <w:sz w:val="18"/>
                <w:szCs w:val="18"/>
              </w:rPr>
              <w:t>环境指标：</w:t>
            </w:r>
            <w:r>
              <w:rPr>
                <w:rFonts w:hint="eastAsia" w:ascii="仿宋_GB2312" w:hAnsi="宋体" w:eastAsia="仿宋_GB2312" w:cs="MicrosoftYaHei-Bold"/>
                <w:color w:val="333333"/>
                <w:kern w:val="0"/>
                <w:sz w:val="18"/>
                <w:szCs w:val="18"/>
              </w:rPr>
              <w:t>噪音≤70dB（100%负载），具有智能风扇调速和容错功能，一路风扇损坏可带50%负载，两路风扇损坏可带30%负载。</w:t>
            </w:r>
          </w:p>
        </w:tc>
        <w:tc>
          <w:tcPr>
            <w:tcW w:w="365" w:type="pct"/>
            <w:vMerge w:val="restart"/>
            <w:vAlign w:val="center"/>
          </w:tcPr>
          <w:p w14:paraId="6EE4E4A7">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restart"/>
            <w:vAlign w:val="center"/>
          </w:tcPr>
          <w:p w14:paraId="5E24C7E9">
            <w:pPr>
              <w:widowControl/>
              <w:spacing w:line="360" w:lineRule="auto"/>
              <w:ind w:firstLine="482"/>
              <w:jc w:val="left"/>
              <w:rPr>
                <w:rFonts w:ascii="仿宋_GB2312" w:hAnsi="宋体" w:eastAsia="仿宋_GB2312" w:cs="宋体"/>
                <w:b/>
                <w:bCs/>
                <w:color w:val="000000"/>
                <w:kern w:val="0"/>
                <w:sz w:val="18"/>
                <w:szCs w:val="18"/>
              </w:rPr>
            </w:pPr>
          </w:p>
        </w:tc>
      </w:tr>
      <w:tr w14:paraId="2CAF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222B225F">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6BD24A6F">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7D7E7FCD">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b/>
                <w:bCs/>
                <w:kern w:val="0"/>
                <w:sz w:val="18"/>
                <w:szCs w:val="18"/>
              </w:rPr>
              <w:t>16.使用环境：</w:t>
            </w:r>
            <w:r>
              <w:rPr>
                <w:rFonts w:hint="eastAsia" w:ascii="仿宋_GB2312" w:hAnsi="宋体" w:eastAsia="仿宋_GB2312" w:cs="宋体"/>
                <w:kern w:val="0"/>
                <w:sz w:val="18"/>
                <w:szCs w:val="18"/>
              </w:rPr>
              <w:t>环境温度：-10℃～+40℃；环境湿度：0%～98%；贮存温度：-25℃～75℃</w:t>
            </w:r>
          </w:p>
          <w:p w14:paraId="78F9E8DC">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海拔（m）：≤1000，1000m以上每100米降额1%</w:t>
            </w:r>
          </w:p>
          <w:p w14:paraId="266736D6">
            <w:pPr>
              <w:widowControl/>
              <w:spacing w:line="360" w:lineRule="auto"/>
              <w:jc w:val="lef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▲17.蓄电池规格及数量：</w:t>
            </w:r>
            <w:r>
              <w:rPr>
                <w:rFonts w:hint="eastAsia" w:ascii="仿宋_GB2312" w:hAnsi="宋体" w:eastAsia="仿宋_GB2312" w:cs="宋体"/>
                <w:kern w:val="0"/>
                <w:sz w:val="18"/>
                <w:szCs w:val="18"/>
              </w:rPr>
              <w:t>12V 100Ah铅酸蓄电池160块；</w:t>
            </w:r>
            <w:r>
              <w:rPr>
                <w:rFonts w:hint="eastAsia" w:ascii="仿宋_GB2312" w:hAnsi="宋体" w:eastAsia="仿宋_GB2312" w:cs="宋体"/>
                <w:b/>
                <w:bCs/>
                <w:kern w:val="0"/>
                <w:sz w:val="18"/>
                <w:szCs w:val="18"/>
              </w:rPr>
              <w:t xml:space="preserve"> </w:t>
            </w:r>
          </w:p>
          <w:p w14:paraId="60AF6D68">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采用阀控式铅酸免维护蓄电池，容量为100AH；电池外观无变形、漏液、裂纹及污迹，标识清楚，正负极端子标志明显，电池外壳、盖、连接条符合GB/T2408-2008中8.3.2条FH-1水平级和9.3.2.条FV-0垂直级的要求；蓄电池气密性：能承受50kPa的正压而不破裂、不开胶，压力释放后无残余变形；电池容量：以1.0I10放电到终止电压10.8V，其容量满足额定值；以30I10放电3min，极柱不熔断，内部汇流排不熔断，外观无异常；静置28天后容量保存率≥96%；电池密封反应效率≥98%；</w:t>
            </w:r>
          </w:p>
          <w:p w14:paraId="45051B6D">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具有自动开启和关闭安全阀功能，开阀压力10~35kPa；闭阀压力3~30kPa；环境温度-30℃~+65℃之间，封口剂无裂纹与溢流现象；</w:t>
            </w:r>
          </w:p>
          <w:p w14:paraId="6FFA0CF8">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30天过度放电结束后，容量恢复值≥92%；低温敏感性试验结束后，10h率容量应≥0.9C10，外观无破裂、过度膨胀，槽盖无分离现象。</w:t>
            </w:r>
          </w:p>
          <w:p w14:paraId="66D08745">
            <w:pPr>
              <w:widowControl/>
              <w:spacing w:line="360" w:lineRule="auto"/>
              <w:jc w:val="left"/>
              <w:rPr>
                <w:rFonts w:ascii="仿宋_GB2312" w:hAnsi="宋体" w:eastAsia="仿宋_GB2312" w:cs="宋体"/>
                <w:b/>
                <w:bCs/>
                <w:kern w:val="0"/>
                <w:sz w:val="18"/>
                <w:szCs w:val="18"/>
              </w:rPr>
            </w:pPr>
            <w:r>
              <w:rPr>
                <w:rFonts w:hint="eastAsia" w:ascii="仿宋_GB2312" w:hAnsi="宋体" w:eastAsia="仿宋_GB2312" w:cs="宋体"/>
                <w:kern w:val="0"/>
                <w:sz w:val="18"/>
                <w:szCs w:val="18"/>
              </w:rPr>
              <w:t>同组蓄电池 10h率容量试验时，最大实际容量与最小实际容量差值应≤5%。</w:t>
            </w:r>
          </w:p>
        </w:tc>
        <w:tc>
          <w:tcPr>
            <w:tcW w:w="365" w:type="pct"/>
            <w:vMerge w:val="continue"/>
            <w:vAlign w:val="center"/>
          </w:tcPr>
          <w:p w14:paraId="68E24199">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4AFB7B20">
            <w:pPr>
              <w:widowControl/>
              <w:spacing w:line="360" w:lineRule="auto"/>
              <w:ind w:firstLine="482"/>
              <w:jc w:val="left"/>
              <w:rPr>
                <w:rFonts w:ascii="仿宋_GB2312" w:hAnsi="宋体" w:eastAsia="仿宋_GB2312" w:cs="宋体"/>
                <w:b/>
                <w:bCs/>
                <w:color w:val="000000"/>
                <w:kern w:val="0"/>
                <w:sz w:val="18"/>
                <w:szCs w:val="18"/>
              </w:rPr>
            </w:pPr>
          </w:p>
        </w:tc>
      </w:tr>
      <w:tr w14:paraId="4AA7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Merge w:val="continue"/>
            <w:vAlign w:val="center"/>
          </w:tcPr>
          <w:p w14:paraId="5C45768A">
            <w:pPr>
              <w:widowControl/>
              <w:spacing w:line="360" w:lineRule="auto"/>
              <w:ind w:firstLine="482"/>
              <w:jc w:val="left"/>
              <w:rPr>
                <w:rFonts w:ascii="仿宋_GB2312" w:hAnsi="宋体" w:eastAsia="仿宋_GB2312" w:cs="宋体"/>
                <w:b/>
                <w:bCs/>
                <w:color w:val="000000"/>
                <w:kern w:val="0"/>
                <w:sz w:val="18"/>
                <w:szCs w:val="18"/>
              </w:rPr>
            </w:pPr>
          </w:p>
        </w:tc>
        <w:tc>
          <w:tcPr>
            <w:tcW w:w="531" w:type="pct"/>
            <w:vMerge w:val="continue"/>
            <w:vAlign w:val="center"/>
          </w:tcPr>
          <w:p w14:paraId="6FE17F25">
            <w:pPr>
              <w:widowControl/>
              <w:spacing w:line="360" w:lineRule="auto"/>
              <w:ind w:firstLine="482"/>
              <w:jc w:val="left"/>
              <w:rPr>
                <w:rFonts w:ascii="仿宋_GB2312" w:hAnsi="宋体" w:eastAsia="仿宋_GB2312" w:cs="宋体"/>
                <w:b/>
                <w:bCs/>
                <w:color w:val="000000"/>
                <w:kern w:val="0"/>
                <w:sz w:val="18"/>
                <w:szCs w:val="18"/>
              </w:rPr>
            </w:pPr>
          </w:p>
        </w:tc>
        <w:tc>
          <w:tcPr>
            <w:tcW w:w="3368" w:type="pct"/>
            <w:shd w:val="clear" w:color="auto" w:fill="auto"/>
            <w:vAlign w:val="center"/>
          </w:tcPr>
          <w:p w14:paraId="38D7A7AD">
            <w:pPr>
              <w:widowControl/>
              <w:spacing w:line="360" w:lineRule="auto"/>
              <w:jc w:val="lef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★18.</w:t>
            </w:r>
            <w:r>
              <w:rPr>
                <w:rFonts w:hint="eastAsia" w:ascii="仿宋_GB2312" w:hAnsi="宋体" w:eastAsia="仿宋_GB2312" w:cs="宋体"/>
                <w:kern w:val="0"/>
                <w:sz w:val="18"/>
                <w:szCs w:val="18"/>
              </w:rPr>
              <w:t>需制定详细实施方案确保数据中心业务不中断。项目所需线缆及安装耗材由中标单位免费提供。质保期内中标供应商每月进行一次设备巡检。拆除旧设备及电池组，并搬运到指定地点。</w:t>
            </w:r>
          </w:p>
        </w:tc>
        <w:tc>
          <w:tcPr>
            <w:tcW w:w="365" w:type="pct"/>
            <w:vMerge w:val="continue"/>
            <w:vAlign w:val="center"/>
          </w:tcPr>
          <w:p w14:paraId="44486DCA">
            <w:pPr>
              <w:widowControl/>
              <w:spacing w:line="360" w:lineRule="auto"/>
              <w:ind w:firstLine="482"/>
              <w:jc w:val="left"/>
              <w:rPr>
                <w:rFonts w:ascii="仿宋_GB2312" w:hAnsi="宋体" w:eastAsia="仿宋_GB2312" w:cs="宋体"/>
                <w:b/>
                <w:bCs/>
                <w:color w:val="000000"/>
                <w:kern w:val="0"/>
                <w:sz w:val="18"/>
                <w:szCs w:val="18"/>
              </w:rPr>
            </w:pPr>
          </w:p>
        </w:tc>
        <w:tc>
          <w:tcPr>
            <w:tcW w:w="409" w:type="pct"/>
            <w:vMerge w:val="continue"/>
            <w:vAlign w:val="center"/>
          </w:tcPr>
          <w:p w14:paraId="29A8C556">
            <w:pPr>
              <w:widowControl/>
              <w:spacing w:line="360" w:lineRule="auto"/>
              <w:ind w:firstLine="482"/>
              <w:jc w:val="left"/>
              <w:rPr>
                <w:rFonts w:ascii="仿宋_GB2312" w:hAnsi="宋体" w:eastAsia="仿宋_GB2312" w:cs="宋体"/>
                <w:b/>
                <w:bCs/>
                <w:color w:val="000000"/>
                <w:kern w:val="0"/>
                <w:sz w:val="18"/>
                <w:szCs w:val="18"/>
              </w:rPr>
            </w:pPr>
          </w:p>
        </w:tc>
      </w:tr>
      <w:tr w14:paraId="537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Align w:val="center"/>
          </w:tcPr>
          <w:p w14:paraId="0CF8A97F">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31" w:type="pct"/>
            <w:vAlign w:val="center"/>
          </w:tcPr>
          <w:p w14:paraId="3A8B3033">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标准机柜</w:t>
            </w:r>
          </w:p>
        </w:tc>
        <w:tc>
          <w:tcPr>
            <w:tcW w:w="3368" w:type="pct"/>
            <w:shd w:val="clear" w:color="auto" w:fill="auto"/>
            <w:vAlign w:val="center"/>
          </w:tcPr>
          <w:p w14:paraId="08C4DDD0">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1.外形尺寸：宽*高（W*H）：600mm*2000mm，深度D≥1000mm；</w:t>
            </w:r>
          </w:p>
          <w:p w14:paraId="037E1A68">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2.机柜涂覆层应表面光洁、色泽均匀、无流挂、无露底；金属件无毛刺、无锈蚀。机柜门板、侧板平整，无扭曲、无变形、也不明显抖动；门板开孔均匀；</w:t>
            </w:r>
          </w:p>
          <w:p w14:paraId="17C7B0D8">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3.配置国标PDU 2路；</w:t>
            </w:r>
          </w:p>
          <w:p w14:paraId="62D8169F">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4.承载能力：机柜静态承载能力不小于3000kg; </w:t>
            </w:r>
          </w:p>
          <w:p w14:paraId="16E8CEE5">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5.机柜应满足GB/T 26572-2011标准，通过电子电气产品有害物质检；</w:t>
            </w:r>
          </w:p>
          <w:p w14:paraId="7C55E7B4">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6.为保证机房安全性，机柜内盲板、密封圈、侧板卡、毛刷、脚轮等部件应符合GB/T5169.16,满足垂直燃烧V-0的要求;</w:t>
            </w:r>
          </w:p>
        </w:tc>
        <w:tc>
          <w:tcPr>
            <w:tcW w:w="365" w:type="pct"/>
            <w:vAlign w:val="center"/>
          </w:tcPr>
          <w:p w14:paraId="06A6CD4B">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409" w:type="pct"/>
            <w:vAlign w:val="center"/>
          </w:tcPr>
          <w:p w14:paraId="481E751C">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个</w:t>
            </w:r>
          </w:p>
        </w:tc>
      </w:tr>
      <w:tr w14:paraId="35DD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Align w:val="center"/>
          </w:tcPr>
          <w:p w14:paraId="61990382">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31" w:type="pct"/>
            <w:vAlign w:val="center"/>
          </w:tcPr>
          <w:p w14:paraId="46287309">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空调移机</w:t>
            </w:r>
          </w:p>
        </w:tc>
        <w:tc>
          <w:tcPr>
            <w:tcW w:w="3368" w:type="pct"/>
            <w:shd w:val="clear" w:color="auto" w:fill="auto"/>
            <w:vAlign w:val="center"/>
          </w:tcPr>
          <w:p w14:paraId="18D1EDD3">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提供机房内1台立式空调在同房间内的移机服务。</w:t>
            </w:r>
          </w:p>
        </w:tc>
        <w:tc>
          <w:tcPr>
            <w:tcW w:w="365" w:type="pct"/>
            <w:vAlign w:val="center"/>
          </w:tcPr>
          <w:p w14:paraId="489D6B0E">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409" w:type="pct"/>
            <w:vAlign w:val="center"/>
          </w:tcPr>
          <w:p w14:paraId="5A20C2CA">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w:t>
            </w:r>
          </w:p>
        </w:tc>
      </w:tr>
      <w:tr w14:paraId="108B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7" w:type="pct"/>
            <w:vAlign w:val="center"/>
          </w:tcPr>
          <w:p w14:paraId="11D8CB0C">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31" w:type="pct"/>
            <w:vAlign w:val="center"/>
          </w:tcPr>
          <w:p w14:paraId="44F23445">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照明改造</w:t>
            </w:r>
          </w:p>
        </w:tc>
        <w:tc>
          <w:tcPr>
            <w:tcW w:w="3368" w:type="pct"/>
            <w:shd w:val="clear" w:color="auto" w:fill="auto"/>
            <w:vAlign w:val="center"/>
          </w:tcPr>
          <w:p w14:paraId="1ACC1BA7">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提供机房照明系统改造服务，含灯具、电线、施工等。（更换全部照明灯具及照明电路）</w:t>
            </w:r>
          </w:p>
        </w:tc>
        <w:tc>
          <w:tcPr>
            <w:tcW w:w="365" w:type="pct"/>
            <w:vAlign w:val="center"/>
          </w:tcPr>
          <w:p w14:paraId="234D8E51">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409" w:type="pct"/>
            <w:vAlign w:val="center"/>
          </w:tcPr>
          <w:p w14:paraId="71597930">
            <w:pPr>
              <w:widowControl/>
              <w:spacing w:line="360" w:lineRule="auto"/>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w:t>
            </w:r>
          </w:p>
        </w:tc>
      </w:tr>
      <w:bookmarkEnd w:id="13"/>
    </w:tbl>
    <w:p w14:paraId="1D4EF51C">
      <w:pPr>
        <w:spacing w:line="579"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带★技术参数为关键技术参数，带▲技术参数为重要技术参数，其它为一般参数。带"★"号条款均为实质性响应指标要求，必须全部响应。若有一项带"★"条款未响应或不满足，均视为非实质性响应招标文件，按无效投标处理。</w:t>
      </w:r>
    </w:p>
    <w:p w14:paraId="791DF495">
      <w:pPr>
        <w:widowControl/>
        <w:spacing w:line="560" w:lineRule="exact"/>
        <w:rPr>
          <w:rFonts w:ascii="方正小标宋简体" w:hAnsi="Times New Roman" w:eastAsia="方正小标宋简体"/>
          <w:sz w:val="44"/>
          <w:szCs w:val="44"/>
        </w:rPr>
        <w:sectPr>
          <w:pgSz w:w="11906" w:h="16838"/>
          <w:pgMar w:top="1440" w:right="1800" w:bottom="1440" w:left="1800" w:header="851" w:footer="992" w:gutter="0"/>
          <w:cols w:space="425" w:num="1"/>
          <w:docGrid w:type="lines" w:linePitch="312" w:charSpace="0"/>
        </w:sectPr>
      </w:pPr>
    </w:p>
    <w:p w14:paraId="0D3CE7ED">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4</w:t>
      </w:r>
    </w:p>
    <w:p w14:paraId="749A22DF">
      <w:pPr>
        <w:widowControl/>
        <w:spacing w:before="312" w:beforeLines="100" w:after="156" w:afterLines="50"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经济要求</w:t>
      </w:r>
    </w:p>
    <w:p w14:paraId="5838B28E">
      <w:pPr>
        <w:pStyle w:val="3"/>
        <w:keepNext w:val="0"/>
        <w:keepLines w:val="0"/>
        <w:adjustRightInd w:val="0"/>
        <w:spacing w:before="0" w:after="0" w:line="530" w:lineRule="exact"/>
        <w:ind w:firstLine="643" w:firstLineChars="200"/>
        <w:rPr>
          <w:rFonts w:ascii="黑体" w:hAnsi="黑体" w:cs="黑体"/>
          <w:b w:val="0"/>
          <w:bCs w:val="0"/>
          <w:sz w:val="32"/>
          <w:szCs w:val="32"/>
        </w:rPr>
      </w:pPr>
      <w:bookmarkStart w:id="14" w:name="_Toc128150782"/>
      <w:bookmarkStart w:id="15" w:name="_Toc128150138"/>
      <w:bookmarkStart w:id="16" w:name="_Toc128397974"/>
      <w:bookmarkStart w:id="17" w:name="_Toc127820568"/>
      <w:bookmarkStart w:id="18" w:name="_Toc128151031"/>
      <w:r>
        <w:rPr>
          <w:rFonts w:hint="eastAsia" w:ascii="黑体" w:hAnsi="黑体" w:cs="黑体"/>
          <w:sz w:val="32"/>
          <w:szCs w:val="32"/>
        </w:rPr>
        <w:t>★</w:t>
      </w:r>
      <w:r>
        <w:rPr>
          <w:rFonts w:hint="eastAsia" w:ascii="黑体" w:hAnsi="黑体" w:cs="黑体"/>
          <w:b w:val="0"/>
          <w:bCs w:val="0"/>
          <w:sz w:val="32"/>
          <w:szCs w:val="32"/>
        </w:rPr>
        <w:t>一、</w:t>
      </w:r>
      <w:bookmarkEnd w:id="14"/>
      <w:bookmarkEnd w:id="15"/>
      <w:bookmarkEnd w:id="16"/>
      <w:bookmarkEnd w:id="17"/>
      <w:bookmarkEnd w:id="18"/>
      <w:bookmarkStart w:id="19" w:name="_Hlk129329253"/>
      <w:r>
        <w:rPr>
          <w:rFonts w:hint="eastAsia" w:ascii="黑体" w:hAnsi="黑体" w:cs="黑体"/>
          <w:b w:val="0"/>
          <w:bCs w:val="0"/>
          <w:sz w:val="32"/>
          <w:szCs w:val="32"/>
        </w:rPr>
        <w:t>交付时间</w:t>
      </w:r>
      <w:bookmarkEnd w:id="19"/>
      <w:r>
        <w:rPr>
          <w:rFonts w:hint="eastAsia" w:ascii="黑体" w:hAnsi="黑体" w:cs="黑体"/>
          <w:b w:val="0"/>
          <w:bCs w:val="0"/>
          <w:sz w:val="32"/>
          <w:szCs w:val="32"/>
        </w:rPr>
        <w:t>、地点及方式</w:t>
      </w:r>
    </w:p>
    <w:p w14:paraId="1226E102">
      <w:pPr>
        <w:adjustRightInd w:val="0"/>
        <w:spacing w:line="530" w:lineRule="exact"/>
        <w:ind w:firstLine="640" w:firstLineChars="200"/>
        <w:rPr>
          <w:rFonts w:ascii="仿宋_GB2312" w:hAnsi="仿宋" w:eastAsia="仿宋_GB2312" w:cs="宋体"/>
          <w:bCs/>
          <w:sz w:val="32"/>
          <w:szCs w:val="32"/>
        </w:rPr>
      </w:pPr>
      <w:bookmarkStart w:id="20" w:name="_Hlk129332881"/>
      <w:r>
        <w:rPr>
          <w:rFonts w:hint="eastAsia" w:ascii="仿宋_GB2312" w:hAnsi="仿宋" w:eastAsia="仿宋_GB2312" w:cs="宋体"/>
          <w:bCs/>
          <w:sz w:val="32"/>
          <w:szCs w:val="32"/>
        </w:rPr>
        <w:t>（一）</w:t>
      </w:r>
      <w:bookmarkEnd w:id="20"/>
      <w:r>
        <w:rPr>
          <w:rFonts w:hint="eastAsia" w:ascii="仿宋_GB2312" w:hAnsi="仿宋" w:eastAsia="仿宋_GB2312" w:cs="宋体"/>
          <w:bCs/>
          <w:sz w:val="32"/>
          <w:szCs w:val="32"/>
        </w:rPr>
        <w:t>交付时间：</w:t>
      </w:r>
      <w:r>
        <w:rPr>
          <w:rFonts w:hint="eastAsia" w:ascii="仿宋_GB2312" w:hAnsi="仿宋" w:eastAsia="仿宋_GB2312" w:cs="宋体"/>
          <w:bCs/>
          <w:sz w:val="32"/>
          <w:szCs w:val="32"/>
          <w:u w:val="single"/>
        </w:rPr>
        <w:t>自合同签订后90个自然日。</w:t>
      </w:r>
    </w:p>
    <w:p w14:paraId="7892C105">
      <w:pPr>
        <w:adjustRightInd w:val="0"/>
        <w:spacing w:line="530" w:lineRule="exact"/>
        <w:ind w:firstLine="640" w:firstLineChars="200"/>
        <w:rPr>
          <w:rFonts w:ascii="仿宋_GB2312" w:hAnsi="仿宋" w:eastAsia="仿宋_GB2312" w:cs="宋体"/>
          <w:bCs/>
          <w:sz w:val="32"/>
          <w:szCs w:val="32"/>
          <w:u w:val="single"/>
        </w:rPr>
      </w:pPr>
      <w:r>
        <w:rPr>
          <w:rFonts w:hint="eastAsia" w:ascii="仿宋_GB2312" w:hAnsi="仿宋" w:eastAsia="仿宋_GB2312" w:cs="宋体"/>
          <w:bCs/>
          <w:sz w:val="32"/>
          <w:szCs w:val="32"/>
        </w:rPr>
        <w:t>（二）交付地点：</w:t>
      </w:r>
      <w:r>
        <w:rPr>
          <w:rFonts w:hint="eastAsia" w:ascii="仿宋_GB2312" w:hAnsi="仿宋" w:eastAsia="仿宋_GB2312"/>
          <w:color w:val="000000"/>
          <w:sz w:val="32"/>
          <w:szCs w:val="32"/>
          <w:u w:val="single"/>
        </w:rPr>
        <w:t>甘肃省兰州市七里河区南滨河路333号</w:t>
      </w:r>
      <w:r>
        <w:rPr>
          <w:rFonts w:hint="eastAsia" w:ascii="仿宋_GB2312" w:hAnsi="仿宋_GB2312" w:eastAsia="仿宋_GB2312" w:cs="仿宋_GB2312"/>
          <w:color w:val="000000"/>
          <w:sz w:val="32"/>
          <w:szCs w:val="32"/>
          <w:u w:val="single"/>
        </w:rPr>
        <w:t>。</w:t>
      </w:r>
    </w:p>
    <w:p w14:paraId="3103DEF8">
      <w:pPr>
        <w:adjustRightInd w:val="0"/>
        <w:spacing w:line="530" w:lineRule="exact"/>
        <w:ind w:firstLine="640" w:firstLineChars="200"/>
        <w:rPr>
          <w:rFonts w:ascii="楷体_GB2312" w:hAnsi="Times New Roman" w:eastAsia="楷体_GB2312" w:cs="Times New Roman"/>
          <w:sz w:val="28"/>
          <w:szCs w:val="28"/>
          <w:lang w:val="zh-CN"/>
        </w:rPr>
      </w:pPr>
      <w:r>
        <w:rPr>
          <w:rFonts w:hint="eastAsia" w:ascii="仿宋_GB2312" w:hAnsi="仿宋" w:eastAsia="仿宋_GB2312" w:cs="宋体"/>
          <w:bCs/>
          <w:sz w:val="32"/>
          <w:szCs w:val="32"/>
        </w:rPr>
        <w:t>（三）交付方式：</w:t>
      </w:r>
      <w:r>
        <w:rPr>
          <w:rFonts w:hint="eastAsia" w:ascii="仿宋_GB2312" w:hAnsi="仿宋" w:eastAsia="仿宋_GB2312" w:cs="宋体"/>
          <w:bCs/>
          <w:sz w:val="32"/>
          <w:szCs w:val="32"/>
          <w:u w:val="single"/>
        </w:rPr>
        <w:t>现场交付。</w:t>
      </w:r>
      <w:r>
        <w:rPr>
          <w:rFonts w:ascii="楷体_GB2312" w:hAnsi="Times New Roman" w:eastAsia="楷体_GB2312" w:cs="Times New Roman"/>
          <w:sz w:val="28"/>
          <w:szCs w:val="28"/>
          <w:lang w:val="zh-CN"/>
        </w:rPr>
        <w:t xml:space="preserve"> </w:t>
      </w:r>
    </w:p>
    <w:p w14:paraId="7C8D9733">
      <w:pPr>
        <w:pStyle w:val="3"/>
        <w:keepNext w:val="0"/>
        <w:keepLines w:val="0"/>
        <w:adjustRightInd w:val="0"/>
        <w:spacing w:before="0" w:after="0" w:line="530" w:lineRule="exact"/>
        <w:ind w:firstLine="643" w:firstLineChars="200"/>
        <w:rPr>
          <w:rFonts w:ascii="黑体" w:hAnsi="黑体" w:cs="黑体"/>
          <w:b w:val="0"/>
          <w:bCs w:val="0"/>
          <w:sz w:val="32"/>
          <w:szCs w:val="32"/>
        </w:rPr>
      </w:pPr>
      <w:r>
        <w:rPr>
          <w:rFonts w:hint="eastAsia" w:ascii="黑体" w:hAnsi="黑体" w:cs="黑体"/>
          <w:sz w:val="32"/>
          <w:szCs w:val="32"/>
        </w:rPr>
        <w:t>★</w:t>
      </w:r>
      <w:r>
        <w:rPr>
          <w:rFonts w:hint="eastAsia" w:ascii="黑体" w:hAnsi="黑体" w:cs="黑体"/>
          <w:b w:val="0"/>
          <w:bCs w:val="0"/>
          <w:sz w:val="32"/>
          <w:szCs w:val="32"/>
        </w:rPr>
        <w:t>二、包装及技术材料</w:t>
      </w:r>
    </w:p>
    <w:p w14:paraId="5EEE67D3">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（一）乙方提供的物资采用国家或行业规定的标准进行包装，包装费用由乙方承担。</w:t>
      </w:r>
    </w:p>
    <w:p w14:paraId="7B1203DB">
      <w:pPr>
        <w:adjustRightInd w:val="0"/>
        <w:spacing w:line="530" w:lineRule="exact"/>
        <w:ind w:firstLine="640" w:firstLineChars="200"/>
        <w:rPr>
          <w:rFonts w:ascii="仿宋_GB2312" w:hAnsi="仿宋" w:eastAsia="仿宋_GB2312"/>
          <w:bCs/>
          <w:sz w:val="32"/>
          <w:szCs w:val="32"/>
        </w:rPr>
      </w:pPr>
      <w:bookmarkStart w:id="21" w:name="_Hlk129330044"/>
      <w:r>
        <w:rPr>
          <w:rFonts w:hint="eastAsia" w:ascii="仿宋_GB2312" w:hAnsi="仿宋" w:eastAsia="仿宋_GB2312"/>
          <w:bCs/>
          <w:sz w:val="32"/>
          <w:szCs w:val="32"/>
        </w:rPr>
        <w:t>（二）</w:t>
      </w:r>
      <w:bookmarkEnd w:id="21"/>
      <w:r>
        <w:rPr>
          <w:rFonts w:hint="eastAsia" w:ascii="仿宋_GB2312" w:hAnsi="仿宋" w:eastAsia="仿宋_GB2312"/>
          <w:bCs/>
          <w:sz w:val="32"/>
          <w:szCs w:val="32"/>
        </w:rPr>
        <w:t>乙方提供的物资、技术材料，应当有详细的说明，包括物资的规格、技术指标及外观质量情况等，并附检验合格证和保修保养证书。</w:t>
      </w:r>
    </w:p>
    <w:p w14:paraId="7D2AF293">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1.乙方所出售的全部物资均应</w:t>
      </w:r>
      <w:r>
        <w:rPr>
          <w:rFonts w:hint="eastAsia" w:ascii="仿宋_GB2312" w:eastAsia="仿宋_GB2312"/>
          <w:sz w:val="32"/>
          <w:szCs w:val="32"/>
        </w:rPr>
        <w:t>当</w:t>
      </w:r>
      <w:r>
        <w:rPr>
          <w:rFonts w:hint="eastAsia" w:ascii="仿宋_GB2312" w:eastAsia="仿宋_GB2312"/>
          <w:bCs/>
          <w:sz w:val="32"/>
          <w:szCs w:val="32"/>
        </w:rPr>
        <w:t>按标准保护措施进行包装，包装应</w:t>
      </w:r>
      <w:r>
        <w:rPr>
          <w:rFonts w:hint="eastAsia" w:ascii="仿宋_GB2312" w:eastAsia="仿宋_GB2312"/>
          <w:sz w:val="32"/>
          <w:szCs w:val="32"/>
        </w:rPr>
        <w:t>当</w:t>
      </w:r>
      <w:r>
        <w:rPr>
          <w:rFonts w:hint="eastAsia" w:ascii="仿宋_GB2312" w:eastAsia="仿宋_GB2312"/>
          <w:bCs/>
          <w:sz w:val="32"/>
          <w:szCs w:val="32"/>
        </w:rPr>
        <w:t>适应于远距离运输、防潮、防震、防锈和防野蛮装卸等要求，以确保物资安全无损地运抵指定现场。由于包装防护措施不妥而引起的损坏、丢失由乙方负责。</w:t>
      </w:r>
    </w:p>
    <w:p w14:paraId="73A8E1B8">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2.每一个包装箱内应</w:t>
      </w:r>
      <w:r>
        <w:rPr>
          <w:rFonts w:hint="eastAsia" w:ascii="仿宋_GB2312" w:eastAsia="仿宋_GB2312"/>
          <w:sz w:val="32"/>
          <w:szCs w:val="32"/>
        </w:rPr>
        <w:t>当</w:t>
      </w:r>
      <w:r>
        <w:rPr>
          <w:rFonts w:hint="eastAsia" w:ascii="仿宋_GB2312" w:eastAsia="仿宋_GB2312"/>
          <w:bCs/>
          <w:sz w:val="32"/>
          <w:szCs w:val="32"/>
        </w:rPr>
        <w:t>附一份详细装箱清单。</w:t>
      </w:r>
    </w:p>
    <w:p w14:paraId="30E83479">
      <w:pPr>
        <w:pStyle w:val="3"/>
        <w:keepNext w:val="0"/>
        <w:keepLines w:val="0"/>
        <w:adjustRightInd w:val="0"/>
        <w:spacing w:before="0" w:after="0" w:line="530" w:lineRule="exact"/>
        <w:ind w:firstLine="643" w:firstLineChars="200"/>
        <w:rPr>
          <w:rFonts w:ascii="黑体" w:hAnsi="黑体" w:cs="黑体"/>
          <w:b w:val="0"/>
          <w:bCs w:val="0"/>
          <w:sz w:val="32"/>
          <w:szCs w:val="32"/>
        </w:rPr>
      </w:pPr>
      <w:r>
        <w:rPr>
          <w:rFonts w:hint="eastAsia" w:ascii="黑体" w:hAnsi="黑体" w:cs="黑体"/>
          <w:sz w:val="32"/>
          <w:szCs w:val="32"/>
        </w:rPr>
        <w:t>★</w:t>
      </w:r>
      <w:r>
        <w:rPr>
          <w:rFonts w:hint="eastAsia" w:ascii="黑体" w:hAnsi="黑体" w:cs="黑体"/>
          <w:b w:val="0"/>
          <w:bCs w:val="0"/>
          <w:sz w:val="32"/>
          <w:szCs w:val="32"/>
        </w:rPr>
        <w:t>三、运输和保险</w:t>
      </w:r>
    </w:p>
    <w:p w14:paraId="5731DDB2">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（一）乙方负责将物资运抵合同约定的甲方指定地点或其他同意的地点。以上所发生的相关费用应</w:t>
      </w:r>
      <w:r>
        <w:rPr>
          <w:rFonts w:hint="eastAsia" w:ascii="仿宋_GB2312" w:hAnsi="仿宋" w:eastAsia="仿宋_GB2312"/>
          <w:sz w:val="32"/>
          <w:szCs w:val="32"/>
        </w:rPr>
        <w:t>当</w:t>
      </w:r>
      <w:r>
        <w:rPr>
          <w:rFonts w:hint="eastAsia" w:ascii="仿宋_GB2312" w:hAnsi="仿宋" w:eastAsia="仿宋_GB2312"/>
          <w:bCs/>
          <w:sz w:val="32"/>
          <w:szCs w:val="32"/>
        </w:rPr>
        <w:t>包括在合同总价中。</w:t>
      </w:r>
    </w:p>
    <w:p w14:paraId="2F12EA67">
      <w:pPr>
        <w:pStyle w:val="2"/>
        <w:adjustRightInd w:val="0"/>
        <w:spacing w:after="0"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（二）物资交付前，乙方应</w:t>
      </w:r>
      <w:r>
        <w:rPr>
          <w:rFonts w:hint="eastAsia" w:ascii="仿宋_GB2312" w:hAnsi="仿宋" w:eastAsia="仿宋_GB2312"/>
          <w:sz w:val="32"/>
          <w:szCs w:val="32"/>
        </w:rPr>
        <w:t>当</w:t>
      </w:r>
      <w:r>
        <w:rPr>
          <w:rFonts w:hint="eastAsia" w:ascii="仿宋_GB2312" w:hAnsi="仿宋" w:eastAsia="仿宋_GB2312"/>
          <w:bCs/>
          <w:sz w:val="32"/>
          <w:szCs w:val="32"/>
        </w:rPr>
        <w:t>对运输、搬卸和交接过程中的丢失或损坏等问题负责。</w:t>
      </w:r>
    </w:p>
    <w:p w14:paraId="03B74B1C">
      <w:pPr>
        <w:pStyle w:val="3"/>
        <w:keepNext w:val="0"/>
        <w:keepLines w:val="0"/>
        <w:adjustRightInd w:val="0"/>
        <w:spacing w:before="0" w:after="0" w:line="530" w:lineRule="exact"/>
        <w:ind w:firstLine="640" w:firstLineChars="200"/>
        <w:rPr>
          <w:rFonts w:ascii="黑体" w:hAnsi="黑体" w:cs="黑体"/>
          <w:b w:val="0"/>
          <w:bCs w:val="0"/>
          <w:sz w:val="32"/>
          <w:szCs w:val="32"/>
        </w:rPr>
      </w:pPr>
      <w:r>
        <w:rPr>
          <w:rFonts w:hint="eastAsia" w:ascii="黑体" w:hAnsi="黑体" w:cs="黑体"/>
          <w:b w:val="0"/>
          <w:bCs w:val="0"/>
          <w:sz w:val="32"/>
          <w:szCs w:val="32"/>
        </w:rPr>
        <w:t>四、质量标准和保证</w:t>
      </w:r>
    </w:p>
    <w:p w14:paraId="29C934E9">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（一）质量标准</w:t>
      </w:r>
    </w:p>
    <w:p w14:paraId="26FF89EA">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w:t>
      </w:r>
      <w:bookmarkStart w:id="22" w:name="_Hlk129298658"/>
      <w:r>
        <w:rPr>
          <w:rFonts w:hint="eastAsia" w:ascii="仿宋_GB2312" w:hAnsi="仿宋" w:eastAsia="仿宋_GB2312"/>
          <w:bCs/>
          <w:sz w:val="32"/>
          <w:szCs w:val="32"/>
        </w:rPr>
        <w:t>乙方交付</w:t>
      </w:r>
      <w:bookmarkEnd w:id="22"/>
      <w:r>
        <w:rPr>
          <w:rFonts w:hint="eastAsia" w:ascii="仿宋_GB2312" w:hAnsi="仿宋" w:eastAsia="仿宋_GB2312"/>
          <w:bCs/>
          <w:sz w:val="32"/>
          <w:szCs w:val="32"/>
        </w:rPr>
        <w:t>的</w:t>
      </w:r>
      <w:bookmarkStart w:id="23" w:name="_Hlk129298245"/>
      <w:r>
        <w:rPr>
          <w:rFonts w:hint="eastAsia" w:ascii="仿宋_GB2312" w:hAnsi="仿宋" w:eastAsia="仿宋_GB2312"/>
          <w:bCs/>
          <w:sz w:val="32"/>
          <w:szCs w:val="32"/>
        </w:rPr>
        <w:t>物资</w:t>
      </w:r>
      <w:bookmarkEnd w:id="23"/>
      <w:r>
        <w:rPr>
          <w:rFonts w:hint="eastAsia" w:ascii="仿宋_GB2312" w:hAnsi="仿宋" w:eastAsia="仿宋_GB2312"/>
          <w:bCs/>
          <w:sz w:val="32"/>
          <w:szCs w:val="32"/>
        </w:rPr>
        <w:t>应当符合采购文件所述的标准。如果没有提及适用标准，则应当符合中华人民共和国有关机构发布的最新版本的标准。</w:t>
      </w:r>
    </w:p>
    <w:p w14:paraId="345AA37C">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2.采用中华人民共和国法定计量单位。</w:t>
      </w:r>
    </w:p>
    <w:p w14:paraId="143E9ED8">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3.乙方</w:t>
      </w:r>
      <w:bookmarkStart w:id="24" w:name="_Hlk129298842"/>
      <w:r>
        <w:rPr>
          <w:rFonts w:hint="eastAsia" w:ascii="仿宋_GB2312" w:hAnsi="仿宋" w:eastAsia="仿宋_GB2312"/>
          <w:bCs/>
          <w:sz w:val="32"/>
          <w:szCs w:val="32"/>
        </w:rPr>
        <w:t>交付</w:t>
      </w:r>
      <w:bookmarkEnd w:id="24"/>
      <w:r>
        <w:rPr>
          <w:rFonts w:hint="eastAsia" w:ascii="仿宋_GB2312" w:hAnsi="仿宋" w:eastAsia="仿宋_GB2312"/>
          <w:bCs/>
          <w:sz w:val="32"/>
          <w:szCs w:val="32"/>
        </w:rPr>
        <w:t>的</w:t>
      </w:r>
      <w:bookmarkStart w:id="25" w:name="_Hlk129298745"/>
      <w:r>
        <w:rPr>
          <w:rFonts w:hint="eastAsia" w:ascii="仿宋_GB2312" w:hAnsi="仿宋" w:eastAsia="仿宋_GB2312"/>
          <w:bCs/>
          <w:sz w:val="32"/>
          <w:szCs w:val="32"/>
        </w:rPr>
        <w:t>物资</w:t>
      </w:r>
      <w:bookmarkEnd w:id="25"/>
      <w:r>
        <w:rPr>
          <w:rFonts w:hint="eastAsia" w:ascii="仿宋_GB2312" w:hAnsi="仿宋" w:eastAsia="仿宋_GB2312"/>
          <w:bCs/>
          <w:sz w:val="32"/>
          <w:szCs w:val="32"/>
        </w:rPr>
        <w:t>还应当符合国家有关安全、环保、卫生等规定。</w:t>
      </w:r>
    </w:p>
    <w:p w14:paraId="4160934B">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（二）质量保证</w:t>
      </w:r>
    </w:p>
    <w:p w14:paraId="30FF8162">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1.乙方应当保证交付物资是全新的、未使用过的，并完全符合合同约定的质量、规格和性能的要求。</w:t>
      </w:r>
    </w:p>
    <w:p w14:paraId="55135DF9">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2.在质量保证期内出现的产品质量问题，甲方应当以书面形式通知乙方。乙方收到通知后应当在约定的响应时间内免费维修或更换有缺陷的物资或部件。</w:t>
      </w:r>
    </w:p>
    <w:p w14:paraId="6308FD56">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3.乙方在约定的时间内未能解决质量问题，甲方可采取必要的补救措施，但其风险和费用将由乙方承担，甲方根据合同约定对乙方行使的其他权利不受影响。</w:t>
      </w:r>
    </w:p>
    <w:p w14:paraId="6AEBAAF3">
      <w:pPr>
        <w:pStyle w:val="3"/>
        <w:keepNext w:val="0"/>
        <w:keepLines w:val="0"/>
        <w:adjustRightInd w:val="0"/>
        <w:spacing w:before="0" w:after="0" w:line="530" w:lineRule="exact"/>
        <w:ind w:firstLine="640" w:firstLineChars="200"/>
        <w:rPr>
          <w:rFonts w:ascii="黑体" w:hAnsi="黑体" w:cs="黑体"/>
          <w:b w:val="0"/>
          <w:bCs w:val="0"/>
          <w:sz w:val="32"/>
          <w:szCs w:val="32"/>
        </w:rPr>
      </w:pPr>
      <w:r>
        <w:rPr>
          <w:rFonts w:hint="eastAsia" w:ascii="黑体" w:hAnsi="黑体" w:cs="黑体"/>
          <w:b w:val="0"/>
          <w:bCs w:val="0"/>
          <w:sz w:val="32"/>
          <w:szCs w:val="32"/>
        </w:rPr>
        <w:t>五、售后服务</w:t>
      </w:r>
    </w:p>
    <w:p w14:paraId="6E0A1CE4">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（一）自</w:t>
      </w:r>
      <w:bookmarkStart w:id="26" w:name="_Hlk129331333"/>
      <w:r>
        <w:rPr>
          <w:rFonts w:hint="eastAsia" w:ascii="仿宋_GB2312" w:hAnsi="仿宋" w:eastAsia="仿宋_GB2312"/>
          <w:bCs/>
          <w:sz w:val="32"/>
          <w:szCs w:val="32"/>
        </w:rPr>
        <w:t>物资</w:t>
      </w:r>
      <w:bookmarkEnd w:id="26"/>
      <w:r>
        <w:rPr>
          <w:rFonts w:hint="eastAsia" w:ascii="仿宋_GB2312" w:hAnsi="仿宋" w:eastAsia="仿宋_GB2312"/>
          <w:bCs/>
          <w:sz w:val="32"/>
          <w:szCs w:val="32"/>
        </w:rPr>
        <w:t>验收合格之日起，物资免费质保期为36</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个月。</w:t>
      </w:r>
    </w:p>
    <w:p w14:paraId="15035755">
      <w:pPr>
        <w:adjustRightInd w:val="0"/>
        <w:spacing w:line="53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w:t>
      </w:r>
      <w:r>
        <w:rPr>
          <w:rFonts w:hint="eastAsia" w:ascii="仿宋_GB2312" w:eastAsia="仿宋_GB2312" w:cs="仿宋_GB2312"/>
          <w:bCs/>
          <w:sz w:val="32"/>
          <w:szCs w:val="32"/>
        </w:rPr>
        <w:t>二</w:t>
      </w:r>
      <w:r>
        <w:rPr>
          <w:rFonts w:hint="eastAsia" w:ascii="仿宋_GB2312" w:hAnsi="仿宋_GB2312" w:eastAsia="仿宋_GB2312" w:cs="仿宋_GB2312"/>
          <w:bCs/>
          <w:sz w:val="32"/>
          <w:szCs w:val="32"/>
        </w:rPr>
        <w:t>）乙方应当提供7×24实时故障响应。在</w:t>
      </w:r>
      <w:bookmarkStart w:id="27" w:name="_Hlk129331519"/>
      <w:r>
        <w:rPr>
          <w:rFonts w:hint="eastAsia" w:ascii="仿宋_GB2312" w:hAnsi="仿宋_GB2312" w:eastAsia="仿宋_GB2312" w:cs="仿宋_GB2312"/>
          <w:bCs/>
          <w:sz w:val="32"/>
          <w:szCs w:val="32"/>
        </w:rPr>
        <w:t>免费质保期</w:t>
      </w:r>
      <w:bookmarkEnd w:id="27"/>
      <w:r>
        <w:rPr>
          <w:rFonts w:hint="eastAsia" w:ascii="仿宋_GB2312" w:hAnsi="仿宋_GB2312" w:eastAsia="仿宋_GB2312" w:cs="仿宋_GB2312"/>
          <w:bCs/>
          <w:sz w:val="32"/>
          <w:szCs w:val="32"/>
        </w:rPr>
        <w:t>内，出现物资质量问题，甲方提出后，乙方应当按合同约定在</w:t>
      </w:r>
      <w:r>
        <w:rPr>
          <w:rFonts w:hint="eastAsia" w:ascii="仿宋_GB2312" w:hAnsi="仿宋_GB2312" w:eastAsia="仿宋_GB2312" w:cs="仿宋_GB2312"/>
          <w:bCs/>
          <w:sz w:val="32"/>
          <w:szCs w:val="32"/>
          <w:u w:val="single"/>
        </w:rPr>
        <w:t>1</w:t>
      </w:r>
      <w:r>
        <w:rPr>
          <w:rFonts w:hint="eastAsia" w:ascii="仿宋_GB2312" w:hAnsi="仿宋_GB2312" w:eastAsia="仿宋_GB2312" w:cs="仿宋_GB2312"/>
          <w:bCs/>
          <w:sz w:val="32"/>
          <w:szCs w:val="32"/>
        </w:rPr>
        <w:t>小时内响应，</w:t>
      </w:r>
      <w:r>
        <w:rPr>
          <w:rFonts w:hint="eastAsia" w:ascii="仿宋_GB2312" w:hAnsi="仿宋_GB2312" w:eastAsia="仿宋_GB2312" w:cs="仿宋_GB2312"/>
          <w:bCs/>
          <w:sz w:val="32"/>
          <w:szCs w:val="32"/>
          <w:u w:val="single"/>
        </w:rPr>
        <w:t>2</w:t>
      </w:r>
      <w:r>
        <w:rPr>
          <w:rFonts w:hint="eastAsia" w:ascii="仿宋_GB2312" w:hAnsi="仿宋_GB2312" w:eastAsia="仿宋_GB2312" w:cs="仿宋_GB2312"/>
          <w:bCs/>
          <w:sz w:val="32"/>
          <w:szCs w:val="32"/>
        </w:rPr>
        <w:t>小时内到达现场提供相关的维修、更换等服务，</w:t>
      </w:r>
      <w:r>
        <w:rPr>
          <w:rFonts w:hint="eastAsia" w:ascii="仿宋_GB2312" w:hAnsi="仿宋_GB2312" w:eastAsia="仿宋_GB2312" w:cs="仿宋_GB2312"/>
          <w:bCs/>
          <w:sz w:val="32"/>
          <w:szCs w:val="32"/>
          <w:u w:val="single"/>
        </w:rPr>
        <w:t>24</w:t>
      </w:r>
      <w:r>
        <w:rPr>
          <w:rFonts w:hint="eastAsia" w:ascii="仿宋_GB2312" w:hAnsi="仿宋_GB2312" w:eastAsia="仿宋_GB2312" w:cs="仿宋_GB2312"/>
          <w:bCs/>
          <w:sz w:val="32"/>
          <w:szCs w:val="32"/>
        </w:rPr>
        <w:t>小时内解决故障，如未能按时解决故障，乙方须免费提供替代设备。</w:t>
      </w:r>
    </w:p>
    <w:p w14:paraId="3C3A1F23">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（三）乙方不能按约定期限派人保修的，甲方在技术允许的范围内自行修理，费用由乙方承担。</w:t>
      </w:r>
    </w:p>
    <w:p w14:paraId="1CC95197">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（四）质保期内，乙方应当对所供产品的软件提供免费升级。</w:t>
      </w:r>
    </w:p>
    <w:p w14:paraId="724BD975">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（五）质保期外，乙方应当提供上门维修服务，仅收取成本费。</w:t>
      </w:r>
    </w:p>
    <w:p w14:paraId="62E241E8">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（六）因设计、制造缺陷导致物资质量问题或存在质量隐患的，乙方应当免费提供包修、包换、包退服务，因此导致的损失，甲方有权向乙方追偿。</w:t>
      </w:r>
    </w:p>
    <w:p w14:paraId="5CDE8492">
      <w:pPr>
        <w:pStyle w:val="2"/>
        <w:adjustRightInd w:val="0"/>
        <w:spacing w:after="0"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（七）免费提供技术培训。</w:t>
      </w:r>
    </w:p>
    <w:p w14:paraId="5F90AB48">
      <w:pPr>
        <w:pStyle w:val="2"/>
        <w:adjustRightInd w:val="0"/>
        <w:spacing w:after="0" w:line="530" w:lineRule="exact"/>
        <w:ind w:firstLine="640" w:firstLineChars="200"/>
        <w:rPr>
          <w:rFonts w:ascii="仿宋_GB2312" w:eastAsia="仿宋_GB2312"/>
          <w:sz w:val="32"/>
          <w:szCs w:val="32"/>
        </w:rPr>
      </w:pPr>
      <w:r>
        <w:rPr>
          <w:rFonts w:hint="eastAsia" w:ascii="仿宋_GB2312" w:hAnsi="仿宋" w:eastAsia="仿宋_GB2312"/>
          <w:bCs/>
          <w:sz w:val="32"/>
          <w:szCs w:val="32"/>
        </w:rPr>
        <w:t>（八）提供全套中文技术文档。</w:t>
      </w:r>
    </w:p>
    <w:p w14:paraId="61351DC8">
      <w:pPr>
        <w:adjustRightInd w:val="0"/>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须提供现场专业技术咨询、安装、调试、初验、终验和试运行保障及维修保养服务（提供安装、测试所用的测试设备、工具等），并按照需求方要求进行产品客户化。在投标文件中提交安装、调试、验收实施计划书，在安装调试验收无误后，提交安装实施、调试、检测报告、验收报告、技术资料、系统技术说明书、使用说明书、维护手册等。</w:t>
      </w:r>
    </w:p>
    <w:p w14:paraId="4DC46443">
      <w:pPr>
        <w:adjustRightInd w:val="0"/>
        <w:spacing w:line="53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交货时要求中标方就所投产品提供产品合格证、产品说明书、质保承诺函和检测报告等证明文件，我方有权核实招标要求的产品功能，有权要求中标方对产品的合法供货渠道进行说明。经核实，如中标方所提供产品与招、投标文件中的产品功能不一致，或提供非法渠道的商品，即视为欺诈，为维护我方合法权益，中标方要承担商品价值双倍的赔偿；同时，依据现行的国家法律法规追究其他责任，并连带追究所投产品制造商的责任。</w:t>
      </w:r>
    </w:p>
    <w:p w14:paraId="024739AE">
      <w:pPr>
        <w:adjustRightInd w:val="0"/>
        <w:spacing w:line="530" w:lineRule="exact"/>
        <w:ind w:firstLine="640" w:firstLineChars="200"/>
        <w:rPr>
          <w:rFonts w:ascii="仿宋_GB2312" w:hAnsi="仿宋_GB2312" w:eastAsia="仿宋_GB2312" w:cs="仿宋_GB2312"/>
          <w:bCs/>
          <w:sz w:val="32"/>
          <w:szCs w:val="32"/>
        </w:rPr>
        <w:sectPr>
          <w:pgSz w:w="11906" w:h="16838"/>
          <w:pgMar w:top="1440" w:right="1800" w:bottom="1440" w:left="1800" w:header="851" w:footer="992" w:gutter="0"/>
          <w:cols w:space="425" w:num="1"/>
          <w:docGrid w:type="lines" w:linePitch="312" w:charSpace="0"/>
        </w:sectPr>
      </w:pPr>
    </w:p>
    <w:p w14:paraId="220BE4CF">
      <w:pPr>
        <w:tabs>
          <w:tab w:val="left" w:pos="0"/>
        </w:tabs>
        <w:autoSpaceDE w:val="0"/>
        <w:autoSpaceDN w:val="0"/>
        <w:adjustRightInd w:val="0"/>
        <w:spacing w:line="560" w:lineRule="exact"/>
        <w:ind w:firstLine="560"/>
        <w:rPr>
          <w:rFonts w:ascii="黑体" w:hAnsi="黑体" w:eastAsia="黑体" w:cs="黑体"/>
          <w:sz w:val="32"/>
          <w:szCs w:val="32"/>
        </w:rPr>
      </w:pPr>
      <w:r>
        <w:rPr>
          <w:rFonts w:hint="eastAsia" w:ascii="黑体" w:hAnsi="黑体" w:eastAsia="黑体" w:cs="黑体"/>
          <w:sz w:val="32"/>
          <w:szCs w:val="32"/>
        </w:rPr>
        <w:t>★六、履约保证金及质量保证金</w:t>
      </w:r>
    </w:p>
    <w:p w14:paraId="3D559F8D">
      <w:pPr>
        <w:adjustRightInd w:val="0"/>
        <w:snapToGrid w:val="0"/>
        <w:spacing w:line="53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（一）本合同履约保证金为合同金额的5%，乙方应当在签订合同前10日内缴纳履约保证金</w:t>
      </w:r>
      <w:r>
        <w:rPr>
          <w:rFonts w:hint="eastAsia" w:ascii="仿宋_GB2312" w:eastAsia="仿宋_GB2312" w:hAnsiTheme="minorEastAsia"/>
          <w:sz w:val="32"/>
          <w:szCs w:val="32"/>
        </w:rPr>
        <w:t>（汇款时请注明“</w:t>
      </w:r>
      <w:r>
        <w:rPr>
          <w:rFonts w:hint="eastAsia" w:ascii="仿宋_GB2312" w:hAnsi="宋体" w:eastAsia="仿宋_GB2312" w:cs="宋体"/>
          <w:kern w:val="0"/>
          <w:sz w:val="32"/>
          <w:szCs w:val="32"/>
        </w:rPr>
        <w:t>不间断电源采购项目</w:t>
      </w:r>
      <w:r>
        <w:rPr>
          <w:rFonts w:hint="eastAsia" w:ascii="仿宋_GB2312" w:eastAsia="仿宋_GB2312" w:hAnsiTheme="minorEastAsia"/>
          <w:sz w:val="32"/>
          <w:szCs w:val="32"/>
        </w:rPr>
        <w:t>履约保证金”字样）。</w:t>
      </w:r>
    </w:p>
    <w:p w14:paraId="18D6C06D">
      <w:pPr>
        <w:adjustRightInd w:val="0"/>
        <w:spacing w:line="530" w:lineRule="exact"/>
        <w:ind w:firstLine="640" w:firstLineChars="200"/>
        <w:rPr>
          <w:rFonts w:ascii="仿宋_GB2312" w:hAnsi="仿宋" w:eastAsia="仿宋_GB2312" w:cs="宋体"/>
          <w:color w:val="000000" w:themeColor="text1"/>
          <w:sz w:val="32"/>
          <w:szCs w:val="32"/>
          <w14:textFill>
            <w14:solidFill>
              <w14:schemeClr w14:val="tx1"/>
            </w14:solidFill>
          </w14:textFill>
        </w:rPr>
      </w:pPr>
      <w:bookmarkStart w:id="28" w:name="_Toc127820572"/>
      <w:bookmarkStart w:id="29" w:name="_Toc128397978"/>
      <w:bookmarkStart w:id="30" w:name="_Toc128150142"/>
      <w:bookmarkStart w:id="31" w:name="_Toc128151035"/>
      <w:bookmarkStart w:id="32" w:name="_Toc128150786"/>
      <w:r>
        <w:rPr>
          <w:rFonts w:hint="eastAsia" w:ascii="仿宋_GB2312" w:hAnsi="仿宋" w:eastAsia="仿宋_GB2312" w:cs="宋体"/>
          <w:color w:val="000000" w:themeColor="text1"/>
          <w:sz w:val="32"/>
          <w:szCs w:val="32"/>
          <w14:textFill>
            <w14:solidFill>
              <w14:schemeClr w14:val="tx1"/>
            </w14:solidFill>
          </w14:textFill>
        </w:rPr>
        <w:t>（二）若乙方未按时交付物资，或物资履约验收不合格，甲方有权终止合同，并没收乙方履约保证金。</w:t>
      </w:r>
    </w:p>
    <w:p w14:paraId="105D0EEE">
      <w:pPr>
        <w:adjustRightInd w:val="0"/>
        <w:spacing w:line="530" w:lineRule="exact"/>
        <w:ind w:firstLine="640" w:firstLineChars="200"/>
        <w:rPr>
          <w:rFonts w:ascii="仿宋_GB2312" w:hAnsi="仿宋" w:eastAsia="仿宋_GB2312" w:cs="宋体"/>
          <w:color w:val="000000" w:themeColor="text1"/>
          <w:sz w:val="32"/>
          <w:szCs w:val="32"/>
          <w14:textFill>
            <w14:solidFill>
              <w14:schemeClr w14:val="tx1"/>
            </w14:solidFill>
          </w14:textFill>
        </w:rPr>
      </w:pPr>
      <w:bookmarkStart w:id="33" w:name="_Hlk129335643"/>
      <w:r>
        <w:rPr>
          <w:rFonts w:hint="eastAsia" w:ascii="仿宋_GB2312" w:hAnsi="仿宋" w:eastAsia="仿宋_GB2312" w:cs="宋体"/>
          <w:color w:val="000000" w:themeColor="text1"/>
          <w:sz w:val="32"/>
          <w:szCs w:val="32"/>
          <w14:textFill>
            <w14:solidFill>
              <w14:schemeClr w14:val="tx1"/>
            </w14:solidFill>
          </w14:textFill>
        </w:rPr>
        <w:t>（三）乙方应当向甲方支付合同项下的违约金或赔偿金时，甲方有权从履约保证金中予以扣除。</w:t>
      </w:r>
      <w:bookmarkEnd w:id="33"/>
    </w:p>
    <w:bookmarkEnd w:id="28"/>
    <w:bookmarkEnd w:id="29"/>
    <w:bookmarkEnd w:id="30"/>
    <w:bookmarkEnd w:id="31"/>
    <w:bookmarkEnd w:id="32"/>
    <w:p w14:paraId="5D12853F">
      <w:pPr>
        <w:adjustRightInd w:val="0"/>
        <w:spacing w:line="530" w:lineRule="exact"/>
        <w:ind w:firstLine="640" w:firstLineChars="200"/>
        <w:rPr>
          <w:rFonts w:ascii="仿宋_GB2312" w:eastAsia="仿宋_GB2312"/>
          <w:sz w:val="32"/>
          <w:szCs w:val="32"/>
        </w:rPr>
      </w:pPr>
      <w:r>
        <w:rPr>
          <w:rFonts w:hint="eastAsia" w:ascii="仿宋_GB2312" w:eastAsia="仿宋_GB2312"/>
          <w:sz w:val="32"/>
          <w:szCs w:val="32"/>
        </w:rPr>
        <w:t>（四）质量保证金从履约保证金中扣留。在质保期内，物资因乙方责任产生质量问题未予以补救，或者予以补救后仍然造成损失的，甲方有权直接从质量保证金扣除相应损失。</w:t>
      </w:r>
    </w:p>
    <w:p w14:paraId="2A8E9D7D">
      <w:pPr>
        <w:adjustRightInd w:val="0"/>
        <w:spacing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（五）质量保证金在质保期满且无质量问题时全额无息退还。本合同约定的质保期满，甲方接到乙方质量保证金返还申请后，办理质量保证金返还。</w:t>
      </w:r>
    </w:p>
    <w:p w14:paraId="3C3C8D3E">
      <w:pPr>
        <w:pStyle w:val="11"/>
        <w:spacing w:line="560" w:lineRule="exact"/>
        <w:ind w:firstLine="640"/>
        <w:rPr>
          <w:rFonts w:ascii="黑体" w:hAnsi="黑体" w:eastAsia="黑体" w:cs="黑体"/>
          <w:kern w:val="2"/>
          <w:sz w:val="32"/>
          <w:szCs w:val="32"/>
        </w:rPr>
      </w:pPr>
      <w:r>
        <w:rPr>
          <w:rFonts w:hint="eastAsia" w:ascii="黑体" w:hAnsi="黑体" w:eastAsia="黑体" w:cs="黑体"/>
          <w:kern w:val="2"/>
          <w:sz w:val="32"/>
          <w:szCs w:val="32"/>
        </w:rPr>
        <w:t>★七、资金结算</w:t>
      </w:r>
    </w:p>
    <w:p w14:paraId="7A034C47">
      <w:pPr>
        <w:pStyle w:val="2"/>
        <w:adjustRightInd w:val="0"/>
        <w:spacing w:after="0" w:line="530" w:lineRule="exact"/>
        <w:ind w:firstLine="640" w:firstLineChars="200"/>
        <w:rPr>
          <w:rFonts w:ascii="仿宋_GB2312" w:hAnsi="仿宋" w:eastAsia="仿宋_GB2312"/>
          <w:sz w:val="32"/>
          <w:szCs w:val="32"/>
        </w:rPr>
      </w:pPr>
      <w:r>
        <w:rPr>
          <w:rFonts w:hint="eastAsia" w:ascii="仿宋_GB2312" w:hAnsi="仿宋" w:eastAsia="仿宋_GB2312" w:cstheme="minorBidi"/>
          <w:bCs/>
          <w:sz w:val="32"/>
          <w:szCs w:val="32"/>
          <w:lang w:val="zh-CN"/>
        </w:rPr>
        <w:t>（一）中标方中标价即为合同价，合同价包含货款、利润、税金、装卸载费、运杂费、安装费、人员培训费、售后服务费及相应的不可预测风险等一切费用。本项目不付预付款，待所有硬件设备到货并安装调试完成，验收合格后支付合同金额的100%。</w:t>
      </w:r>
    </w:p>
    <w:p w14:paraId="6B9227F1">
      <w:pPr>
        <w:pStyle w:val="2"/>
        <w:adjustRightInd w:val="0"/>
        <w:spacing w:after="0" w:line="530" w:lineRule="exact"/>
        <w:ind w:firstLine="640" w:firstLineChars="200"/>
        <w:rPr>
          <w:rFonts w:ascii="仿宋_GB2312" w:hAnsi="仿宋" w:eastAsia="仿宋_GB2312"/>
          <w:sz w:val="32"/>
          <w:szCs w:val="32"/>
        </w:rPr>
      </w:pPr>
      <w:r>
        <w:rPr>
          <w:rFonts w:hint="eastAsia" w:ascii="仿宋_GB2312" w:hAnsi="仿宋" w:eastAsia="仿宋_GB2312"/>
          <w:kern w:val="0"/>
          <w:sz w:val="32"/>
          <w:szCs w:val="32"/>
        </w:rPr>
        <w:t>（二）乙方应</w:t>
      </w:r>
      <w:r>
        <w:rPr>
          <w:rFonts w:hint="eastAsia" w:ascii="仿宋_GB2312" w:hAnsi="仿宋" w:eastAsia="仿宋_GB2312"/>
          <w:sz w:val="32"/>
          <w:szCs w:val="32"/>
        </w:rPr>
        <w:t>当</w:t>
      </w:r>
      <w:r>
        <w:rPr>
          <w:rFonts w:hint="eastAsia" w:ascii="仿宋_GB2312" w:hAnsi="仿宋" w:eastAsia="仿宋_GB2312"/>
          <w:kern w:val="0"/>
          <w:sz w:val="32"/>
          <w:szCs w:val="32"/>
        </w:rPr>
        <w:t>向甲方支付合同项下的违约金或赔偿金时，甲方有权从上述任何一笔应</w:t>
      </w:r>
      <w:r>
        <w:rPr>
          <w:rFonts w:hint="eastAsia" w:ascii="仿宋_GB2312" w:hAnsi="仿宋" w:eastAsia="仿宋_GB2312"/>
          <w:sz w:val="32"/>
          <w:szCs w:val="32"/>
        </w:rPr>
        <w:t>当</w:t>
      </w:r>
      <w:r>
        <w:rPr>
          <w:rFonts w:hint="eastAsia" w:ascii="仿宋_GB2312" w:hAnsi="仿宋" w:eastAsia="仿宋_GB2312"/>
          <w:kern w:val="0"/>
          <w:sz w:val="32"/>
          <w:szCs w:val="32"/>
        </w:rPr>
        <w:t>付款中予以扣除。</w:t>
      </w:r>
    </w:p>
    <w:p w14:paraId="611334F8">
      <w:pPr>
        <w:pStyle w:val="2"/>
        <w:adjustRightInd w:val="0"/>
        <w:spacing w:after="0"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（三）在结算过程中，乙方出具虚假发票或其他虚假材料的，按照提供虚假材料情况处理。</w:t>
      </w:r>
    </w:p>
    <w:p w14:paraId="38E40801">
      <w:pPr>
        <w:pStyle w:val="2"/>
        <w:adjustRightInd w:val="0"/>
        <w:spacing w:after="0"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（四）未经军队采购平台合同管理信息系统编号或者未按照要求进行备案的物资工程服务采购合同书，不得办理支付手续。</w:t>
      </w:r>
    </w:p>
    <w:p w14:paraId="1F13D626">
      <w:pPr>
        <w:pStyle w:val="2"/>
        <w:spacing w:after="0"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若后期军队审计部门、军队采购管理部门、纪检监察部门等职能部门抽查，提出价格虚高等问题，乙方需无条件配合甲方进行调查，积极提供相关审价资料，若审价结果低于合同价，乙方需无条件退还虚高款项；若审价结果高于合同价，按合同价进行结算。</w:t>
      </w:r>
    </w:p>
    <w:p w14:paraId="570B23BB">
      <w:pPr>
        <w:spacing w:line="560" w:lineRule="exact"/>
        <w:ind w:firstLine="645"/>
        <w:rPr>
          <w:rFonts w:ascii="黑体" w:hAnsi="黑体" w:eastAsia="黑体" w:cs="黑体"/>
          <w:sz w:val="32"/>
          <w:szCs w:val="32"/>
        </w:rPr>
      </w:pPr>
      <w:r>
        <w:rPr>
          <w:rFonts w:hint="eastAsia" w:ascii="黑体" w:hAnsi="黑体" w:eastAsia="黑体" w:cs="黑体"/>
          <w:sz w:val="32"/>
          <w:szCs w:val="32"/>
        </w:rPr>
        <w:t>★八、知识产权</w:t>
      </w:r>
    </w:p>
    <w:p w14:paraId="6166920D">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乙方应当保证甲方在使用物资和服务时不受第三方提出侵犯其知识产权的指控，对此甲方不承担任何连带责任或赔偿责任。</w:t>
      </w:r>
    </w:p>
    <w:p w14:paraId="36FDE3C0">
      <w:pPr>
        <w:pStyle w:val="3"/>
        <w:keepNext w:val="0"/>
        <w:keepLines w:val="0"/>
        <w:adjustRightInd w:val="0"/>
        <w:spacing w:before="0" w:after="0" w:line="530" w:lineRule="exact"/>
        <w:ind w:firstLine="643" w:firstLineChars="200"/>
        <w:rPr>
          <w:rFonts w:ascii="黑体" w:hAnsi="黑体" w:cs="黑体"/>
          <w:b w:val="0"/>
          <w:bCs w:val="0"/>
          <w:sz w:val="32"/>
          <w:szCs w:val="32"/>
        </w:rPr>
      </w:pPr>
      <w:r>
        <w:rPr>
          <w:rFonts w:hint="eastAsia" w:ascii="黑体" w:hAnsi="黑体" w:cs="黑体"/>
          <w:sz w:val="32"/>
          <w:szCs w:val="32"/>
        </w:rPr>
        <w:t>★</w:t>
      </w:r>
      <w:r>
        <w:rPr>
          <w:rFonts w:hint="eastAsia" w:ascii="黑体" w:hAnsi="黑体" w:cs="黑体"/>
          <w:b w:val="0"/>
          <w:bCs w:val="0"/>
          <w:sz w:val="32"/>
          <w:szCs w:val="32"/>
        </w:rPr>
        <w:t>九、</w:t>
      </w:r>
      <w:bookmarkStart w:id="34" w:name="_Hlk129326502"/>
      <w:r>
        <w:rPr>
          <w:rFonts w:hint="eastAsia" w:ascii="黑体" w:hAnsi="黑体" w:cs="黑体"/>
          <w:b w:val="0"/>
          <w:bCs w:val="0"/>
          <w:sz w:val="32"/>
          <w:szCs w:val="32"/>
        </w:rPr>
        <w:t>物资编目编码、打码贴签要求</w:t>
      </w:r>
      <w:bookmarkEnd w:id="34"/>
    </w:p>
    <w:p w14:paraId="45170D39">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一）乙方应当配合甲方完成合同内采购物资的编目编码工作，按照统一要求，提供物资相关数据信息，配合甲方做好编目数据采集工作。涉密信息应当按照国家、军队安全保密有关规定进行处理，确保不发生失泄密问题。</w:t>
      </w:r>
    </w:p>
    <w:p w14:paraId="206320B2">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14:paraId="15EA101A">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2.乙方应当配合甲方或承担军队资产编目编码职能的单位，补充完善编目数据。</w:t>
      </w:r>
    </w:p>
    <w:p w14:paraId="4F787B34">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3.乙方通过甲方接收赋码后的编目数据包，导入编目用户终端软件，获取品种码，正确填入合同文本，用于打码贴签、验收结算等。</w:t>
      </w:r>
    </w:p>
    <w:p w14:paraId="5C1B57D9">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4.甲方有单件管理需要的，乙方应当依据规则或示例程序自行生成单件码。</w:t>
      </w:r>
    </w:p>
    <w:p w14:paraId="2006177F">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（二）乙方应当按照统一要求在物资交付前完成打码贴签工作。</w:t>
      </w:r>
    </w:p>
    <w:p w14:paraId="24C019B0">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1.物资标识标签格式、张挂位置、材质、码制等内容，应当符合军队有关要求。</w:t>
      </w:r>
    </w:p>
    <w:p w14:paraId="78A63167">
      <w:pPr>
        <w:adjustRightInd w:val="0"/>
        <w:spacing w:line="530" w:lineRule="exact"/>
        <w:ind w:firstLine="640" w:firstLineChars="200"/>
        <w:rPr>
          <w:rFonts w:ascii="仿宋_GB2312" w:eastAsia="仿宋_GB2312"/>
          <w:bCs/>
          <w:sz w:val="32"/>
          <w:szCs w:val="32"/>
        </w:rPr>
      </w:pPr>
      <w:r>
        <w:rPr>
          <w:rFonts w:hint="eastAsia" w:ascii="仿宋_GB2312" w:eastAsia="仿宋_GB2312"/>
          <w:bCs/>
          <w:sz w:val="32"/>
          <w:szCs w:val="32"/>
        </w:rPr>
        <w:t>2.物资标识标签上的品种码应当与合同物资明细表中的品种码完全一致。</w:t>
      </w:r>
    </w:p>
    <w:p w14:paraId="1AC22CAA">
      <w:pPr>
        <w:adjustRightInd w:val="0"/>
        <w:spacing w:line="530" w:lineRule="exact"/>
        <w:ind w:firstLine="640" w:firstLineChars="200"/>
        <w:rPr>
          <w:rFonts w:ascii="仿宋_GB2312" w:eastAsia="仿宋_GB2312"/>
          <w:bCs/>
          <w:sz w:val="32"/>
          <w:szCs w:val="32"/>
          <w:highlight w:val="yellow"/>
        </w:rPr>
      </w:pPr>
      <w:r>
        <w:rPr>
          <w:rFonts w:hint="eastAsia" w:ascii="仿宋_GB2312" w:eastAsia="仿宋_GB2312"/>
          <w:bCs/>
          <w:sz w:val="32"/>
          <w:szCs w:val="32"/>
        </w:rPr>
        <w:t>（三）物资编目数据填报和打码贴签情况，列入出厂检验、到货检验内容，编目数据、标识标签不符合规范要求的，不予通过，不得进入物资储存单位。乙方应当在7日内完成整改，并重新进行检验。</w:t>
      </w:r>
    </w:p>
    <w:p w14:paraId="26382D22">
      <w:pPr>
        <w:spacing w:line="560" w:lineRule="exact"/>
        <w:ind w:firstLine="645"/>
        <w:rPr>
          <w:rFonts w:ascii="黑体" w:hAnsi="黑体" w:eastAsia="黑体" w:cs="黑体"/>
          <w:sz w:val="32"/>
          <w:szCs w:val="32"/>
        </w:rPr>
      </w:pPr>
      <w:r>
        <w:rPr>
          <w:rFonts w:hint="eastAsia" w:ascii="黑体" w:hAnsi="黑体" w:eastAsia="黑体" w:cs="黑体"/>
          <w:sz w:val="32"/>
          <w:szCs w:val="32"/>
        </w:rPr>
        <w:t>★十、合同履约要求</w:t>
      </w:r>
    </w:p>
    <w:p w14:paraId="54282DBE">
      <w:pPr>
        <w:spacing w:line="560" w:lineRule="exact"/>
        <w:ind w:firstLine="645"/>
        <w:rPr>
          <w:rFonts w:ascii="仿宋_GB2312" w:hAnsi="黑体" w:eastAsia="仿宋_GB2312" w:cs="黑体"/>
          <w:b/>
          <w:sz w:val="32"/>
          <w:szCs w:val="32"/>
        </w:rPr>
      </w:pPr>
      <w:r>
        <w:rPr>
          <w:rFonts w:hint="eastAsia" w:ascii="仿宋_GB2312" w:hAnsi="黑体" w:eastAsia="仿宋_GB2312" w:cs="黑体"/>
          <w:b/>
          <w:sz w:val="32"/>
          <w:szCs w:val="32"/>
        </w:rPr>
        <w:t>（一）违约责任</w:t>
      </w:r>
    </w:p>
    <w:p w14:paraId="246FBB4D">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1.乙方未经甲方同意而延期交付时，应当向甲方偿付违约金，违约金每天按违约金额的</w:t>
      </w:r>
      <w:r>
        <w:rPr>
          <w:rFonts w:hint="eastAsia" w:ascii="仿宋_GB2312" w:hAnsi="仿宋" w:eastAsia="仿宋_GB2312"/>
          <w:bCs/>
          <w:sz w:val="32"/>
          <w:szCs w:val="32"/>
          <w:u w:val="single"/>
        </w:rPr>
        <w:t xml:space="preserve">  5‰  </w:t>
      </w:r>
      <w:r>
        <w:rPr>
          <w:rFonts w:hint="eastAsia" w:ascii="仿宋_GB2312" w:hAnsi="楷体_GB2312" w:eastAsia="仿宋_GB2312" w:cs="楷体_GB2312"/>
          <w:bCs/>
          <w:sz w:val="32"/>
          <w:szCs w:val="32"/>
        </w:rPr>
        <w:t>（</w:t>
      </w:r>
      <w:bookmarkStart w:id="35" w:name="_Hlk144131610"/>
      <w:r>
        <w:rPr>
          <w:rFonts w:hint="eastAsia" w:ascii="仿宋_GB2312" w:hAnsi="楷体_GB2312" w:eastAsia="仿宋_GB2312" w:cs="楷体_GB2312"/>
          <w:bCs/>
          <w:sz w:val="32"/>
          <w:szCs w:val="32"/>
        </w:rPr>
        <w:t>通常为1‰-1%，可据实设定</w:t>
      </w:r>
      <w:bookmarkEnd w:id="35"/>
      <w:r>
        <w:rPr>
          <w:rFonts w:hint="eastAsia" w:ascii="仿宋_GB2312" w:hAnsi="楷体_GB2312" w:eastAsia="仿宋_GB2312" w:cs="楷体_GB2312"/>
          <w:bCs/>
          <w:sz w:val="32"/>
          <w:szCs w:val="32"/>
        </w:rPr>
        <w:t>）</w:t>
      </w:r>
      <w:r>
        <w:rPr>
          <w:rFonts w:hint="eastAsia" w:ascii="仿宋_GB2312" w:hAnsi="仿宋" w:eastAsia="仿宋_GB2312"/>
          <w:bCs/>
          <w:sz w:val="32"/>
          <w:szCs w:val="32"/>
        </w:rPr>
        <w:t>计算，违约金最高限额为违约金额的</w:t>
      </w:r>
      <w:r>
        <w:rPr>
          <w:rFonts w:hint="eastAsia" w:ascii="仿宋_GB2312" w:hAnsi="仿宋" w:eastAsia="仿宋_GB2312"/>
          <w:bCs/>
          <w:sz w:val="32"/>
          <w:szCs w:val="32"/>
          <w:u w:val="single"/>
        </w:rPr>
        <w:t xml:space="preserve">  5%  </w:t>
      </w:r>
      <w:r>
        <w:rPr>
          <w:rFonts w:hint="eastAsia" w:ascii="仿宋_GB2312" w:hAnsi="仿宋" w:eastAsia="仿宋_GB2312" w:cs="仿宋_GB2312"/>
          <w:bCs/>
          <w:sz w:val="32"/>
          <w:szCs w:val="32"/>
          <w:u w:val="single"/>
        </w:rPr>
        <w:t>（</w:t>
      </w:r>
      <w:bookmarkStart w:id="36" w:name="_Hlk144131592"/>
      <w:r>
        <w:rPr>
          <w:rFonts w:hint="eastAsia" w:ascii="仿宋_GB2312" w:hAnsi="楷体_GB2312" w:eastAsia="仿宋_GB2312" w:cs="楷体_GB2312"/>
          <w:bCs/>
          <w:sz w:val="32"/>
          <w:szCs w:val="32"/>
        </w:rPr>
        <w:t>通常为5%-10%，</w:t>
      </w:r>
      <w:bookmarkEnd w:id="36"/>
      <w:r>
        <w:rPr>
          <w:rFonts w:hint="eastAsia" w:ascii="仿宋_GB2312" w:hAnsi="楷体_GB2312" w:eastAsia="仿宋_GB2312" w:cs="楷体_GB2312"/>
          <w:bCs/>
          <w:sz w:val="32"/>
          <w:szCs w:val="32"/>
        </w:rPr>
        <w:t>可据实设定）</w:t>
      </w:r>
      <w:r>
        <w:rPr>
          <w:rFonts w:hint="eastAsia" w:ascii="仿宋_GB2312" w:eastAsia="仿宋_GB2312"/>
          <w:bCs/>
          <w:sz w:val="32"/>
          <w:szCs w:val="32"/>
        </w:rPr>
        <w:t>。</w:t>
      </w:r>
      <w:r>
        <w:rPr>
          <w:rFonts w:hint="eastAsia" w:ascii="仿宋_GB2312" w:hAnsi="仿宋" w:eastAsia="仿宋_GB2312"/>
          <w:bCs/>
          <w:sz w:val="32"/>
          <w:szCs w:val="32"/>
        </w:rPr>
        <w:t>如果达到违约金最高限额时仍不能交付，或因延期交付影响甲方任务实施，甲方可以终止合同，而由此给甲方造成的实际损失，乙方应</w:t>
      </w:r>
      <w:r>
        <w:rPr>
          <w:rFonts w:hint="eastAsia" w:ascii="仿宋_GB2312" w:hAnsi="仿宋" w:eastAsia="仿宋_GB2312"/>
          <w:sz w:val="32"/>
          <w:szCs w:val="32"/>
        </w:rPr>
        <w:t>当</w:t>
      </w:r>
      <w:r>
        <w:rPr>
          <w:rFonts w:hint="eastAsia" w:ascii="仿宋_GB2312" w:hAnsi="仿宋" w:eastAsia="仿宋_GB2312"/>
          <w:bCs/>
          <w:sz w:val="32"/>
          <w:szCs w:val="32"/>
        </w:rPr>
        <w:t>给予足额赔偿。</w:t>
      </w:r>
    </w:p>
    <w:p w14:paraId="6D713450">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乙方未按合同约定履行义务或产品技术性能指标不达标而给甲方或产品使用单位造成损失的，乙方应按损失金额予以赔偿。因甲方不具备接收条件或拒绝接收，致使乙方无法按期交付并造成损失的，甲方应按损失金额予以赔偿。</w:t>
      </w:r>
    </w:p>
    <w:p w14:paraId="2AF0DBDF">
      <w:pPr>
        <w:adjustRightInd w:val="0"/>
        <w:spacing w:line="530" w:lineRule="exact"/>
        <w:ind w:firstLine="640" w:firstLineChars="200"/>
        <w:rPr>
          <w:rFonts w:ascii="仿宋_GB2312" w:hAnsi="仿宋" w:eastAsia="仿宋_GB2312"/>
          <w:bCs/>
          <w:sz w:val="32"/>
          <w:szCs w:val="32"/>
        </w:rPr>
      </w:pPr>
      <w:bookmarkStart w:id="37" w:name="_Hlk129349156"/>
      <w:r>
        <w:rPr>
          <w:rFonts w:hint="eastAsia" w:ascii="仿宋_GB2312" w:hAnsi="仿宋" w:eastAsia="仿宋_GB2312"/>
          <w:bCs/>
          <w:sz w:val="32"/>
          <w:szCs w:val="32"/>
        </w:rPr>
        <w:t>3.甲方</w:t>
      </w:r>
      <w:bookmarkEnd w:id="37"/>
      <w:r>
        <w:rPr>
          <w:rFonts w:hint="eastAsia" w:ascii="仿宋_GB2312" w:hAnsi="仿宋" w:eastAsia="仿宋_GB2312"/>
          <w:bCs/>
          <w:sz w:val="32"/>
          <w:szCs w:val="32"/>
        </w:rPr>
        <w:t>需按约定及时足额支付货款，未按约定及时足额支付货款时，甲方向乙方偿付违约金。每迟付一天按应付款金额的</w:t>
      </w:r>
      <w:r>
        <w:rPr>
          <w:rFonts w:hint="eastAsia" w:ascii="仿宋_GB2312" w:hAnsi="仿宋" w:eastAsia="仿宋_GB2312"/>
          <w:bCs/>
          <w:sz w:val="32"/>
          <w:szCs w:val="32"/>
          <w:u w:val="single"/>
        </w:rPr>
        <w:t xml:space="preserve"> 1‰   </w:t>
      </w:r>
      <w:r>
        <w:rPr>
          <w:rFonts w:hint="eastAsia" w:ascii="仿宋_GB2312" w:hAnsi="仿宋" w:eastAsia="仿宋_GB2312"/>
          <w:bCs/>
          <w:sz w:val="32"/>
          <w:szCs w:val="32"/>
        </w:rPr>
        <w:t>向乙方偿付违约金，违约金最高限额为应付款金额的</w:t>
      </w:r>
      <w:r>
        <w:rPr>
          <w:rFonts w:hint="eastAsia" w:ascii="仿宋_GB2312" w:hAnsi="仿宋" w:eastAsia="仿宋_GB2312"/>
          <w:bCs/>
          <w:sz w:val="32"/>
          <w:szCs w:val="32"/>
          <w:u w:val="single"/>
        </w:rPr>
        <w:t xml:space="preserve"> 5%   </w:t>
      </w:r>
      <w:r>
        <w:rPr>
          <w:rFonts w:hint="eastAsia" w:ascii="仿宋_GB2312" w:hAnsi="仿宋" w:eastAsia="仿宋_GB2312"/>
          <w:bCs/>
          <w:sz w:val="32"/>
          <w:szCs w:val="32"/>
        </w:rPr>
        <w:t>。</w:t>
      </w:r>
    </w:p>
    <w:p w14:paraId="752FC8C2">
      <w:pPr>
        <w:adjustRightInd w:val="0"/>
        <w:spacing w:line="53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4.如因不可抗力事件导致一方无法履行合同，该方应立即书面通知对方，并在合理期限内提供权威机构出具的证明。受影响方应尽力减轻不可抗力事件所造成的影响。如法律对不可抗力有其他规定，或合同迟延履行后发生不可抗力事件，本条款不免除违约方的责任。</w:t>
      </w:r>
    </w:p>
    <w:p w14:paraId="4535B702">
      <w:pPr>
        <w:spacing w:line="560" w:lineRule="exact"/>
        <w:ind w:firstLine="645"/>
        <w:rPr>
          <w:rFonts w:ascii="仿宋_GB2312" w:hAnsi="黑体" w:eastAsia="仿宋_GB2312" w:cs="黑体"/>
          <w:b/>
          <w:sz w:val="32"/>
          <w:szCs w:val="32"/>
        </w:rPr>
      </w:pPr>
      <w:r>
        <w:rPr>
          <w:rFonts w:hint="eastAsia" w:ascii="仿宋_GB2312" w:hAnsi="黑体" w:eastAsia="仿宋_GB2312" w:cs="黑体"/>
          <w:b/>
          <w:sz w:val="32"/>
          <w:szCs w:val="32"/>
        </w:rPr>
        <w:t>（二）争议处理</w:t>
      </w:r>
    </w:p>
    <w:p w14:paraId="38BA9D5F">
      <w:pPr>
        <w:adjustRightInd w:val="0"/>
        <w:spacing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合同履行过程中，发生争议时，甲方和乙方协商解决。协商不一致的，甲方或者乙方向采购机构负责合同履约的部门反映情况，请求第一次调解处理；第一次调解不成功的，向军级单位采购管理部门或者同等权限的采购管理部门请求第二次调解处理。 </w:t>
      </w:r>
    </w:p>
    <w:p w14:paraId="6A341096">
      <w:pPr>
        <w:adjustRightInd w:val="0"/>
        <w:spacing w:line="530" w:lineRule="exact"/>
        <w:ind w:firstLine="640" w:firstLineChars="200"/>
        <w:rPr>
          <w:rFonts w:ascii="黑体" w:hAnsi="黑体" w:eastAsia="黑体" w:cs="黑体"/>
          <w:sz w:val="32"/>
          <w:szCs w:val="32"/>
        </w:rPr>
      </w:pPr>
      <w:r>
        <w:rPr>
          <w:rFonts w:hint="eastAsia" w:ascii="仿宋_GB2312" w:hAnsi="仿宋" w:eastAsia="仿宋_GB2312"/>
          <w:sz w:val="32"/>
          <w:szCs w:val="32"/>
        </w:rPr>
        <w:t xml:space="preserve"> 调节不成功的，甲方或者乙方向甲方所在地仲裁机构提起仲裁或向甲方所在地人民法院提起诉讼。诉讼费由承担责任的一方承担。在诉讼期间，除正在诉讼的部分外，合同的其他部分应继续执行。</w:t>
      </w:r>
    </w:p>
    <w:p w14:paraId="7D1FC423">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crosoftYaHei-Bold">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DC"/>
    <w:rsid w:val="000021DC"/>
    <w:rsid w:val="000111FD"/>
    <w:rsid w:val="00027597"/>
    <w:rsid w:val="00060D38"/>
    <w:rsid w:val="00096D3D"/>
    <w:rsid w:val="000D2365"/>
    <w:rsid w:val="0012004D"/>
    <w:rsid w:val="00162432"/>
    <w:rsid w:val="00167802"/>
    <w:rsid w:val="00180859"/>
    <w:rsid w:val="001A0A44"/>
    <w:rsid w:val="001B3B3D"/>
    <w:rsid w:val="001D1908"/>
    <w:rsid w:val="002573AC"/>
    <w:rsid w:val="0026005E"/>
    <w:rsid w:val="002863E7"/>
    <w:rsid w:val="0029114B"/>
    <w:rsid w:val="002C7EB8"/>
    <w:rsid w:val="003337B0"/>
    <w:rsid w:val="00412CD7"/>
    <w:rsid w:val="00482016"/>
    <w:rsid w:val="00482058"/>
    <w:rsid w:val="0049661B"/>
    <w:rsid w:val="004A59E6"/>
    <w:rsid w:val="004D1BB1"/>
    <w:rsid w:val="004E25CD"/>
    <w:rsid w:val="004E2EE8"/>
    <w:rsid w:val="00514802"/>
    <w:rsid w:val="0051765B"/>
    <w:rsid w:val="005545E2"/>
    <w:rsid w:val="005A76D0"/>
    <w:rsid w:val="005C1E60"/>
    <w:rsid w:val="006343FF"/>
    <w:rsid w:val="006403C1"/>
    <w:rsid w:val="00657543"/>
    <w:rsid w:val="00692116"/>
    <w:rsid w:val="00697A5B"/>
    <w:rsid w:val="006C3068"/>
    <w:rsid w:val="006E12A9"/>
    <w:rsid w:val="006F6C64"/>
    <w:rsid w:val="00776188"/>
    <w:rsid w:val="00783A48"/>
    <w:rsid w:val="00785FEC"/>
    <w:rsid w:val="008274A4"/>
    <w:rsid w:val="00830077"/>
    <w:rsid w:val="00847018"/>
    <w:rsid w:val="0087690D"/>
    <w:rsid w:val="008A71ED"/>
    <w:rsid w:val="008A7835"/>
    <w:rsid w:val="008B3B73"/>
    <w:rsid w:val="008E2269"/>
    <w:rsid w:val="008F5765"/>
    <w:rsid w:val="008F7D6E"/>
    <w:rsid w:val="009009D6"/>
    <w:rsid w:val="00915EBC"/>
    <w:rsid w:val="009672D4"/>
    <w:rsid w:val="00A13588"/>
    <w:rsid w:val="00A65275"/>
    <w:rsid w:val="00AD26AC"/>
    <w:rsid w:val="00AD47FC"/>
    <w:rsid w:val="00B345CD"/>
    <w:rsid w:val="00B813BD"/>
    <w:rsid w:val="00B9088D"/>
    <w:rsid w:val="00BC6654"/>
    <w:rsid w:val="00C0141C"/>
    <w:rsid w:val="00C16618"/>
    <w:rsid w:val="00C631AE"/>
    <w:rsid w:val="00C85FF3"/>
    <w:rsid w:val="00CE0B48"/>
    <w:rsid w:val="00D1202A"/>
    <w:rsid w:val="00D24221"/>
    <w:rsid w:val="00D41861"/>
    <w:rsid w:val="00DB732A"/>
    <w:rsid w:val="00DD12F6"/>
    <w:rsid w:val="00E34EBC"/>
    <w:rsid w:val="00E56ACC"/>
    <w:rsid w:val="00E75029"/>
    <w:rsid w:val="00E97568"/>
    <w:rsid w:val="00EA7B42"/>
    <w:rsid w:val="00EB6D1B"/>
    <w:rsid w:val="00EC66A0"/>
    <w:rsid w:val="00ED06DA"/>
    <w:rsid w:val="00EF1311"/>
    <w:rsid w:val="00F206EA"/>
    <w:rsid w:val="00F41441"/>
    <w:rsid w:val="00F53713"/>
    <w:rsid w:val="00FC09B7"/>
    <w:rsid w:val="00FC1DE7"/>
    <w:rsid w:val="00FD7C8C"/>
    <w:rsid w:val="04E22131"/>
    <w:rsid w:val="19F75A13"/>
    <w:rsid w:val="3D2D7550"/>
    <w:rsid w:val="57320C1F"/>
    <w:rsid w:val="68667860"/>
    <w:rsid w:val="6B8A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link w:val="14"/>
    <w:qFormat/>
    <w:uiPriority w:val="0"/>
    <w:pPr>
      <w:keepNext/>
      <w:keepLines/>
      <w:spacing w:before="280" w:after="290" w:line="376" w:lineRule="auto"/>
      <w:outlineLvl w:val="3"/>
    </w:pPr>
    <w:rPr>
      <w:rFonts w:ascii="Arial" w:hAnsi="Arial" w:eastAsia="黑体" w:cs="仿宋_GB2312"/>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0"/>
    <w:pPr>
      <w:spacing w:after="120"/>
    </w:pPr>
    <w:rPr>
      <w:rFonts w:ascii="Calibri" w:hAnsi="Calibri" w:eastAsia="宋体" w:cs="Times New Roman"/>
      <w:szCs w:val="24"/>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tabs>
        <w:tab w:val="center" w:pos="4153"/>
        <w:tab w:val="right" w:pos="8306"/>
      </w:tabs>
      <w:snapToGrid w:val="0"/>
      <w:jc w:val="center"/>
    </w:pPr>
    <w:rPr>
      <w:sz w:val="18"/>
      <w:szCs w:val="18"/>
    </w:rPr>
  </w:style>
  <w:style w:type="character" w:customStyle="1" w:styleId="8">
    <w:name w:val="正文文本 字符"/>
    <w:basedOn w:val="7"/>
    <w:link w:val="2"/>
    <w:qFormat/>
    <w:uiPriority w:val="0"/>
    <w:rPr>
      <w:rFonts w:ascii="Calibri" w:hAnsi="Calibri" w:eastAsia="宋体" w:cs="Times New Roman"/>
      <w:szCs w:val="24"/>
    </w:rPr>
  </w:style>
  <w:style w:type="paragraph" w:customStyle="1" w:styleId="9">
    <w:name w:val="_Style 24"/>
    <w:basedOn w:val="1"/>
    <w:qFormat/>
    <w:uiPriority w:val="34"/>
    <w:pPr>
      <w:ind w:firstLine="420" w:firstLineChars="200"/>
    </w:pPr>
    <w:rPr>
      <w:rFonts w:ascii="Calibri" w:hAnsi="Calibri" w:eastAsia="宋体" w:cs="Times New Roman"/>
    </w:rPr>
  </w:style>
  <w:style w:type="paragraph" w:styleId="10">
    <w:name w:val="List Paragraph"/>
    <w:basedOn w:val="1"/>
    <w:qFormat/>
    <w:uiPriority w:val="34"/>
    <w:pPr>
      <w:ind w:firstLine="420" w:firstLineChars="200"/>
    </w:pPr>
  </w:style>
  <w:style w:type="paragraph" w:customStyle="1" w:styleId="11">
    <w:name w:val="列出段落1"/>
    <w:basedOn w:val="1"/>
    <w:link w:val="12"/>
    <w:qFormat/>
    <w:uiPriority w:val="0"/>
    <w:pPr>
      <w:ind w:firstLine="420" w:firstLineChars="200"/>
    </w:pPr>
    <w:rPr>
      <w:rFonts w:ascii="Times New Roman" w:hAnsi="Times New Roman" w:eastAsia="宋体" w:cs="Times New Roman"/>
      <w:kern w:val="0"/>
      <w:sz w:val="24"/>
      <w:szCs w:val="24"/>
    </w:rPr>
  </w:style>
  <w:style w:type="character" w:customStyle="1" w:styleId="12">
    <w:name w:val="List Paragraph Char"/>
    <w:link w:val="11"/>
    <w:qFormat/>
    <w:locked/>
    <w:uiPriority w:val="0"/>
    <w:rPr>
      <w:rFonts w:ascii="Times New Roman" w:hAnsi="Times New Roman" w:eastAsia="宋体" w:cs="Times New Roman"/>
      <w:kern w:val="0"/>
      <w:sz w:val="24"/>
      <w:szCs w:val="24"/>
    </w:rPr>
  </w:style>
  <w:style w:type="character" w:customStyle="1" w:styleId="13">
    <w:name w:val="标题 4 字符"/>
    <w:basedOn w:val="7"/>
    <w:semiHidden/>
    <w:qFormat/>
    <w:uiPriority w:val="9"/>
    <w:rPr>
      <w:rFonts w:asciiTheme="majorHAnsi" w:hAnsiTheme="majorHAnsi" w:eastAsiaTheme="majorEastAsia" w:cstheme="majorBidi"/>
      <w:b/>
      <w:bCs/>
      <w:sz w:val="28"/>
      <w:szCs w:val="28"/>
    </w:rPr>
  </w:style>
  <w:style w:type="character" w:customStyle="1" w:styleId="14">
    <w:name w:val="标题 4 字符1"/>
    <w:basedOn w:val="7"/>
    <w:link w:val="3"/>
    <w:qFormat/>
    <w:uiPriority w:val="0"/>
    <w:rPr>
      <w:rFonts w:ascii="Arial" w:hAnsi="Arial" w:eastAsia="黑体" w:cs="仿宋_GB2312"/>
      <w:b/>
      <w:bCs/>
      <w:sz w:val="28"/>
      <w:szCs w:val="28"/>
    </w:rPr>
  </w:style>
  <w:style w:type="character" w:customStyle="1" w:styleId="15">
    <w:name w:val="页眉 字符"/>
    <w:basedOn w:val="7"/>
    <w:link w:val="5"/>
    <w:qFormat/>
    <w:uiPriority w:val="99"/>
    <w:rPr>
      <w:kern w:val="2"/>
      <w:sz w:val="18"/>
      <w:szCs w:val="18"/>
    </w:rPr>
  </w:style>
  <w:style w:type="character" w:customStyle="1" w:styleId="16">
    <w:name w:val="页脚 字符"/>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1805</Words>
  <Characters>10292</Characters>
  <Lines>85</Lines>
  <Paragraphs>24</Paragraphs>
  <TotalTime>1</TotalTime>
  <ScaleCrop>false</ScaleCrop>
  <LinksUpToDate>false</LinksUpToDate>
  <CharactersWithSpaces>12073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2025-06-16T08:06:00Z</dcterms:created>
  <dc:creator>Administrator</dc:creator>
  <cp:lastModifiedBy>Administrator</cp:lastModifiedBy>
  <cp:lastPrinted>2025-06-20T03:01:00Z</cp:lastPrinted>
  <dcterms:modified xsi:type="dcterms:W3CDTF">2025-07-03T07:08:18Z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eyJoZGlkIjoiZGYwMDRhZDcwOTA3ZDdjNDIyMjc4OTgzZDA3ZjcyZDkifQ==</vt:lpwstr>
  </property>
  <property fmtid="{D5CDD505-2E9C-101B-9397-08002B2CF9AE}" pid="3" name="KSOProductBuildVer">
    <vt:lpwstr>2052-12.1.0.20305</vt:lpwstr>
  </property>
  <property fmtid="{D5CDD505-2E9C-101B-9397-08002B2CF9AE}" pid="4" name="ICV">
    <vt:lpwstr>07C384BD85F4499DB390ED6369A990EE_13</vt:lpwstr>
  </property>
</Properties>
</file>