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eastAsia" w:ascii="黑体" w:hAnsi="黑体" w:eastAsia="黑体"/>
          <w:kern w:val="2"/>
          <w:sz w:val="32"/>
          <w:szCs w:val="32"/>
          <w:lang w:val="en-US" w:eastAsia="zh-CN"/>
        </w:rPr>
      </w:pPr>
      <w:r>
        <w:rPr>
          <w:rFonts w:hint="eastAsia" w:ascii="黑体" w:hAnsi="黑体" w:eastAsia="黑体"/>
          <w:kern w:val="2"/>
          <w:sz w:val="32"/>
          <w:szCs w:val="32"/>
          <w:lang w:eastAsia="zh-CN"/>
        </w:rPr>
        <w:t>附件</w:t>
      </w:r>
      <w:r>
        <w:rPr>
          <w:rFonts w:hint="eastAsia" w:ascii="黑体" w:hAnsi="黑体" w:eastAsia="黑体"/>
          <w:kern w:val="2"/>
          <w:sz w:val="32"/>
          <w:szCs w:val="32"/>
          <w:lang w:val="en-US" w:eastAsia="zh-CN"/>
        </w:rPr>
        <w:t>1</w:t>
      </w:r>
    </w:p>
    <w:p>
      <w:pPr>
        <w:keepNext w:val="0"/>
        <w:keepLines w:val="0"/>
        <w:pageBreakBefore w:val="0"/>
        <w:widowControl w:val="0"/>
        <w:kinsoku/>
        <w:wordWrap/>
        <w:overflowPunct/>
        <w:topLinePunct w:val="0"/>
        <w:autoSpaceDE/>
        <w:autoSpaceDN/>
        <w:bidi w:val="0"/>
        <w:spacing w:line="579" w:lineRule="exact"/>
        <w:ind w:firstLine="630"/>
        <w:textAlignment w:val="auto"/>
        <w:rPr>
          <w:rFonts w:ascii="黑体" w:hAnsi="黑体" w:eastAsia="黑体"/>
          <w:szCs w:val="32"/>
        </w:rPr>
      </w:pPr>
      <w:r>
        <w:rPr>
          <w:rFonts w:hint="eastAsia" w:ascii="黑体" w:hAnsi="黑体" w:eastAsia="黑体"/>
          <w:szCs w:val="32"/>
        </w:rPr>
        <w:t>一、采购需求基本情况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lang w:val="en-US" w:eastAsia="zh-CN"/>
        </w:rPr>
      </w:pPr>
      <w:r>
        <w:rPr>
          <w:rFonts w:hint="eastAsia"/>
          <w:highlight w:val="none"/>
          <w:lang w:val="en-US" w:eastAsia="zh-CN"/>
        </w:rPr>
        <w:t>完善内科技能训练条件建设，为下一步更好开展全院内科体格检查考核，现需采购智慧AI群体化体格检查教学系统4套。</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
          <w:color w:val="000000"/>
          <w:szCs w:val="32"/>
        </w:rPr>
      </w:pPr>
      <w:r>
        <w:rPr>
          <w:rFonts w:hAnsi="黑体" w:eastAsia="黑体"/>
          <w:szCs w:val="32"/>
        </w:rPr>
        <w:t>二、采购预算</w:t>
      </w:r>
      <w:r>
        <w:rPr>
          <w:rFonts w:hint="eastAsia" w:hAnsi="黑体" w:eastAsia="黑体"/>
          <w:szCs w:val="32"/>
          <w:lang w:val="en-US" w:eastAsia="zh-CN"/>
        </w:rPr>
        <w:t>:</w:t>
      </w:r>
      <w:r>
        <w:rPr>
          <w:rFonts w:hint="eastAsia"/>
          <w:highlight w:val="none"/>
          <w:lang w:val="en-US" w:eastAsia="zh-CN"/>
        </w:rPr>
        <w:t>28万元</w:t>
      </w:r>
    </w:p>
    <w:p>
      <w:pPr>
        <w:spacing w:line="579" w:lineRule="exact"/>
        <w:ind w:firstLine="640" w:firstLineChars="200"/>
        <w:jc w:val="both"/>
        <w:rPr>
          <w:rFonts w:ascii="仿宋_GB2312" w:hAnsi="仿宋_GB2312" w:eastAsia="仿宋_GB2312" w:cs="仿宋_GB2312"/>
          <w:sz w:val="32"/>
          <w:szCs w:val="32"/>
        </w:rPr>
      </w:pPr>
      <w:r>
        <w:rPr>
          <w:rFonts w:hint="eastAsia" w:ascii="等线" w:hAnsi="黑体" w:eastAsia="黑体"/>
          <w:kern w:val="2"/>
          <w:sz w:val="32"/>
          <w:szCs w:val="32"/>
          <w:lang w:eastAsia="zh-CN"/>
        </w:rPr>
        <w:t>三、</w:t>
      </w:r>
      <w:r>
        <w:rPr>
          <w:rFonts w:hint="eastAsia" w:ascii="等线" w:hAnsi="黑体" w:eastAsia="黑体"/>
          <w:kern w:val="2"/>
          <w:sz w:val="32"/>
          <w:szCs w:val="32"/>
        </w:rPr>
        <w:t>供应商资格条件</w:t>
      </w:r>
    </w:p>
    <w:tbl>
      <w:tblPr>
        <w:tblStyle w:val="12"/>
        <w:tblW w:w="0" w:type="auto"/>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Layout w:type="autofit"/>
        <w:tblCellMar>
          <w:top w:w="0" w:type="dxa"/>
          <w:left w:w="102" w:type="dxa"/>
          <w:bottom w:w="142" w:type="dxa"/>
          <w:right w:w="107" w:type="dxa"/>
        </w:tblCellMar>
      </w:tblPr>
      <w:tblGrid>
        <w:gridCol w:w="429"/>
        <w:gridCol w:w="3131"/>
        <w:gridCol w:w="5494"/>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102" w:type="dxa"/>
            <w:bottom w:w="142" w:type="dxa"/>
            <w:right w:w="107" w:type="dxa"/>
          </w:tblCellMar>
        </w:tblPrEx>
        <w:trPr>
          <w:trHeight w:val="668"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黑体" w:hAnsi="黑体" w:eastAsia="黑体" w:cs="仿宋_GB2312"/>
                <w:sz w:val="22"/>
                <w:szCs w:val="24"/>
              </w:rPr>
            </w:pPr>
            <w:r>
              <w:rPr>
                <w:rFonts w:hint="eastAsia" w:ascii="黑体" w:hAnsi="黑体" w:eastAsia="黑体" w:cs="仿宋_GB2312"/>
                <w:sz w:val="22"/>
                <w:szCs w:val="24"/>
              </w:rPr>
              <w:t>序号</w:t>
            </w:r>
          </w:p>
        </w:tc>
        <w:tc>
          <w:tcPr>
            <w:tcW w:w="3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黑体" w:hAnsi="黑体" w:eastAsia="黑体" w:cs="仿宋_GB2312"/>
                <w:sz w:val="22"/>
                <w:szCs w:val="24"/>
              </w:rPr>
            </w:pPr>
            <w:r>
              <w:rPr>
                <w:rFonts w:hint="eastAsia" w:ascii="黑体" w:hAnsi="黑体" w:eastAsia="黑体" w:cs="仿宋_GB2312"/>
                <w:sz w:val="22"/>
                <w:szCs w:val="24"/>
              </w:rPr>
              <w:t>资格要求名称</w:t>
            </w:r>
          </w:p>
        </w:tc>
        <w:tc>
          <w:tcPr>
            <w:tcW w:w="5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黑体" w:hAnsi="黑体" w:eastAsia="黑体" w:cs="仿宋_GB2312"/>
                <w:sz w:val="22"/>
                <w:szCs w:val="24"/>
              </w:rPr>
            </w:pPr>
            <w:r>
              <w:rPr>
                <w:rFonts w:hint="eastAsia" w:ascii="黑体" w:hAnsi="黑体" w:eastAsia="黑体" w:cs="仿宋_GB2312"/>
                <w:sz w:val="22"/>
                <w:szCs w:val="24"/>
              </w:rPr>
              <w:t>资格要求详细说明</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102" w:type="dxa"/>
            <w:bottom w:w="142" w:type="dxa"/>
            <w:right w:w="107" w:type="dxa"/>
          </w:tblCellMar>
        </w:tblPrEx>
        <w:trPr>
          <w:trHeight w:val="2819"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1</w:t>
            </w:r>
          </w:p>
        </w:tc>
        <w:tc>
          <w:tcPr>
            <w:tcW w:w="3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营业执照或事业单位法人证书满足招标文件要求</w:t>
            </w:r>
          </w:p>
        </w:tc>
        <w:tc>
          <w:tcPr>
            <w:tcW w:w="5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投标供应商在资格证明文件中如有两个以上名称的，应当提供市场监管部门出具的其为同一单位书面证明材料；军队单位或事业单位，可以提供其上级主管部门出具的书面证明材料。</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102" w:type="dxa"/>
            <w:bottom w:w="142" w:type="dxa"/>
            <w:right w:w="107" w:type="dxa"/>
          </w:tblCellMar>
        </w:tblPrEx>
        <w:trPr>
          <w:trHeight w:val="41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2</w:t>
            </w:r>
          </w:p>
        </w:tc>
        <w:tc>
          <w:tcPr>
            <w:tcW w:w="3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法定代表人资格证明书</w:t>
            </w:r>
          </w:p>
        </w:tc>
        <w:tc>
          <w:tcPr>
            <w:tcW w:w="5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102" w:type="dxa"/>
            <w:bottom w:w="142" w:type="dxa"/>
            <w:right w:w="107" w:type="dxa"/>
          </w:tblCellMar>
        </w:tblPrEx>
        <w:trPr>
          <w:trHeight w:val="141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3</w:t>
            </w:r>
          </w:p>
        </w:tc>
        <w:tc>
          <w:tcPr>
            <w:tcW w:w="3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法定代表人授权书（含授权代表在投标前4个月内（不含投标当月）连续3个月由投标供应商缴纳社保证明材料）</w:t>
            </w:r>
          </w:p>
        </w:tc>
        <w:tc>
          <w:tcPr>
            <w:tcW w:w="5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102" w:type="dxa"/>
            <w:bottom w:w="142" w:type="dxa"/>
            <w:right w:w="107" w:type="dxa"/>
          </w:tblCellMar>
        </w:tblPrEx>
        <w:trPr>
          <w:trHeight w:val="822"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4</w:t>
            </w:r>
          </w:p>
        </w:tc>
        <w:tc>
          <w:tcPr>
            <w:tcW w:w="3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至申领招标文件截止时间，供应商成立时间不少于</w:t>
            </w:r>
            <w:r>
              <w:rPr>
                <w:rFonts w:hint="eastAsia" w:ascii="仿宋_GB2312" w:hAnsi="仿宋_GB2312" w:eastAsia="仿宋_GB2312" w:cs="微软雅黑"/>
                <w:sz w:val="24"/>
                <w:szCs w:val="24"/>
              </w:rPr>
              <w:t>3</w:t>
            </w:r>
            <w:r>
              <w:rPr>
                <w:rFonts w:hint="eastAsia" w:ascii="仿宋_GB2312" w:hAnsi="仿宋_GB2312" w:eastAsia="仿宋_GB2312" w:cs="仿宋_GB2312"/>
                <w:sz w:val="24"/>
                <w:szCs w:val="24"/>
              </w:rPr>
              <w:t>年</w:t>
            </w:r>
          </w:p>
        </w:tc>
        <w:tc>
          <w:tcPr>
            <w:tcW w:w="5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国有企业、事业单位、军队单位除外</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102" w:type="dxa"/>
            <w:bottom w:w="142" w:type="dxa"/>
            <w:right w:w="107" w:type="dxa"/>
          </w:tblCellMar>
        </w:tblPrEx>
        <w:trPr>
          <w:trHeight w:val="1971"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5</w:t>
            </w:r>
          </w:p>
        </w:tc>
        <w:tc>
          <w:tcPr>
            <w:tcW w:w="3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供应商承诺声明</w:t>
            </w:r>
          </w:p>
        </w:tc>
        <w:tc>
          <w:tcPr>
            <w:tcW w:w="5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承诺声明应当包含：供应商诚信承诺、保密承诺、诚信责任保证金承诺、未被列入违法失信名单承诺、关联关系企业不参与采购活动承诺、前</w:t>
            </w:r>
            <w:r>
              <w:rPr>
                <w:rFonts w:hint="eastAsia" w:ascii="仿宋_GB2312" w:hAnsi="仿宋_GB2312" w:eastAsia="仿宋_GB2312" w:cs="微软雅黑"/>
                <w:sz w:val="24"/>
                <w:szCs w:val="24"/>
              </w:rPr>
              <w:t>3</w:t>
            </w:r>
            <w:r>
              <w:rPr>
                <w:rFonts w:hint="eastAsia" w:ascii="仿宋_GB2312" w:hAnsi="仿宋_GB2312" w:eastAsia="仿宋_GB2312" w:cs="仿宋_GB2312"/>
                <w:sz w:val="24"/>
                <w:szCs w:val="24"/>
              </w:rPr>
              <w:t>年没有重大违法记录的书面声明、没有发生过重大质量安全事故的书面声明、非外资独资企业或控股企业的书面声明、具备履约专业能力的书面声明。</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102" w:type="dxa"/>
            <w:bottom w:w="142" w:type="dxa"/>
            <w:right w:w="107" w:type="dxa"/>
          </w:tblCellMar>
        </w:tblPrEx>
        <w:trPr>
          <w:trHeight w:val="1534"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6</w:t>
            </w:r>
          </w:p>
        </w:tc>
        <w:tc>
          <w:tcPr>
            <w:tcW w:w="3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投标供应商近一年内（投标截止时间前）任意</w:t>
            </w:r>
            <w:r>
              <w:rPr>
                <w:rFonts w:hint="eastAsia" w:ascii="仿宋_GB2312" w:hAnsi="仿宋_GB2312" w:eastAsia="仿宋_GB2312" w:cs="微软雅黑"/>
                <w:sz w:val="24"/>
                <w:szCs w:val="24"/>
              </w:rPr>
              <w:t>3</w:t>
            </w:r>
            <w:r>
              <w:rPr>
                <w:rFonts w:hint="eastAsia" w:ascii="仿宋_GB2312" w:hAnsi="仿宋_GB2312" w:eastAsia="仿宋_GB2312" w:cs="仿宋_GB2312"/>
                <w:sz w:val="24"/>
                <w:szCs w:val="24"/>
              </w:rPr>
              <w:t>个月纳税证明材料</w:t>
            </w:r>
          </w:p>
        </w:tc>
        <w:tc>
          <w:tcPr>
            <w:tcW w:w="5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根据税务部门出具的完税凭证或纳税的银行转账汇款单、对账单等判定，证明材料应当显示税种和缴纳所属时期（认定税种不包括个人所得税）；军队单位不作要求；如依法免税或不需要纳税的，提供相应证明材料。</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102" w:type="dxa"/>
            <w:bottom w:w="142" w:type="dxa"/>
            <w:right w:w="107" w:type="dxa"/>
          </w:tblCellMar>
        </w:tblPrEx>
        <w:trPr>
          <w:trHeight w:val="167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7</w:t>
            </w:r>
          </w:p>
        </w:tc>
        <w:tc>
          <w:tcPr>
            <w:tcW w:w="3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投标供应商近一年内（投标截止时间前）任意</w:t>
            </w:r>
            <w:r>
              <w:rPr>
                <w:rFonts w:hint="eastAsia" w:ascii="仿宋_GB2312" w:hAnsi="仿宋_GB2312" w:eastAsia="仿宋_GB2312" w:cs="微软雅黑"/>
                <w:sz w:val="24"/>
                <w:szCs w:val="24"/>
              </w:rPr>
              <w:t>3</w:t>
            </w:r>
            <w:r>
              <w:rPr>
                <w:rFonts w:hint="eastAsia" w:ascii="仿宋_GB2312" w:hAnsi="仿宋_GB2312" w:eastAsia="仿宋_GB2312" w:cs="仿宋_GB2312"/>
                <w:sz w:val="24"/>
                <w:szCs w:val="24"/>
              </w:rPr>
              <w:t>个月缴纳社会保障金证明材料</w:t>
            </w:r>
          </w:p>
        </w:tc>
        <w:tc>
          <w:tcPr>
            <w:tcW w:w="5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102" w:type="dxa"/>
            <w:bottom w:w="142" w:type="dxa"/>
            <w:right w:w="107" w:type="dxa"/>
          </w:tblCellMar>
        </w:tblPrEx>
        <w:trPr>
          <w:trHeight w:val="2679"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8</w:t>
            </w:r>
          </w:p>
        </w:tc>
        <w:tc>
          <w:tcPr>
            <w:tcW w:w="3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投标供应商提供会计师事务所出具的近</w:t>
            </w:r>
            <w:r>
              <w:rPr>
                <w:rFonts w:hint="eastAsia" w:ascii="仿宋_GB2312" w:hAnsi="仿宋_GB2312" w:eastAsia="仿宋_GB2312" w:cs="微软雅黑"/>
                <w:sz w:val="24"/>
                <w:szCs w:val="24"/>
              </w:rPr>
              <w:t>1</w:t>
            </w:r>
            <w:r>
              <w:rPr>
                <w:rFonts w:hint="eastAsia" w:ascii="仿宋_GB2312" w:hAnsi="仿宋_GB2312" w:eastAsia="仿宋_GB2312" w:cs="仿宋_GB2312"/>
                <w:sz w:val="24"/>
                <w:szCs w:val="24"/>
              </w:rPr>
              <w:t>年审计报告</w:t>
            </w:r>
          </w:p>
        </w:tc>
        <w:tc>
          <w:tcPr>
            <w:tcW w:w="5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审计报告应当包含报告正文、资产负债表、利润表、现金流量表及所有者权益变动表（无所有者权益表的提供书面说明）、附注和会计师事务所营业执照，报告正文应当有会计师事务所公章，</w:t>
            </w:r>
            <w:r>
              <w:rPr>
                <w:rFonts w:hint="eastAsia" w:ascii="仿宋_GB2312" w:hAnsi="仿宋_GB2312" w:eastAsia="仿宋_GB2312" w:cs="微软雅黑"/>
                <w:sz w:val="24"/>
                <w:szCs w:val="24"/>
              </w:rPr>
              <w:t>2</w:t>
            </w:r>
            <w:r>
              <w:rPr>
                <w:rFonts w:hint="eastAsia" w:ascii="仿宋_GB2312" w:hAnsi="仿宋_GB2312" w:eastAsia="仿宋_GB2312" w:cs="仿宋_GB2312"/>
                <w:sz w:val="24"/>
                <w:szCs w:val="24"/>
              </w:rPr>
              <w:t>个注册会计师的签字和盖章。军队单位、事业单位无法提供审计报告的，可由上级管理部门批复的决算或内部会计报表代替。军队单位、事业单位和国有企业成立不足</w:t>
            </w:r>
            <w:r>
              <w:rPr>
                <w:rFonts w:hint="eastAsia" w:ascii="仿宋_GB2312" w:hAnsi="仿宋_GB2312" w:eastAsia="仿宋_GB2312" w:cs="微软雅黑"/>
                <w:sz w:val="24"/>
                <w:szCs w:val="24"/>
              </w:rPr>
              <w:t>3</w:t>
            </w:r>
            <w:r>
              <w:rPr>
                <w:rFonts w:hint="eastAsia" w:ascii="仿宋_GB2312" w:hAnsi="仿宋_GB2312" w:eastAsia="仿宋_GB2312" w:cs="仿宋_GB2312"/>
                <w:sz w:val="24"/>
                <w:szCs w:val="24"/>
              </w:rPr>
              <w:t>年的，按实际年限提供。</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FFFFF"/>
          <w:tblCellMar>
            <w:top w:w="0" w:type="dxa"/>
            <w:left w:w="102" w:type="dxa"/>
            <w:bottom w:w="142" w:type="dxa"/>
            <w:right w:w="107" w:type="dxa"/>
          </w:tblCellMar>
        </w:tblPrEx>
        <w:trPr>
          <w:trHeight w:val="833"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微软雅黑"/>
                <w:sz w:val="24"/>
                <w:szCs w:val="24"/>
              </w:rPr>
              <w:t>9</w:t>
            </w:r>
          </w:p>
        </w:tc>
        <w:tc>
          <w:tcPr>
            <w:tcW w:w="3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投标保证金满足招标文件要求</w:t>
            </w:r>
          </w:p>
        </w:tc>
        <w:tc>
          <w:tcPr>
            <w:tcW w:w="5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snapToGrid w:val="0"/>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根据投标截止后投标文件中投标保证金缴纳证明材料情况判定</w:t>
            </w:r>
          </w:p>
        </w:tc>
      </w:tr>
    </w:tbl>
    <w:p>
      <w:pPr>
        <w:spacing w:line="579" w:lineRule="exact"/>
        <w:ind w:firstLine="640" w:firstLineChars="200"/>
        <w:jc w:val="both"/>
        <w:rPr>
          <w:rFonts w:eastAsia="黑体"/>
          <w:szCs w:val="32"/>
        </w:rPr>
      </w:pPr>
      <w:r>
        <w:rPr>
          <w:rFonts w:hint="eastAsia" w:ascii="黑体" w:hAnsi="黑体" w:cs="黑体"/>
          <w:sz w:val="32"/>
          <w:szCs w:val="32"/>
        </w:rPr>
        <w:t>★</w:t>
      </w:r>
      <w:r>
        <w:rPr>
          <w:rFonts w:hint="eastAsia" w:ascii="等线" w:hAnsi="黑体" w:eastAsia="黑体"/>
          <w:kern w:val="2"/>
          <w:sz w:val="32"/>
          <w:szCs w:val="32"/>
          <w:lang w:eastAsia="zh-CN"/>
        </w:rPr>
        <w:t>四、商务</w:t>
      </w:r>
      <w:r>
        <w:rPr>
          <w:rFonts w:hint="eastAsia" w:ascii="等线" w:hAnsi="黑体" w:eastAsia="黑体"/>
          <w:kern w:val="2"/>
          <w:sz w:val="32"/>
          <w:szCs w:val="32"/>
        </w:rPr>
        <w:t>要求</w:t>
      </w:r>
    </w:p>
    <w:p>
      <w:pPr>
        <w:spacing w:line="58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(一)货款结算</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中标方中标价即为合同价，合同价包含货款、利润、税金、装卸载费、运杂费、安装费、人员培训费、售后服务费及相应的不可预测风险等一切费用。本项目不付预付款，待所有货物到货验收合格、安装调试完成后一次性支付合同价的95%，剩余5%作为质量保证金，</w:t>
      </w:r>
      <w:r>
        <w:rPr>
          <w:rFonts w:hint="eastAsia" w:ascii="仿宋_GB2312" w:hAnsi="仿宋"/>
          <w:sz w:val="32"/>
          <w:szCs w:val="32"/>
          <w:highlight w:val="none"/>
          <w:lang w:eastAsia="zh-CN"/>
        </w:rPr>
        <w:t>待完成交货验收后</w:t>
      </w:r>
      <w:r>
        <w:rPr>
          <w:rFonts w:hint="eastAsia" w:ascii="仿宋_GB2312" w:hAnsi="仿宋"/>
          <w:sz w:val="32"/>
          <w:szCs w:val="32"/>
          <w:highlight w:val="none"/>
          <w:lang w:val="en-US" w:eastAsia="zh-CN"/>
        </w:rPr>
        <w:t>3年</w:t>
      </w:r>
      <w:r>
        <w:rPr>
          <w:rFonts w:hint="eastAsia" w:ascii="仿宋_GB2312" w:hAnsi="仿宋" w:eastAsia="仿宋_GB2312"/>
          <w:sz w:val="32"/>
          <w:szCs w:val="32"/>
          <w:highlight w:val="none"/>
        </w:rPr>
        <w:t>一次性无息退</w:t>
      </w:r>
      <w:r>
        <w:rPr>
          <w:rFonts w:hint="eastAsia" w:ascii="仿宋_GB2312" w:hAnsi="仿宋"/>
          <w:sz w:val="32"/>
          <w:szCs w:val="32"/>
          <w:highlight w:val="none"/>
          <w:lang w:eastAsia="zh-CN"/>
        </w:rPr>
        <w:t>还</w:t>
      </w:r>
      <w:r>
        <w:rPr>
          <w:rFonts w:hint="eastAsia" w:ascii="仿宋_GB2312" w:hAnsi="仿宋" w:eastAsia="仿宋_GB2312"/>
          <w:sz w:val="32"/>
          <w:szCs w:val="32"/>
          <w:highlight w:val="none"/>
        </w:rPr>
        <w:t>。</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若后期军队审计部门、军队采购管理部门、纪检监察部门等职能部门抽查，提出价格虚高等问题，乙方需无条件配合甲方进行调查，积极提供相关审价资料，若最终审价结果低于合同价，乙方需无条件退还虚高款项。如最终审价结果高于合同价，按合同价进行结算。</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（二）履约保证金和质量保证金</w:t>
      </w:r>
    </w:p>
    <w:p>
      <w:pPr>
        <w:spacing w:line="58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sz w:val="32"/>
          <w:szCs w:val="32"/>
          <w:highlight w:val="none"/>
        </w:rPr>
        <w:t>中标供应商签订采购合同前，应按合同金额的</w:t>
      </w:r>
      <w:r>
        <w:rPr>
          <w:rFonts w:ascii="仿宋_GB2312" w:hAnsi="仿宋" w:eastAsia="仿宋_GB2312"/>
          <w:sz w:val="32"/>
          <w:szCs w:val="32"/>
          <w:highlight w:val="none"/>
        </w:rPr>
        <w:t>5</w:t>
      </w:r>
      <w:r>
        <w:rPr>
          <w:rFonts w:hint="eastAsia" w:ascii="仿宋_GB2312" w:hAnsi="仿宋" w:eastAsia="仿宋_GB2312"/>
          <w:sz w:val="32"/>
          <w:szCs w:val="32"/>
          <w:highlight w:val="none"/>
        </w:rPr>
        <w:t>%向采购单位提交履约保证金（开户名称：中国人民解放军联勤保障部队第九四〇医院，开户银行：交通银行兰州市七里河支行，银行账号：6210 6010 8018 0100 31730 ，注明项目</w:t>
      </w:r>
      <w:r>
        <w:rPr>
          <w:rFonts w:hint="eastAsia" w:ascii="仿宋_GB2312" w:hAnsi="仿宋" w:eastAsia="仿宋_GB2312"/>
          <w:sz w:val="32"/>
          <w:szCs w:val="32"/>
          <w:highlight w:val="none"/>
          <w:lang w:eastAsia="zh-CN"/>
        </w:rPr>
        <w:t>卫勤训练中心智慧</w:t>
      </w:r>
      <w:r>
        <w:rPr>
          <w:rFonts w:hint="eastAsia" w:ascii="仿宋_GB2312" w:hAnsi="仿宋" w:eastAsia="仿宋_GB2312"/>
          <w:sz w:val="32"/>
          <w:szCs w:val="32"/>
          <w:highlight w:val="none"/>
          <w:lang w:val="en-US" w:eastAsia="zh-CN"/>
        </w:rPr>
        <w:t>AI群体化体格检查教学</w:t>
      </w:r>
      <w:r>
        <w:rPr>
          <w:rFonts w:hint="eastAsia" w:ascii="仿宋_GB2312" w:hAnsi="仿宋" w:eastAsia="仿宋_GB2312"/>
          <w:sz w:val="32"/>
          <w:szCs w:val="32"/>
          <w:highlight w:val="none"/>
        </w:rPr>
        <w:t>履约保证金），</w:t>
      </w:r>
      <w:r>
        <w:rPr>
          <w:rFonts w:hint="eastAsia" w:ascii="仿宋_GB2312" w:hAnsi="仿宋" w:eastAsia="仿宋_GB2312"/>
          <w:color w:val="auto"/>
          <w:sz w:val="32"/>
          <w:szCs w:val="32"/>
          <w:highlight w:val="none"/>
        </w:rPr>
        <w:t>交付验收合格后，采购单位应退回履约保证金，也可根据项目实际情况转为质量保证金，质量保证金</w:t>
      </w:r>
      <w:r>
        <w:rPr>
          <w:rFonts w:hint="eastAsia" w:ascii="仿宋_GB2312" w:hAnsi="仿宋"/>
          <w:color w:val="auto"/>
          <w:sz w:val="32"/>
          <w:szCs w:val="32"/>
          <w:highlight w:val="none"/>
          <w:lang w:eastAsia="zh-CN"/>
        </w:rPr>
        <w:t>待</w:t>
      </w:r>
      <w:r>
        <w:rPr>
          <w:rFonts w:hint="eastAsia" w:ascii="仿宋_GB2312" w:hAnsi="仿宋"/>
          <w:sz w:val="32"/>
          <w:szCs w:val="32"/>
          <w:highlight w:val="none"/>
          <w:lang w:eastAsia="zh-CN"/>
        </w:rPr>
        <w:t>完成交货验收</w:t>
      </w:r>
      <w:r>
        <w:rPr>
          <w:rFonts w:hint="eastAsia" w:ascii="仿宋_GB2312" w:hAnsi="仿宋"/>
          <w:color w:val="auto"/>
          <w:sz w:val="32"/>
          <w:szCs w:val="32"/>
          <w:highlight w:val="none"/>
          <w:lang w:eastAsia="zh-CN"/>
        </w:rPr>
        <w:t>后</w:t>
      </w:r>
      <w:r>
        <w:rPr>
          <w:rFonts w:hint="eastAsia" w:ascii="仿宋_GB2312" w:hAnsi="仿宋"/>
          <w:color w:val="auto"/>
          <w:sz w:val="32"/>
          <w:szCs w:val="32"/>
          <w:highlight w:val="none"/>
          <w:lang w:val="en-US" w:eastAsia="zh-CN"/>
        </w:rPr>
        <w:t>3年</w:t>
      </w:r>
      <w:r>
        <w:rPr>
          <w:rFonts w:hint="eastAsia" w:ascii="仿宋_GB2312" w:hAnsi="仿宋" w:eastAsia="仿宋_GB2312"/>
          <w:color w:val="auto"/>
          <w:sz w:val="32"/>
          <w:szCs w:val="32"/>
          <w:highlight w:val="none"/>
        </w:rPr>
        <w:t>无质量问题时全额无息退还。</w:t>
      </w:r>
    </w:p>
    <w:p>
      <w:pPr>
        <w:spacing w:line="58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（三）知识产权和保密要求</w:t>
      </w:r>
      <w:bookmarkStart w:id="5" w:name="_GoBack"/>
      <w:bookmarkEnd w:id="5"/>
    </w:p>
    <w:p>
      <w:pPr>
        <w:adjustRightInd w:val="0"/>
        <w:spacing w:line="530" w:lineRule="exact"/>
        <w:ind w:firstLine="640" w:firstLineChars="200"/>
        <w:jc w:val="left"/>
        <w:rPr>
          <w:rFonts w:hint="eastAsia"/>
        </w:rPr>
      </w:pPr>
      <w:r>
        <w:rPr>
          <w:rFonts w:hint="eastAsia" w:ascii="仿宋_GB2312" w:hAnsi="仿宋" w:eastAsia="仿宋_GB2312"/>
          <w:bCs/>
          <w:sz w:val="32"/>
          <w:szCs w:val="32"/>
        </w:rPr>
        <w:t>乙方应当保证甲方在使用物资和服务时不受第三方提出侵犯其知识产权的指控，对此甲方不承担任何连带责任或赔偿责任。</w:t>
      </w:r>
    </w:p>
    <w:p>
      <w:pPr>
        <w:spacing w:line="58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（四）交货期限、交货地点及要求</w:t>
      </w:r>
    </w:p>
    <w:p>
      <w:pPr>
        <w:tabs>
          <w:tab w:val="left" w:pos="840"/>
          <w:tab w:val="left" w:pos="1080"/>
        </w:tabs>
        <w:autoSpaceDE w:val="0"/>
        <w:autoSpaceDN w:val="0"/>
        <w:adjustRightInd w:val="0"/>
        <w:spacing w:line="579" w:lineRule="exact"/>
        <w:ind w:firstLine="640" w:firstLineChars="200"/>
        <w:outlineLvl w:val="3"/>
        <w:rPr>
          <w:rFonts w:ascii="仿宋" w:hAnsi="仿宋" w:eastAsia="仿宋"/>
          <w:sz w:val="32"/>
          <w:szCs w:val="32"/>
          <w:highlight w:val="none"/>
        </w:rPr>
      </w:pPr>
      <w:r>
        <w:rPr>
          <w:rFonts w:hint="eastAsia" w:ascii="仿宋" w:hAnsi="仿宋" w:eastAsia="仿宋"/>
          <w:sz w:val="32"/>
          <w:szCs w:val="32"/>
          <w:highlight w:val="none"/>
        </w:rPr>
        <w:t>交货</w:t>
      </w:r>
      <w:r>
        <w:rPr>
          <w:rFonts w:ascii="仿宋" w:hAnsi="仿宋" w:eastAsia="仿宋"/>
          <w:sz w:val="32"/>
          <w:szCs w:val="32"/>
          <w:highlight w:val="none"/>
        </w:rPr>
        <w:t>期限：</w:t>
      </w:r>
      <w:r>
        <w:rPr>
          <w:rFonts w:hint="eastAsia" w:ascii="仿宋" w:hAnsi="仿宋" w:eastAsia="仿宋"/>
          <w:sz w:val="32"/>
          <w:szCs w:val="32"/>
          <w:highlight w:val="none"/>
        </w:rPr>
        <w:t>合同</w:t>
      </w:r>
      <w:r>
        <w:rPr>
          <w:rFonts w:ascii="仿宋" w:hAnsi="仿宋" w:eastAsia="仿宋"/>
          <w:sz w:val="32"/>
          <w:szCs w:val="32"/>
          <w:highlight w:val="none"/>
        </w:rPr>
        <w:t>签订后</w:t>
      </w:r>
      <w:r>
        <w:rPr>
          <w:rFonts w:hint="eastAsia" w:ascii="仿宋" w:hAnsi="仿宋" w:eastAsia="仿宋"/>
          <w:sz w:val="32"/>
          <w:szCs w:val="32"/>
          <w:highlight w:val="none"/>
          <w:lang w:val="en-US" w:eastAsia="zh-CN"/>
        </w:rPr>
        <w:t>60</w:t>
      </w:r>
      <w:r>
        <w:rPr>
          <w:rFonts w:hint="eastAsia" w:ascii="仿宋" w:hAnsi="仿宋" w:eastAsia="仿宋"/>
          <w:sz w:val="32"/>
          <w:szCs w:val="32"/>
          <w:highlight w:val="none"/>
        </w:rPr>
        <w:t>个自然日</w:t>
      </w:r>
      <w:r>
        <w:rPr>
          <w:rFonts w:ascii="仿宋" w:hAnsi="仿宋" w:eastAsia="仿宋"/>
          <w:sz w:val="32"/>
          <w:szCs w:val="32"/>
          <w:highlight w:val="none"/>
        </w:rPr>
        <w:t>内</w:t>
      </w:r>
      <w:r>
        <w:rPr>
          <w:rFonts w:hint="eastAsia" w:ascii="仿宋" w:hAnsi="仿宋" w:eastAsia="仿宋"/>
          <w:sz w:val="32"/>
          <w:szCs w:val="32"/>
          <w:highlight w:val="none"/>
        </w:rPr>
        <w:t>。</w:t>
      </w:r>
    </w:p>
    <w:p>
      <w:pPr>
        <w:tabs>
          <w:tab w:val="left" w:pos="840"/>
          <w:tab w:val="left" w:pos="1080"/>
        </w:tabs>
        <w:autoSpaceDE w:val="0"/>
        <w:autoSpaceDN w:val="0"/>
        <w:adjustRightInd w:val="0"/>
        <w:spacing w:line="579" w:lineRule="exact"/>
        <w:ind w:firstLine="640" w:firstLineChars="200"/>
        <w:outlineLvl w:val="3"/>
        <w:rPr>
          <w:rFonts w:hint="eastAsia" w:ascii="仿宋" w:hAnsi="仿宋" w:eastAsia="仿宋"/>
          <w:sz w:val="32"/>
          <w:szCs w:val="32"/>
          <w:highlight w:val="none"/>
        </w:rPr>
      </w:pPr>
      <w:r>
        <w:rPr>
          <w:rFonts w:ascii="仿宋" w:hAnsi="仿宋" w:eastAsia="仿宋"/>
          <w:sz w:val="32"/>
          <w:szCs w:val="32"/>
          <w:highlight w:val="none"/>
        </w:rPr>
        <w:t>交货地点：</w:t>
      </w:r>
      <w:r>
        <w:rPr>
          <w:rFonts w:hint="eastAsia" w:ascii="仿宋" w:hAnsi="仿宋" w:eastAsia="仿宋"/>
          <w:sz w:val="32"/>
          <w:szCs w:val="32"/>
          <w:highlight w:val="none"/>
        </w:rPr>
        <w:t>甘肃省</w:t>
      </w:r>
      <w:r>
        <w:rPr>
          <w:rFonts w:ascii="仿宋" w:hAnsi="仿宋" w:eastAsia="仿宋"/>
          <w:sz w:val="32"/>
          <w:szCs w:val="32"/>
          <w:highlight w:val="none"/>
        </w:rPr>
        <w:t>兰州市七里河区</w:t>
      </w:r>
      <w:r>
        <w:rPr>
          <w:rFonts w:hint="eastAsia" w:ascii="仿宋" w:hAnsi="仿宋" w:eastAsia="仿宋"/>
          <w:sz w:val="32"/>
          <w:szCs w:val="32"/>
          <w:highlight w:val="none"/>
        </w:rPr>
        <w:t>。</w:t>
      </w:r>
    </w:p>
    <w:p>
      <w:pPr>
        <w:spacing w:line="58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交货方式：现场交货。</w:t>
      </w:r>
    </w:p>
    <w:p>
      <w:pPr>
        <w:spacing w:line="58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color w:val="auto"/>
          <w:sz w:val="32"/>
          <w:szCs w:val="32"/>
          <w:highlight w:val="none"/>
          <w:lang w:val="en-US" w:eastAsia="zh-CN"/>
        </w:rPr>
        <w:t>（五）</w:t>
      </w:r>
      <w:r>
        <w:rPr>
          <w:rFonts w:hint="eastAsia" w:ascii="仿宋_GB2312" w:hAnsi="仿宋" w:eastAsia="仿宋_GB2312"/>
          <w:color w:val="auto"/>
          <w:sz w:val="32"/>
          <w:szCs w:val="32"/>
          <w:highlight w:val="none"/>
          <w:lang w:val="en-US" w:eastAsia="zh-CN"/>
        </w:rPr>
        <w:t>包装及技术材料</w:t>
      </w:r>
    </w:p>
    <w:p>
      <w:pPr>
        <w:adjustRightInd w:val="0"/>
        <w:spacing w:line="530" w:lineRule="exact"/>
        <w:ind w:firstLine="640" w:firstLineChars="200"/>
        <w:jc w:val="left"/>
        <w:rPr>
          <w:rFonts w:ascii="仿宋_GB2312" w:hAnsi="仿宋" w:eastAsia="仿宋_GB2312"/>
          <w:bCs/>
          <w:sz w:val="32"/>
          <w:szCs w:val="32"/>
        </w:rPr>
      </w:pPr>
      <w:r>
        <w:rPr>
          <w:rFonts w:hint="eastAsia" w:ascii="仿宋_GB2312" w:hAnsi="仿宋"/>
          <w:bCs/>
          <w:sz w:val="32"/>
          <w:szCs w:val="32"/>
          <w:lang w:val="en-US" w:eastAsia="zh-CN"/>
        </w:rPr>
        <w:t>1.</w:t>
      </w:r>
      <w:r>
        <w:rPr>
          <w:rFonts w:hint="eastAsia" w:ascii="仿宋_GB2312" w:hAnsi="仿宋" w:eastAsia="仿宋_GB2312"/>
          <w:bCs/>
          <w:sz w:val="32"/>
          <w:szCs w:val="32"/>
        </w:rPr>
        <w:t>乙方提供的物资采用国家或行业规定的标准进行包装，包装费用由乙方承担。</w:t>
      </w:r>
    </w:p>
    <w:p>
      <w:pPr>
        <w:adjustRightInd w:val="0"/>
        <w:spacing w:line="530" w:lineRule="exact"/>
        <w:ind w:firstLine="640" w:firstLineChars="200"/>
        <w:jc w:val="left"/>
        <w:rPr>
          <w:rFonts w:ascii="仿宋_GB2312" w:hAnsi="仿宋" w:eastAsia="仿宋_GB2312"/>
          <w:bCs/>
          <w:sz w:val="32"/>
          <w:szCs w:val="32"/>
        </w:rPr>
      </w:pPr>
      <w:r>
        <w:rPr>
          <w:rFonts w:hint="eastAsia" w:ascii="仿宋_GB2312" w:hAnsi="仿宋"/>
          <w:bCs/>
          <w:sz w:val="32"/>
          <w:szCs w:val="32"/>
          <w:lang w:val="en-US" w:eastAsia="zh-CN"/>
        </w:rPr>
        <w:t>2.</w:t>
      </w:r>
      <w:r>
        <w:rPr>
          <w:rFonts w:hint="eastAsia" w:ascii="仿宋_GB2312" w:hAnsi="仿宋" w:eastAsia="仿宋_GB2312"/>
          <w:bCs/>
          <w:sz w:val="32"/>
          <w:szCs w:val="32"/>
        </w:rPr>
        <w:t>乙方提供的物资、技术材料，应当有详细的说明，包括物资的规格、技术指标及外观质量情况等，并附检验合格证和保修保养证书。</w:t>
      </w:r>
    </w:p>
    <w:p>
      <w:pPr>
        <w:adjustRightInd w:val="0"/>
        <w:spacing w:line="530" w:lineRule="exact"/>
        <w:ind w:firstLine="640" w:firstLineChars="200"/>
        <w:jc w:val="left"/>
        <w:rPr>
          <w:rFonts w:ascii="仿宋_GB2312" w:eastAsia="仿宋_GB2312"/>
          <w:bCs/>
          <w:sz w:val="32"/>
          <w:szCs w:val="32"/>
        </w:rPr>
      </w:pPr>
      <w:r>
        <w:rPr>
          <w:rFonts w:hint="eastAsia" w:ascii="仿宋_GB2312"/>
          <w:bCs/>
          <w:sz w:val="32"/>
          <w:szCs w:val="32"/>
          <w:lang w:val="en-US" w:eastAsia="zh-CN"/>
        </w:rPr>
        <w:t>3.</w:t>
      </w:r>
      <w:r>
        <w:rPr>
          <w:rFonts w:hint="eastAsia" w:ascii="仿宋_GB2312" w:eastAsia="仿宋_GB2312"/>
          <w:bCs/>
          <w:sz w:val="32"/>
          <w:szCs w:val="32"/>
        </w:rPr>
        <w:t>乙方所出售的全部物资均应</w:t>
      </w:r>
      <w:r>
        <w:rPr>
          <w:rFonts w:hint="eastAsia" w:ascii="仿宋_GB2312" w:eastAsia="仿宋_GB2312"/>
          <w:sz w:val="32"/>
          <w:szCs w:val="32"/>
        </w:rPr>
        <w:t>当</w:t>
      </w:r>
      <w:r>
        <w:rPr>
          <w:rFonts w:hint="eastAsia" w:ascii="仿宋_GB2312" w:eastAsia="仿宋_GB2312"/>
          <w:bCs/>
          <w:sz w:val="32"/>
          <w:szCs w:val="32"/>
        </w:rPr>
        <w:t>按标准保护措施进行包装，包装应</w:t>
      </w:r>
      <w:r>
        <w:rPr>
          <w:rFonts w:hint="eastAsia" w:ascii="仿宋_GB2312" w:eastAsia="仿宋_GB2312"/>
          <w:sz w:val="32"/>
          <w:szCs w:val="32"/>
        </w:rPr>
        <w:t>当</w:t>
      </w:r>
      <w:r>
        <w:rPr>
          <w:rFonts w:hint="eastAsia" w:ascii="仿宋_GB2312" w:eastAsia="仿宋_GB2312"/>
          <w:bCs/>
          <w:sz w:val="32"/>
          <w:szCs w:val="32"/>
        </w:rPr>
        <w:t>适应于远距离运输、防潮、防震、防锈和防野蛮装卸等要求，以确保物资安全无损地运抵指定现场。由于包装防护措施不妥而引起的损坏、丢失由乙方负责。</w:t>
      </w:r>
    </w:p>
    <w:p>
      <w:pPr>
        <w:adjustRightInd w:val="0"/>
        <w:spacing w:line="530" w:lineRule="exact"/>
        <w:ind w:firstLine="640" w:firstLineChars="200"/>
        <w:jc w:val="left"/>
        <w:rPr>
          <w:rFonts w:hint="eastAsia" w:ascii="仿宋_GB2312" w:hAnsi="Times New Roman" w:eastAsia="仿宋_GB2312"/>
          <w:kern w:val="2"/>
          <w:sz w:val="32"/>
          <w:szCs w:val="32"/>
        </w:rPr>
      </w:pPr>
      <w:r>
        <w:rPr>
          <w:rFonts w:hint="eastAsia" w:ascii="仿宋_GB2312"/>
          <w:bCs/>
          <w:sz w:val="32"/>
          <w:szCs w:val="32"/>
          <w:lang w:val="en-US" w:eastAsia="zh-CN"/>
        </w:rPr>
        <w:t>4.</w:t>
      </w:r>
      <w:r>
        <w:rPr>
          <w:rFonts w:hint="eastAsia" w:ascii="仿宋_GB2312" w:eastAsia="仿宋_GB2312"/>
          <w:bCs/>
          <w:sz w:val="32"/>
          <w:szCs w:val="32"/>
        </w:rPr>
        <w:t>每一个包装箱内应</w:t>
      </w:r>
      <w:r>
        <w:rPr>
          <w:rFonts w:hint="eastAsia" w:ascii="仿宋_GB2312" w:eastAsia="仿宋_GB2312"/>
          <w:sz w:val="32"/>
          <w:szCs w:val="32"/>
        </w:rPr>
        <w:t>当</w:t>
      </w:r>
      <w:r>
        <w:rPr>
          <w:rFonts w:hint="eastAsia" w:ascii="仿宋_GB2312" w:eastAsia="仿宋_GB2312"/>
          <w:bCs/>
          <w:sz w:val="32"/>
          <w:szCs w:val="32"/>
        </w:rPr>
        <w:t>附一份详细装箱清单。</w:t>
      </w:r>
    </w:p>
    <w:p>
      <w:pPr>
        <w:adjustRightInd w:val="0"/>
        <w:spacing w:line="53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（六）运输和保险</w:t>
      </w:r>
    </w:p>
    <w:p>
      <w:pPr>
        <w:adjustRightInd w:val="0"/>
        <w:spacing w:line="530" w:lineRule="exact"/>
        <w:ind w:firstLine="640" w:firstLineChars="200"/>
        <w:jc w:val="left"/>
        <w:rPr>
          <w:rFonts w:ascii="仿宋_GB2312" w:hAnsi="仿宋" w:eastAsia="仿宋_GB2312"/>
          <w:bCs/>
          <w:sz w:val="32"/>
          <w:szCs w:val="32"/>
        </w:rPr>
      </w:pPr>
      <w:r>
        <w:rPr>
          <w:rFonts w:hint="eastAsia" w:ascii="仿宋_GB2312" w:hAnsi="仿宋"/>
          <w:bCs/>
          <w:sz w:val="32"/>
          <w:szCs w:val="32"/>
          <w:lang w:val="en-US" w:eastAsia="zh-CN"/>
        </w:rPr>
        <w:t>1.</w:t>
      </w:r>
      <w:r>
        <w:rPr>
          <w:rFonts w:hint="eastAsia" w:ascii="仿宋_GB2312" w:hAnsi="仿宋" w:eastAsia="仿宋_GB2312"/>
          <w:bCs/>
          <w:sz w:val="32"/>
          <w:szCs w:val="32"/>
        </w:rPr>
        <w:t>乙方负责将物资运抵合同约定的甲方指定地点或其他同意的地点。以上所发生的相关费用应</w:t>
      </w:r>
      <w:r>
        <w:rPr>
          <w:rFonts w:hint="eastAsia" w:ascii="仿宋_GB2312" w:hAnsi="仿宋" w:eastAsia="仿宋_GB2312"/>
          <w:sz w:val="32"/>
          <w:szCs w:val="32"/>
        </w:rPr>
        <w:t>当</w:t>
      </w:r>
      <w:r>
        <w:rPr>
          <w:rFonts w:hint="eastAsia" w:ascii="仿宋_GB2312" w:hAnsi="仿宋" w:eastAsia="仿宋_GB2312"/>
          <w:bCs/>
          <w:sz w:val="32"/>
          <w:szCs w:val="32"/>
        </w:rPr>
        <w:t>包括在合同总价中。</w:t>
      </w:r>
    </w:p>
    <w:p>
      <w:pPr>
        <w:pStyle w:val="3"/>
        <w:adjustRightInd w:val="0"/>
        <w:spacing w:after="0" w:line="530" w:lineRule="exact"/>
        <w:ind w:firstLine="640" w:firstLineChars="200"/>
        <w:jc w:val="left"/>
        <w:rPr>
          <w:rFonts w:ascii="仿宋_GB2312" w:hAnsi="仿宋" w:eastAsia="仿宋_GB2312"/>
          <w:bCs/>
          <w:sz w:val="32"/>
          <w:szCs w:val="32"/>
        </w:rPr>
      </w:pPr>
      <w:r>
        <w:rPr>
          <w:rFonts w:hint="eastAsia" w:ascii="仿宋_GB2312" w:hAnsi="仿宋"/>
          <w:bCs/>
          <w:sz w:val="32"/>
          <w:szCs w:val="32"/>
          <w:lang w:val="en-US" w:eastAsia="zh-CN"/>
        </w:rPr>
        <w:t>2.</w:t>
      </w:r>
      <w:r>
        <w:rPr>
          <w:rFonts w:hint="eastAsia" w:ascii="仿宋_GB2312" w:hAnsi="仿宋" w:eastAsia="仿宋_GB2312"/>
          <w:bCs/>
          <w:sz w:val="32"/>
          <w:szCs w:val="32"/>
        </w:rPr>
        <w:t>物资交付前，乙方应</w:t>
      </w:r>
      <w:r>
        <w:rPr>
          <w:rFonts w:hint="eastAsia" w:ascii="仿宋_GB2312" w:hAnsi="仿宋" w:eastAsia="仿宋_GB2312"/>
          <w:sz w:val="32"/>
          <w:szCs w:val="32"/>
        </w:rPr>
        <w:t>当</w:t>
      </w:r>
      <w:r>
        <w:rPr>
          <w:rFonts w:hint="eastAsia" w:ascii="仿宋_GB2312" w:hAnsi="仿宋" w:eastAsia="仿宋_GB2312"/>
          <w:bCs/>
          <w:sz w:val="32"/>
          <w:szCs w:val="32"/>
        </w:rPr>
        <w:t>对运输、搬卸和交接过程中的丢失或损坏等问题负责。</w:t>
      </w:r>
    </w:p>
    <w:p>
      <w:pPr>
        <w:pStyle w:val="4"/>
        <w:keepNext w:val="0"/>
        <w:keepLines w:val="0"/>
        <w:adjustRightInd w:val="0"/>
        <w:spacing w:before="0" w:after="0" w:line="530" w:lineRule="exact"/>
        <w:ind w:firstLine="640" w:firstLineChars="200"/>
        <w:jc w:val="left"/>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（七）质量标准和保证</w:t>
      </w:r>
    </w:p>
    <w:p>
      <w:pPr>
        <w:adjustRightInd w:val="0"/>
        <w:spacing w:line="530" w:lineRule="exact"/>
        <w:ind w:firstLine="640" w:firstLineChars="200"/>
        <w:jc w:val="left"/>
        <w:rPr>
          <w:rFonts w:ascii="仿宋_GB2312" w:hAnsi="仿宋" w:eastAsia="仿宋_GB2312"/>
          <w:bCs/>
          <w:sz w:val="32"/>
          <w:szCs w:val="32"/>
        </w:rPr>
      </w:pPr>
      <w:r>
        <w:rPr>
          <w:rFonts w:hint="eastAsia" w:ascii="仿宋_GB2312" w:hAnsi="仿宋"/>
          <w:bCs/>
          <w:sz w:val="32"/>
          <w:szCs w:val="32"/>
          <w:lang w:val="en-US" w:eastAsia="zh-CN"/>
        </w:rPr>
        <w:t>1.</w:t>
      </w:r>
      <w:r>
        <w:rPr>
          <w:rFonts w:hint="eastAsia" w:ascii="仿宋_GB2312" w:hAnsi="仿宋" w:eastAsia="仿宋_GB2312"/>
          <w:bCs/>
          <w:sz w:val="32"/>
          <w:szCs w:val="32"/>
        </w:rPr>
        <w:t>质量标准</w:t>
      </w:r>
    </w:p>
    <w:p>
      <w:pPr>
        <w:adjustRightInd w:val="0"/>
        <w:spacing w:line="53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1.</w:t>
      </w:r>
      <w:bookmarkStart w:id="0" w:name="_Hlk129298658"/>
      <w:r>
        <w:rPr>
          <w:rFonts w:hint="eastAsia" w:ascii="仿宋_GB2312" w:hAnsi="仿宋"/>
          <w:bCs/>
          <w:sz w:val="32"/>
          <w:szCs w:val="32"/>
          <w:lang w:val="en-US" w:eastAsia="zh-CN"/>
        </w:rPr>
        <w:t>1</w:t>
      </w:r>
      <w:r>
        <w:rPr>
          <w:rFonts w:hint="eastAsia" w:ascii="仿宋_GB2312" w:hAnsi="仿宋" w:eastAsia="仿宋_GB2312"/>
          <w:bCs/>
          <w:sz w:val="32"/>
          <w:szCs w:val="32"/>
        </w:rPr>
        <w:t>乙方交付</w:t>
      </w:r>
      <w:bookmarkEnd w:id="0"/>
      <w:r>
        <w:rPr>
          <w:rFonts w:hint="eastAsia" w:ascii="仿宋_GB2312" w:hAnsi="仿宋" w:eastAsia="仿宋_GB2312"/>
          <w:bCs/>
          <w:sz w:val="32"/>
          <w:szCs w:val="32"/>
        </w:rPr>
        <w:t>的</w:t>
      </w:r>
      <w:bookmarkStart w:id="1" w:name="_Hlk129298245"/>
      <w:r>
        <w:rPr>
          <w:rFonts w:hint="eastAsia" w:ascii="仿宋_GB2312" w:hAnsi="仿宋" w:eastAsia="仿宋_GB2312"/>
          <w:bCs/>
          <w:sz w:val="32"/>
          <w:szCs w:val="32"/>
        </w:rPr>
        <w:t>物资</w:t>
      </w:r>
      <w:bookmarkEnd w:id="1"/>
      <w:r>
        <w:rPr>
          <w:rFonts w:hint="eastAsia" w:ascii="仿宋_GB2312" w:hAnsi="仿宋" w:eastAsia="仿宋_GB2312"/>
          <w:bCs/>
          <w:sz w:val="32"/>
          <w:szCs w:val="32"/>
        </w:rPr>
        <w:t>应当符合采购文件所述的标准。如果没有提及适用标准，则应当符合中华人民共和国有关机构发布的最新版本的标准。</w:t>
      </w:r>
    </w:p>
    <w:p>
      <w:pPr>
        <w:adjustRightInd w:val="0"/>
        <w:spacing w:line="530" w:lineRule="exact"/>
        <w:ind w:firstLine="640" w:firstLineChars="200"/>
        <w:jc w:val="left"/>
        <w:rPr>
          <w:rFonts w:ascii="仿宋_GB2312" w:hAnsi="仿宋" w:eastAsia="仿宋_GB2312"/>
          <w:bCs/>
          <w:sz w:val="32"/>
          <w:szCs w:val="32"/>
        </w:rPr>
      </w:pPr>
      <w:r>
        <w:rPr>
          <w:rFonts w:hint="eastAsia" w:ascii="仿宋_GB2312" w:hAnsi="仿宋"/>
          <w:bCs/>
          <w:sz w:val="32"/>
          <w:szCs w:val="32"/>
          <w:lang w:val="en-US" w:eastAsia="zh-CN"/>
        </w:rPr>
        <w:t>1.</w:t>
      </w:r>
      <w:r>
        <w:rPr>
          <w:rFonts w:hint="eastAsia" w:ascii="仿宋_GB2312" w:hAnsi="仿宋" w:eastAsia="仿宋_GB2312"/>
          <w:bCs/>
          <w:sz w:val="32"/>
          <w:szCs w:val="32"/>
        </w:rPr>
        <w:t>2采用中华人民共和国法定计量单位。</w:t>
      </w:r>
    </w:p>
    <w:p>
      <w:pPr>
        <w:adjustRightInd w:val="0"/>
        <w:spacing w:line="530" w:lineRule="exact"/>
        <w:ind w:firstLine="640" w:firstLineChars="200"/>
        <w:jc w:val="left"/>
        <w:rPr>
          <w:rFonts w:ascii="仿宋_GB2312" w:hAnsi="仿宋" w:eastAsia="仿宋_GB2312"/>
          <w:bCs/>
          <w:sz w:val="32"/>
          <w:szCs w:val="32"/>
        </w:rPr>
      </w:pPr>
      <w:r>
        <w:rPr>
          <w:rFonts w:hint="eastAsia" w:ascii="仿宋_GB2312" w:hAnsi="仿宋"/>
          <w:bCs/>
          <w:sz w:val="32"/>
          <w:szCs w:val="32"/>
          <w:lang w:val="en-US" w:eastAsia="zh-CN"/>
        </w:rPr>
        <w:t>1.</w:t>
      </w:r>
      <w:r>
        <w:rPr>
          <w:rFonts w:hint="eastAsia" w:ascii="仿宋_GB2312" w:hAnsi="仿宋" w:eastAsia="仿宋_GB2312"/>
          <w:bCs/>
          <w:sz w:val="32"/>
          <w:szCs w:val="32"/>
        </w:rPr>
        <w:t>3乙方</w:t>
      </w:r>
      <w:bookmarkStart w:id="2" w:name="_Hlk129298842"/>
      <w:r>
        <w:rPr>
          <w:rFonts w:hint="eastAsia" w:ascii="仿宋_GB2312" w:hAnsi="仿宋" w:eastAsia="仿宋_GB2312"/>
          <w:bCs/>
          <w:sz w:val="32"/>
          <w:szCs w:val="32"/>
        </w:rPr>
        <w:t>交付</w:t>
      </w:r>
      <w:bookmarkEnd w:id="2"/>
      <w:r>
        <w:rPr>
          <w:rFonts w:hint="eastAsia" w:ascii="仿宋_GB2312" w:hAnsi="仿宋" w:eastAsia="仿宋_GB2312"/>
          <w:bCs/>
          <w:sz w:val="32"/>
          <w:szCs w:val="32"/>
        </w:rPr>
        <w:t>的</w:t>
      </w:r>
      <w:bookmarkStart w:id="3" w:name="_Hlk129298745"/>
      <w:r>
        <w:rPr>
          <w:rFonts w:hint="eastAsia" w:ascii="仿宋_GB2312" w:hAnsi="仿宋" w:eastAsia="仿宋_GB2312"/>
          <w:bCs/>
          <w:sz w:val="32"/>
          <w:szCs w:val="32"/>
        </w:rPr>
        <w:t>物资</w:t>
      </w:r>
      <w:bookmarkEnd w:id="3"/>
      <w:r>
        <w:rPr>
          <w:rFonts w:hint="eastAsia" w:ascii="仿宋_GB2312" w:hAnsi="仿宋" w:eastAsia="仿宋_GB2312"/>
          <w:bCs/>
          <w:sz w:val="32"/>
          <w:szCs w:val="32"/>
        </w:rPr>
        <w:t>还应当符合国家有关安全、环保、卫生等规定。</w:t>
      </w:r>
    </w:p>
    <w:p>
      <w:pPr>
        <w:adjustRightInd w:val="0"/>
        <w:spacing w:line="530" w:lineRule="exact"/>
        <w:ind w:firstLine="640" w:firstLineChars="200"/>
        <w:jc w:val="left"/>
        <w:rPr>
          <w:rFonts w:ascii="仿宋_GB2312" w:hAnsi="仿宋" w:eastAsia="仿宋_GB2312"/>
          <w:bCs/>
          <w:sz w:val="32"/>
          <w:szCs w:val="32"/>
        </w:rPr>
      </w:pPr>
      <w:r>
        <w:rPr>
          <w:rFonts w:hint="eastAsia" w:ascii="仿宋_GB2312" w:hAnsi="仿宋"/>
          <w:bCs/>
          <w:sz w:val="32"/>
          <w:szCs w:val="32"/>
          <w:lang w:val="en-US" w:eastAsia="zh-CN"/>
        </w:rPr>
        <w:t>2.</w:t>
      </w:r>
      <w:r>
        <w:rPr>
          <w:rFonts w:hint="eastAsia" w:ascii="仿宋_GB2312" w:hAnsi="仿宋" w:eastAsia="仿宋_GB2312"/>
          <w:bCs/>
          <w:sz w:val="32"/>
          <w:szCs w:val="32"/>
        </w:rPr>
        <w:t>质量保证</w:t>
      </w:r>
    </w:p>
    <w:p>
      <w:pPr>
        <w:adjustRightInd w:val="0"/>
        <w:spacing w:line="530" w:lineRule="exact"/>
        <w:ind w:firstLine="640" w:firstLineChars="200"/>
        <w:jc w:val="left"/>
        <w:rPr>
          <w:rFonts w:ascii="仿宋_GB2312" w:hAnsi="仿宋" w:eastAsia="仿宋_GB2312"/>
          <w:bCs/>
          <w:sz w:val="32"/>
          <w:szCs w:val="32"/>
        </w:rPr>
      </w:pPr>
      <w:r>
        <w:rPr>
          <w:rFonts w:hint="eastAsia" w:ascii="仿宋_GB2312" w:hAnsi="仿宋"/>
          <w:bCs/>
          <w:sz w:val="32"/>
          <w:szCs w:val="32"/>
          <w:lang w:val="en-US" w:eastAsia="zh-CN"/>
        </w:rPr>
        <w:t>2.</w:t>
      </w:r>
      <w:r>
        <w:rPr>
          <w:rFonts w:hint="eastAsia" w:ascii="仿宋_GB2312" w:hAnsi="仿宋" w:eastAsia="仿宋_GB2312"/>
          <w:bCs/>
          <w:sz w:val="32"/>
          <w:szCs w:val="32"/>
        </w:rPr>
        <w:t>1乙方应当保证交付物资是全新的、未使用过的，并完全符合合同约定的质量、规格和性能的要求。</w:t>
      </w:r>
    </w:p>
    <w:p>
      <w:pPr>
        <w:adjustRightInd w:val="0"/>
        <w:spacing w:line="53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2.</w:t>
      </w:r>
      <w:r>
        <w:rPr>
          <w:rFonts w:hint="eastAsia" w:ascii="仿宋_GB2312" w:hAnsi="仿宋"/>
          <w:bCs/>
          <w:sz w:val="32"/>
          <w:szCs w:val="32"/>
          <w:lang w:val="en-US" w:eastAsia="zh-CN"/>
        </w:rPr>
        <w:t>2</w:t>
      </w:r>
      <w:r>
        <w:rPr>
          <w:rFonts w:hint="eastAsia" w:ascii="仿宋_GB2312" w:hAnsi="仿宋" w:eastAsia="仿宋_GB2312"/>
          <w:bCs/>
          <w:sz w:val="32"/>
          <w:szCs w:val="32"/>
        </w:rPr>
        <w:t>在质量保证期内出现的产品质量问题，甲方应当以书面形式通知乙方。乙方收到通知后应当在约定的响应时间内免费维修或更换有缺陷的物资或部件。</w:t>
      </w:r>
    </w:p>
    <w:p>
      <w:pPr>
        <w:spacing w:line="579" w:lineRule="exact"/>
        <w:ind w:firstLine="640" w:firstLineChars="200"/>
        <w:jc w:val="left"/>
        <w:rPr>
          <w:rFonts w:hint="eastAsia" w:ascii="仿宋_GB2312" w:hAnsi="仿宋" w:eastAsia="仿宋_GB2312"/>
          <w:bCs/>
          <w:sz w:val="32"/>
          <w:szCs w:val="32"/>
        </w:rPr>
      </w:pPr>
      <w:r>
        <w:rPr>
          <w:rFonts w:hint="eastAsia" w:ascii="仿宋_GB2312" w:hAnsi="仿宋"/>
          <w:bCs/>
          <w:sz w:val="32"/>
          <w:szCs w:val="32"/>
          <w:lang w:val="en-US" w:eastAsia="zh-CN"/>
        </w:rPr>
        <w:t>2.</w:t>
      </w:r>
      <w:r>
        <w:rPr>
          <w:rFonts w:hint="eastAsia" w:ascii="仿宋_GB2312" w:hAnsi="仿宋" w:eastAsia="仿宋_GB2312"/>
          <w:bCs/>
          <w:sz w:val="32"/>
          <w:szCs w:val="32"/>
        </w:rPr>
        <w:t>3乙方在约定的时间内未能解决质量问题，甲方可采取必要的补救措施，但其风险和费用将由乙方承担，甲方根据合同约定对乙方行使的其他权利不受影响。</w:t>
      </w:r>
    </w:p>
    <w:p>
      <w:pPr>
        <w:spacing w:line="579" w:lineRule="exact"/>
        <w:ind w:firstLine="640" w:firstLineChars="200"/>
        <w:jc w:val="left"/>
        <w:rPr>
          <w:rFonts w:hint="eastAsia" w:ascii="仿宋_GB2312" w:hAnsi="仿宋" w:eastAsia="仿宋_GB2312"/>
          <w:bCs/>
          <w:sz w:val="32"/>
          <w:szCs w:val="32"/>
          <w:lang w:val="en-US" w:eastAsia="zh-CN"/>
        </w:rPr>
      </w:pPr>
      <w:bookmarkStart w:id="4" w:name="_Hlk129326502"/>
      <w:r>
        <w:rPr>
          <w:rFonts w:hint="eastAsia" w:ascii="仿宋_GB2312" w:hAnsi="仿宋" w:eastAsia="仿宋_GB2312"/>
          <w:bCs/>
          <w:sz w:val="32"/>
          <w:szCs w:val="32"/>
          <w:lang w:val="en-US" w:eastAsia="zh-CN"/>
        </w:rPr>
        <w:t>（八）物资编目编码、打码贴签要求</w:t>
      </w:r>
      <w:bookmarkEnd w:id="4"/>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left"/>
        <w:textAlignment w:val="auto"/>
        <w:rPr>
          <w:rFonts w:ascii="仿宋_GB2312" w:eastAsia="仿宋_GB2312"/>
          <w:bCs/>
          <w:sz w:val="32"/>
          <w:szCs w:val="32"/>
        </w:rPr>
      </w:pPr>
      <w:r>
        <w:rPr>
          <w:rFonts w:hint="eastAsia" w:ascii="仿宋_GB2312"/>
          <w:bCs/>
          <w:sz w:val="32"/>
          <w:szCs w:val="32"/>
          <w:lang w:val="en-US" w:eastAsia="zh-CN"/>
        </w:rPr>
        <w:t>1.</w:t>
      </w:r>
      <w:r>
        <w:rPr>
          <w:rFonts w:hint="eastAsia" w:ascii="仿宋_GB2312" w:eastAsia="仿宋_GB2312"/>
          <w:bCs/>
          <w:sz w:val="32"/>
          <w:szCs w:val="32"/>
        </w:rPr>
        <w:t>乙方应当配合甲方完成合同内采购物资的编目编码工作，按照统一要求，提供物资相关数据信息，配合甲方做好编目数据采集工作。涉密信息应当按照国家、军队安全保密有关规定进行处理，确保不发生失泄密问题。</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left"/>
        <w:textAlignment w:val="auto"/>
        <w:rPr>
          <w:rFonts w:ascii="仿宋_GB2312" w:eastAsia="仿宋_GB2312"/>
          <w:bCs/>
          <w:sz w:val="32"/>
          <w:szCs w:val="32"/>
        </w:rPr>
      </w:pPr>
      <w:r>
        <w:rPr>
          <w:rFonts w:hint="eastAsia" w:ascii="仿宋_GB2312" w:eastAsia="仿宋_GB2312"/>
          <w:bCs/>
          <w:sz w:val="32"/>
          <w:szCs w:val="32"/>
        </w:rPr>
        <w:t>1.</w:t>
      </w:r>
      <w:r>
        <w:rPr>
          <w:rFonts w:hint="eastAsia" w:ascii="仿宋_GB2312"/>
          <w:bCs/>
          <w:sz w:val="32"/>
          <w:szCs w:val="32"/>
          <w:lang w:val="en-US" w:eastAsia="zh-CN"/>
        </w:rPr>
        <w:t>1</w:t>
      </w:r>
      <w:r>
        <w:rPr>
          <w:rFonts w:hint="eastAsia" w:ascii="仿宋_GB2312" w:eastAsia="仿宋_GB2312"/>
          <w:bCs/>
          <w:sz w:val="32"/>
          <w:szCs w:val="32"/>
        </w:rPr>
        <w:t>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left"/>
        <w:textAlignment w:val="auto"/>
        <w:rPr>
          <w:rFonts w:ascii="仿宋_GB2312" w:eastAsia="仿宋_GB2312"/>
          <w:bCs/>
          <w:sz w:val="32"/>
          <w:szCs w:val="32"/>
        </w:rPr>
      </w:pPr>
      <w:r>
        <w:rPr>
          <w:rFonts w:hint="eastAsia" w:ascii="仿宋_GB2312"/>
          <w:bCs/>
          <w:sz w:val="32"/>
          <w:szCs w:val="32"/>
          <w:lang w:val="en-US" w:eastAsia="zh-CN"/>
        </w:rPr>
        <w:t>1.</w:t>
      </w:r>
      <w:r>
        <w:rPr>
          <w:rFonts w:hint="eastAsia" w:ascii="仿宋_GB2312" w:eastAsia="仿宋_GB2312"/>
          <w:bCs/>
          <w:sz w:val="32"/>
          <w:szCs w:val="32"/>
        </w:rPr>
        <w:t>2乙方应当配合甲方或承担军队资产编目编码职能的单位，补充完善编目数据。</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left"/>
        <w:textAlignment w:val="auto"/>
        <w:rPr>
          <w:rFonts w:ascii="仿宋_GB2312" w:eastAsia="仿宋_GB2312"/>
          <w:bCs/>
          <w:sz w:val="32"/>
          <w:szCs w:val="32"/>
        </w:rPr>
      </w:pPr>
      <w:r>
        <w:rPr>
          <w:rFonts w:hint="eastAsia" w:ascii="仿宋_GB2312"/>
          <w:bCs/>
          <w:sz w:val="32"/>
          <w:szCs w:val="32"/>
          <w:lang w:val="en-US" w:eastAsia="zh-CN"/>
        </w:rPr>
        <w:t>1.</w:t>
      </w:r>
      <w:r>
        <w:rPr>
          <w:rFonts w:hint="eastAsia" w:ascii="仿宋_GB2312" w:eastAsia="仿宋_GB2312"/>
          <w:bCs/>
          <w:sz w:val="32"/>
          <w:szCs w:val="32"/>
        </w:rPr>
        <w:t>3乙方通过甲方接收赋码后的编目数据包，导入编目用户终端软件，获取品种码，正确填入合同文本，用于打码贴签、验收结算等。</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left"/>
        <w:textAlignment w:val="auto"/>
        <w:rPr>
          <w:rFonts w:ascii="仿宋_GB2312" w:eastAsia="仿宋_GB2312"/>
          <w:bCs/>
          <w:sz w:val="32"/>
          <w:szCs w:val="32"/>
        </w:rPr>
      </w:pPr>
      <w:r>
        <w:rPr>
          <w:rFonts w:hint="eastAsia" w:ascii="仿宋_GB2312"/>
          <w:bCs/>
          <w:sz w:val="32"/>
          <w:szCs w:val="32"/>
          <w:lang w:val="en-US" w:eastAsia="zh-CN"/>
        </w:rPr>
        <w:t>1.</w:t>
      </w:r>
      <w:r>
        <w:rPr>
          <w:rFonts w:hint="eastAsia" w:ascii="仿宋_GB2312" w:eastAsia="仿宋_GB2312"/>
          <w:bCs/>
          <w:sz w:val="32"/>
          <w:szCs w:val="32"/>
        </w:rPr>
        <w:t>4甲方有单件管理需要的，乙方应当依据规则或示例程序自行生成单件码。</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left"/>
        <w:textAlignment w:val="auto"/>
        <w:rPr>
          <w:rFonts w:ascii="仿宋_GB2312" w:eastAsia="仿宋_GB2312"/>
          <w:bCs/>
          <w:sz w:val="32"/>
          <w:szCs w:val="32"/>
        </w:rPr>
      </w:pPr>
      <w:r>
        <w:rPr>
          <w:rFonts w:hint="eastAsia" w:ascii="仿宋_GB2312"/>
          <w:bCs/>
          <w:sz w:val="32"/>
          <w:szCs w:val="32"/>
          <w:lang w:val="en-US" w:eastAsia="zh-CN"/>
        </w:rPr>
        <w:t>2.</w:t>
      </w:r>
      <w:r>
        <w:rPr>
          <w:rFonts w:hint="eastAsia" w:ascii="仿宋_GB2312" w:eastAsia="仿宋_GB2312"/>
          <w:bCs/>
          <w:sz w:val="32"/>
          <w:szCs w:val="32"/>
        </w:rPr>
        <w:t>乙方应当按照统一要求在物资交付前完成打码贴签工作。</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left"/>
        <w:textAlignment w:val="auto"/>
        <w:rPr>
          <w:rFonts w:ascii="仿宋_GB2312" w:eastAsia="仿宋_GB2312"/>
          <w:bCs/>
          <w:sz w:val="32"/>
          <w:szCs w:val="32"/>
        </w:rPr>
      </w:pPr>
      <w:r>
        <w:rPr>
          <w:rFonts w:hint="eastAsia" w:ascii="仿宋_GB2312"/>
          <w:bCs/>
          <w:sz w:val="32"/>
          <w:szCs w:val="32"/>
          <w:lang w:val="en-US" w:eastAsia="zh-CN"/>
        </w:rPr>
        <w:t>2.</w:t>
      </w:r>
      <w:r>
        <w:rPr>
          <w:rFonts w:hint="eastAsia" w:ascii="仿宋_GB2312" w:eastAsia="仿宋_GB2312"/>
          <w:bCs/>
          <w:sz w:val="32"/>
          <w:szCs w:val="32"/>
        </w:rPr>
        <w:t>1物资标识标签格式、张挂位置、材质、码制等内容，应当符合军队有关要求。</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left"/>
        <w:textAlignment w:val="auto"/>
        <w:rPr>
          <w:rFonts w:ascii="仿宋_GB2312" w:eastAsia="仿宋_GB2312"/>
          <w:bCs/>
          <w:sz w:val="32"/>
          <w:szCs w:val="32"/>
        </w:rPr>
      </w:pPr>
      <w:r>
        <w:rPr>
          <w:rFonts w:hint="eastAsia" w:ascii="仿宋_GB2312" w:eastAsia="仿宋_GB2312"/>
          <w:bCs/>
          <w:sz w:val="32"/>
          <w:szCs w:val="32"/>
        </w:rPr>
        <w:t>2.</w:t>
      </w:r>
      <w:r>
        <w:rPr>
          <w:rFonts w:hint="eastAsia" w:ascii="仿宋_GB2312"/>
          <w:bCs/>
          <w:sz w:val="32"/>
          <w:szCs w:val="32"/>
          <w:lang w:val="en-US" w:eastAsia="zh-CN"/>
        </w:rPr>
        <w:t>2</w:t>
      </w:r>
      <w:r>
        <w:rPr>
          <w:rFonts w:hint="eastAsia" w:ascii="仿宋_GB2312" w:eastAsia="仿宋_GB2312"/>
          <w:bCs/>
          <w:sz w:val="32"/>
          <w:szCs w:val="32"/>
        </w:rPr>
        <w:t>物资标识标签上的品种码应当与合同物资明细表中的品种码完全一致。</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left"/>
        <w:textAlignment w:val="auto"/>
        <w:rPr>
          <w:rFonts w:hint="eastAsia" w:ascii="仿宋_GB2312" w:hAnsi="Times New Roman" w:eastAsia="仿宋_GB2312"/>
          <w:kern w:val="2"/>
          <w:sz w:val="32"/>
          <w:szCs w:val="32"/>
        </w:rPr>
      </w:pPr>
      <w:r>
        <w:rPr>
          <w:rFonts w:hint="eastAsia" w:ascii="仿宋_GB2312"/>
          <w:bCs/>
          <w:sz w:val="32"/>
          <w:szCs w:val="32"/>
          <w:lang w:val="en-US" w:eastAsia="zh-CN"/>
        </w:rPr>
        <w:t>3.</w:t>
      </w:r>
      <w:r>
        <w:rPr>
          <w:rFonts w:hint="eastAsia" w:ascii="仿宋_GB2312" w:eastAsia="仿宋_GB2312"/>
          <w:bCs/>
          <w:sz w:val="32"/>
          <w:szCs w:val="32"/>
        </w:rPr>
        <w:t>物资编目数据填报和打码贴签情况，列入出厂检验、到货检验内容，编目数据、标识标签不符合规范要求的，不予通过，不得进入物资储存单位。乙方应当在7日内完成整改，并重新进行检验。</w:t>
      </w:r>
    </w:p>
    <w:p>
      <w:pPr>
        <w:keepNext w:val="0"/>
        <w:keepLines w:val="0"/>
        <w:pageBreakBefore w:val="0"/>
        <w:widowControl w:val="0"/>
        <w:kinsoku/>
        <w:wordWrap/>
        <w:overflowPunct/>
        <w:topLinePunct w:val="0"/>
        <w:autoSpaceDE/>
        <w:autoSpaceDN/>
        <w:bidi w:val="0"/>
        <w:adjustRightInd w:val="0"/>
        <w:snapToGrid/>
        <w:spacing w:line="530" w:lineRule="exact"/>
        <w:ind w:firstLine="640" w:firstLineChars="200"/>
        <w:jc w:val="left"/>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（九）违约责任</w:t>
      </w:r>
    </w:p>
    <w:p>
      <w:pPr>
        <w:pBdr>
          <w:top w:val="none" w:color="auto" w:sz="0" w:space="1"/>
          <w:left w:val="none" w:color="auto" w:sz="0" w:space="4"/>
          <w:bottom w:val="none" w:color="auto" w:sz="0" w:space="1"/>
          <w:right w:val="none" w:color="auto" w:sz="0" w:space="4"/>
        </w:pBdr>
        <w:spacing w:line="579" w:lineRule="exact"/>
        <w:ind w:firstLine="640" w:firstLineChars="200"/>
        <w:jc w:val="both"/>
        <w:rPr>
          <w:rFonts w:hint="eastAsia" w:ascii="仿宋_GB2312" w:hAnsi="仿宋_GB2312" w:cs="仿宋_GB2312"/>
          <w:kern w:val="2"/>
          <w:sz w:val="32"/>
          <w:szCs w:val="32"/>
          <w:lang w:eastAsia="zh-CN"/>
        </w:rPr>
      </w:pPr>
      <w:r>
        <w:rPr>
          <w:rFonts w:hint="eastAsia" w:ascii="仿宋_GB2312" w:hAnsi="仿宋_GB2312" w:eastAsia="仿宋_GB2312" w:cs="仿宋_GB2312"/>
          <w:kern w:val="2"/>
          <w:sz w:val="32"/>
          <w:szCs w:val="32"/>
        </w:rPr>
        <w:t>供应商未经同意延期交货，应当偿付违约金，违约金每天按违约物资金额的1‰计算，违约金最高限额为违约总金额的5%。如果达到违约金最高限额时仍不能交货，或交货时间影响任务实施，终止合作</w:t>
      </w:r>
      <w:r>
        <w:rPr>
          <w:rFonts w:ascii="仿宋_GB2312" w:hAnsi="仿宋_GB2312" w:eastAsia="仿宋_GB2312" w:cs="仿宋_GB2312"/>
          <w:kern w:val="2"/>
          <w:sz w:val="32"/>
          <w:szCs w:val="32"/>
        </w:rPr>
        <w:t>关系</w:t>
      </w:r>
      <w:r>
        <w:rPr>
          <w:rFonts w:hint="eastAsia" w:ascii="仿宋_GB2312" w:hAnsi="仿宋_GB2312" w:cs="仿宋_GB2312"/>
          <w:kern w:val="2"/>
          <w:sz w:val="32"/>
          <w:szCs w:val="32"/>
          <w:lang w:eastAsia="zh-CN"/>
        </w:rPr>
        <w:t>。</w:t>
      </w:r>
    </w:p>
    <w:p>
      <w:pPr>
        <w:pBdr>
          <w:top w:val="none" w:color="auto" w:sz="0" w:space="1"/>
          <w:left w:val="none" w:color="auto" w:sz="0" w:space="4"/>
          <w:bottom w:val="none" w:color="auto" w:sz="0" w:space="1"/>
          <w:right w:val="none" w:color="auto" w:sz="0" w:space="4"/>
        </w:pBdr>
        <w:spacing w:line="579"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（十）售后服务及质保期</w:t>
      </w:r>
    </w:p>
    <w:p>
      <w:pPr>
        <w:spacing w:line="579"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、为确保</w:t>
      </w:r>
      <w:r>
        <w:rPr>
          <w:rFonts w:hint="eastAsia" w:ascii="仿宋" w:hAnsi="仿宋" w:eastAsia="仿宋"/>
          <w:sz w:val="32"/>
          <w:szCs w:val="32"/>
          <w:highlight w:val="none"/>
          <w:lang w:eastAsia="zh-CN"/>
        </w:rPr>
        <w:t>后期正常组织开展临床科室相关技能培训</w:t>
      </w:r>
      <w:r>
        <w:rPr>
          <w:rFonts w:ascii="仿宋" w:hAnsi="仿宋" w:eastAsia="仿宋"/>
          <w:sz w:val="32"/>
          <w:szCs w:val="32"/>
          <w:highlight w:val="none"/>
        </w:rPr>
        <w:t>，</w:t>
      </w:r>
      <w:r>
        <w:rPr>
          <w:rFonts w:hint="eastAsia" w:ascii="仿宋" w:hAnsi="仿宋" w:eastAsia="仿宋"/>
          <w:sz w:val="32"/>
          <w:szCs w:val="32"/>
          <w:highlight w:val="none"/>
        </w:rPr>
        <w:t>乙方</w:t>
      </w:r>
      <w:r>
        <w:rPr>
          <w:rFonts w:ascii="仿宋" w:hAnsi="仿宋" w:eastAsia="仿宋"/>
          <w:sz w:val="32"/>
          <w:szCs w:val="32"/>
          <w:highlight w:val="none"/>
        </w:rPr>
        <w:t>需制定</w:t>
      </w:r>
      <w:r>
        <w:rPr>
          <w:rFonts w:hint="eastAsia" w:ascii="仿宋" w:hAnsi="仿宋" w:eastAsia="仿宋"/>
          <w:sz w:val="32"/>
          <w:szCs w:val="32"/>
          <w:highlight w:val="none"/>
        </w:rPr>
        <w:t>详细完善的售后</w:t>
      </w:r>
      <w:r>
        <w:rPr>
          <w:rFonts w:ascii="仿宋" w:hAnsi="仿宋" w:eastAsia="仿宋"/>
          <w:sz w:val="32"/>
          <w:szCs w:val="32"/>
          <w:highlight w:val="none"/>
        </w:rPr>
        <w:t>方案，确保以标准化的流程，科学</w:t>
      </w:r>
      <w:r>
        <w:rPr>
          <w:rFonts w:hint="eastAsia" w:ascii="仿宋" w:hAnsi="仿宋" w:eastAsia="仿宋"/>
          <w:sz w:val="32"/>
          <w:szCs w:val="32"/>
          <w:highlight w:val="none"/>
        </w:rPr>
        <w:t>的</w:t>
      </w:r>
      <w:r>
        <w:rPr>
          <w:rFonts w:ascii="仿宋" w:hAnsi="仿宋" w:eastAsia="仿宋"/>
          <w:sz w:val="32"/>
          <w:szCs w:val="32"/>
          <w:highlight w:val="none"/>
        </w:rPr>
        <w:t>方式，为</w:t>
      </w:r>
      <w:r>
        <w:rPr>
          <w:rFonts w:hint="eastAsia" w:ascii="仿宋" w:hAnsi="仿宋" w:eastAsia="仿宋"/>
          <w:sz w:val="32"/>
          <w:szCs w:val="32"/>
          <w:highlight w:val="none"/>
        </w:rPr>
        <w:t>甲方</w:t>
      </w:r>
      <w:r>
        <w:rPr>
          <w:rFonts w:ascii="仿宋" w:hAnsi="仿宋" w:eastAsia="仿宋"/>
          <w:sz w:val="32"/>
          <w:szCs w:val="32"/>
          <w:highlight w:val="none"/>
        </w:rPr>
        <w:t>提供软、硬件的巡检、配置操作、维护、维修、升级、培训技术服务工作。</w:t>
      </w:r>
    </w:p>
    <w:p>
      <w:pPr>
        <w:spacing w:line="579"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2、整个系统运行服务周期内，乙方需提供系统运行的服务报告。包括重大故障维修报告、每月故障总结报告、每季度的设备和系统管理报告、每季度的系统维护总结报告和系统升级服务报告。</w:t>
      </w:r>
    </w:p>
    <w:p>
      <w:pPr>
        <w:spacing w:line="579"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3、乙方需承诺免费安装实施，实施前须制订详细的进度表及针对相关科室使用人员和系统管理员的详细的培训计划。培训内容以技术验收文档形式移交给医院。</w:t>
      </w:r>
    </w:p>
    <w:p>
      <w:pPr>
        <w:pStyle w:val="2"/>
        <w:rPr>
          <w:rFonts w:hint="eastAsia" w:ascii="仿宋_GB2312" w:hAnsi="仿宋_GB2312" w:cs="仿宋_GB2312"/>
          <w:kern w:val="2"/>
          <w:sz w:val="32"/>
          <w:szCs w:val="32"/>
          <w:lang w:eastAsia="zh-CN"/>
        </w:rPr>
        <w:sectPr>
          <w:pgSz w:w="11906" w:h="16838"/>
          <w:pgMar w:top="2098" w:right="1474" w:bottom="1417" w:left="1587" w:header="851" w:footer="992" w:gutter="0"/>
          <w:pgNumType w:fmt="numberInDash"/>
          <w:cols w:space="425" w:num="1"/>
          <w:docGrid w:type="lines" w:linePitch="312" w:charSpace="0"/>
        </w:sectPr>
      </w:pPr>
    </w:p>
    <w:p>
      <w:pPr>
        <w:spacing w:line="579"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w:t>
      </w:r>
      <w:r>
        <w:rPr>
          <w:rFonts w:hint="eastAsia" w:ascii="仿宋" w:hAnsi="仿宋" w:eastAsia="仿宋"/>
          <w:sz w:val="32"/>
          <w:szCs w:val="32"/>
          <w:highlight w:val="none"/>
        </w:rPr>
        <w:t>乙方需为甲方提供≥</w:t>
      </w:r>
      <w:r>
        <w:rPr>
          <w:rFonts w:ascii="仿宋" w:hAnsi="仿宋" w:eastAsia="仿宋"/>
          <w:sz w:val="32"/>
          <w:szCs w:val="32"/>
          <w:highlight w:val="none"/>
        </w:rPr>
        <w:t>3次技术和人员培训，通过系统的培训，使</w:t>
      </w:r>
      <w:r>
        <w:rPr>
          <w:rFonts w:hint="eastAsia" w:ascii="仿宋" w:hAnsi="仿宋" w:eastAsia="仿宋"/>
          <w:sz w:val="32"/>
          <w:szCs w:val="32"/>
          <w:highlight w:val="none"/>
        </w:rPr>
        <w:t>甲</w:t>
      </w:r>
      <w:r>
        <w:rPr>
          <w:rFonts w:ascii="仿宋" w:hAnsi="仿宋" w:eastAsia="仿宋"/>
          <w:sz w:val="32"/>
          <w:szCs w:val="32"/>
          <w:highlight w:val="none"/>
        </w:rPr>
        <w:t>方获得工作需要的专业技术知识和经验，从而保障整个系统的顺利运行。通过对</w:t>
      </w:r>
      <w:r>
        <w:rPr>
          <w:rFonts w:hint="eastAsia" w:ascii="仿宋" w:hAnsi="仿宋" w:eastAsia="仿宋"/>
          <w:sz w:val="32"/>
          <w:szCs w:val="32"/>
          <w:highlight w:val="none"/>
        </w:rPr>
        <w:t>甲</w:t>
      </w:r>
      <w:r>
        <w:rPr>
          <w:rFonts w:ascii="仿宋" w:hAnsi="仿宋" w:eastAsia="仿宋"/>
          <w:sz w:val="32"/>
          <w:szCs w:val="32"/>
          <w:highlight w:val="none"/>
        </w:rPr>
        <w:t>方用户人员进行全面的技术培训，使用户人员达到能独立进行管理、日常</w:t>
      </w:r>
      <w:r>
        <w:rPr>
          <w:rFonts w:hint="eastAsia" w:ascii="仿宋" w:hAnsi="仿宋" w:eastAsia="仿宋"/>
          <w:sz w:val="32"/>
          <w:szCs w:val="32"/>
          <w:highlight w:val="none"/>
        </w:rPr>
        <w:t>使用</w:t>
      </w:r>
      <w:r>
        <w:rPr>
          <w:rFonts w:ascii="仿宋" w:hAnsi="仿宋" w:eastAsia="仿宋"/>
          <w:sz w:val="32"/>
          <w:szCs w:val="32"/>
          <w:highlight w:val="none"/>
        </w:rPr>
        <w:t xml:space="preserve">工作。 </w:t>
      </w:r>
    </w:p>
    <w:p>
      <w:pPr>
        <w:spacing w:line="579"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5、质保期内定期上门了解使用情况并及时解决问题，每年对设备进行</w:t>
      </w:r>
      <w:r>
        <w:rPr>
          <w:rFonts w:ascii="仿宋" w:hAnsi="仿宋" w:eastAsia="仿宋"/>
          <w:sz w:val="32"/>
          <w:szCs w:val="32"/>
          <w:highlight w:val="none"/>
        </w:rPr>
        <w:t>2次免费保养及养护。</w:t>
      </w:r>
      <w:r>
        <w:rPr>
          <w:rFonts w:hint="eastAsia" w:ascii="仿宋" w:hAnsi="仿宋" w:eastAsia="仿宋"/>
          <w:sz w:val="32"/>
          <w:szCs w:val="32"/>
          <w:highlight w:val="none"/>
        </w:rPr>
        <w:t>根据机器设备的使用情况和完好状况，列出重点设备，要经常检查和了解各重点设备的运行情况，制定设备的维修保养计划。对设备进行检查维修，更换、修复。</w:t>
      </w:r>
    </w:p>
    <w:p>
      <w:pPr>
        <w:tabs>
          <w:tab w:val="left" w:pos="840"/>
          <w:tab w:val="left" w:pos="1080"/>
        </w:tabs>
        <w:autoSpaceDE w:val="0"/>
        <w:autoSpaceDN w:val="0"/>
        <w:adjustRightInd w:val="0"/>
        <w:spacing w:line="579" w:lineRule="exact"/>
        <w:ind w:firstLine="640" w:firstLineChars="200"/>
        <w:outlineLvl w:val="3"/>
        <w:rPr>
          <w:rFonts w:ascii="仿宋" w:hAnsi="仿宋" w:eastAsia="仿宋"/>
          <w:sz w:val="32"/>
          <w:szCs w:val="32"/>
          <w:highlight w:val="none"/>
        </w:rPr>
      </w:pPr>
      <w:r>
        <w:rPr>
          <w:rFonts w:ascii="仿宋" w:hAnsi="仿宋" w:eastAsia="仿宋"/>
          <w:sz w:val="32"/>
          <w:szCs w:val="32"/>
          <w:highlight w:val="none"/>
        </w:rPr>
        <w:t>6</w:t>
      </w:r>
      <w:r>
        <w:rPr>
          <w:rFonts w:hint="eastAsia" w:ascii="仿宋" w:hAnsi="仿宋" w:eastAsia="仿宋"/>
          <w:sz w:val="32"/>
          <w:szCs w:val="32"/>
          <w:highlight w:val="none"/>
        </w:rPr>
        <w:t>、质保期及售后服务时间：自验收通过之日起所涉及硬件</w:t>
      </w:r>
      <w:r>
        <w:rPr>
          <w:rFonts w:ascii="仿宋" w:hAnsi="仿宋" w:eastAsia="仿宋"/>
          <w:sz w:val="32"/>
          <w:szCs w:val="32"/>
          <w:highlight w:val="none"/>
        </w:rPr>
        <w:t>3</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、软件</w:t>
      </w:r>
      <w:r>
        <w:rPr>
          <w:rFonts w:hint="eastAsia" w:ascii="仿宋" w:hAnsi="仿宋" w:eastAsia="仿宋"/>
          <w:sz w:val="32"/>
          <w:szCs w:val="32"/>
          <w:highlight w:val="none"/>
          <w:lang w:val="en-US" w:eastAsia="zh-CN"/>
        </w:rPr>
        <w:t>5年，</w:t>
      </w:r>
      <w:r>
        <w:rPr>
          <w:rFonts w:hint="eastAsia" w:ascii="仿宋" w:hAnsi="仿宋" w:eastAsia="仿宋"/>
          <w:sz w:val="32"/>
          <w:szCs w:val="32"/>
          <w:highlight w:val="none"/>
        </w:rPr>
        <w:t>需提供原厂质保服务与</w:t>
      </w:r>
      <w:r>
        <w:rPr>
          <w:rFonts w:ascii="仿宋" w:hAnsi="仿宋" w:eastAsia="仿宋"/>
          <w:sz w:val="32"/>
          <w:szCs w:val="32"/>
          <w:highlight w:val="none"/>
        </w:rPr>
        <w:t>免费</w:t>
      </w:r>
      <w:r>
        <w:rPr>
          <w:rFonts w:hint="eastAsia" w:ascii="仿宋" w:hAnsi="仿宋" w:eastAsia="仿宋"/>
          <w:sz w:val="32"/>
          <w:szCs w:val="32"/>
          <w:highlight w:val="none"/>
        </w:rPr>
        <w:t>升级</w:t>
      </w:r>
      <w:r>
        <w:rPr>
          <w:rFonts w:ascii="仿宋" w:hAnsi="仿宋" w:eastAsia="仿宋"/>
          <w:sz w:val="32"/>
          <w:szCs w:val="32"/>
          <w:highlight w:val="none"/>
        </w:rPr>
        <w:t>服务</w:t>
      </w:r>
      <w:r>
        <w:rPr>
          <w:rFonts w:hint="eastAsia" w:ascii="仿宋" w:hAnsi="仿宋" w:eastAsia="仿宋"/>
          <w:sz w:val="32"/>
          <w:szCs w:val="32"/>
          <w:highlight w:val="none"/>
        </w:rPr>
        <w:t>，含</w:t>
      </w:r>
      <w:r>
        <w:rPr>
          <w:rFonts w:ascii="仿宋" w:hAnsi="仿宋" w:eastAsia="仿宋"/>
          <w:sz w:val="32"/>
          <w:szCs w:val="32"/>
          <w:highlight w:val="none"/>
        </w:rPr>
        <w:t>7*24</w:t>
      </w:r>
      <w:r>
        <w:rPr>
          <w:rFonts w:hint="eastAsia" w:ascii="仿宋" w:hAnsi="仿宋" w:eastAsia="仿宋"/>
          <w:sz w:val="32"/>
          <w:szCs w:val="32"/>
          <w:highlight w:val="none"/>
        </w:rPr>
        <w:t>小时标准服务，</w:t>
      </w:r>
      <w:r>
        <w:rPr>
          <w:rFonts w:ascii="仿宋" w:hAnsi="仿宋" w:eastAsia="仿宋"/>
          <w:sz w:val="32"/>
          <w:szCs w:val="32"/>
          <w:highlight w:val="none"/>
        </w:rPr>
        <w:t>系统发生故障，须1小时之内响应，2小时内到达现场维修，24小时内修复</w:t>
      </w:r>
      <w:r>
        <w:rPr>
          <w:rFonts w:hint="eastAsia" w:ascii="仿宋" w:hAnsi="仿宋" w:eastAsia="仿宋"/>
          <w:sz w:val="32"/>
          <w:szCs w:val="32"/>
          <w:highlight w:val="none"/>
        </w:rPr>
        <w:t>，乙方需提供明确</w:t>
      </w:r>
      <w:r>
        <w:rPr>
          <w:rFonts w:ascii="仿宋" w:hAnsi="仿宋" w:eastAsia="仿宋"/>
          <w:sz w:val="32"/>
          <w:szCs w:val="32"/>
          <w:highlight w:val="none"/>
        </w:rPr>
        <w:t>应急处置方案措施</w:t>
      </w:r>
      <w:r>
        <w:rPr>
          <w:rFonts w:hint="eastAsia" w:ascii="仿宋" w:hAnsi="仿宋" w:eastAsia="仿宋"/>
          <w:sz w:val="32"/>
          <w:szCs w:val="32"/>
          <w:highlight w:val="none"/>
        </w:rPr>
        <w:t>。</w:t>
      </w:r>
    </w:p>
    <w:p>
      <w:pPr>
        <w:tabs>
          <w:tab w:val="left" w:pos="840"/>
          <w:tab w:val="left" w:pos="1080"/>
        </w:tabs>
        <w:autoSpaceDE w:val="0"/>
        <w:autoSpaceDN w:val="0"/>
        <w:adjustRightInd w:val="0"/>
        <w:spacing w:line="579" w:lineRule="exact"/>
        <w:ind w:firstLine="640" w:firstLineChars="200"/>
        <w:outlineLvl w:val="3"/>
        <w:rPr>
          <w:rFonts w:hint="eastAsia" w:ascii="仿宋" w:hAnsi="仿宋" w:eastAsia="仿宋"/>
          <w:sz w:val="32"/>
          <w:szCs w:val="32"/>
          <w:highlight w:val="none"/>
        </w:rPr>
      </w:pPr>
      <w:r>
        <w:rPr>
          <w:rFonts w:ascii="仿宋" w:hAnsi="仿宋" w:eastAsia="仿宋"/>
          <w:sz w:val="32"/>
          <w:szCs w:val="32"/>
          <w:highlight w:val="none"/>
        </w:rPr>
        <w:t>7</w:t>
      </w:r>
      <w:r>
        <w:rPr>
          <w:rFonts w:hint="eastAsia" w:ascii="仿宋" w:hAnsi="仿宋" w:eastAsia="仿宋"/>
          <w:sz w:val="32"/>
          <w:szCs w:val="32"/>
          <w:highlight w:val="none"/>
        </w:rPr>
        <w:t>、乙方须针对本项目实际情况设置全职</w:t>
      </w:r>
      <w:r>
        <w:rPr>
          <w:rFonts w:ascii="仿宋" w:hAnsi="仿宋" w:eastAsia="仿宋"/>
          <w:sz w:val="32"/>
          <w:szCs w:val="32"/>
          <w:highlight w:val="none"/>
        </w:rPr>
        <w:t>售后</w:t>
      </w:r>
      <w:r>
        <w:rPr>
          <w:rFonts w:hint="eastAsia" w:ascii="仿宋" w:hAnsi="仿宋" w:eastAsia="仿宋"/>
          <w:sz w:val="32"/>
          <w:szCs w:val="32"/>
          <w:highlight w:val="none"/>
        </w:rPr>
        <w:t>驻场运维人员1名</w:t>
      </w:r>
      <w:r>
        <w:rPr>
          <w:rFonts w:ascii="仿宋" w:hAnsi="仿宋" w:eastAsia="仿宋"/>
          <w:sz w:val="32"/>
          <w:szCs w:val="32"/>
          <w:highlight w:val="none"/>
        </w:rPr>
        <w:t>，</w:t>
      </w:r>
      <w:r>
        <w:rPr>
          <w:rFonts w:hint="eastAsia" w:ascii="仿宋" w:hAnsi="仿宋" w:eastAsia="仿宋"/>
          <w:sz w:val="32"/>
          <w:szCs w:val="32"/>
          <w:highlight w:val="none"/>
        </w:rPr>
        <w:t>作为整个项目后期平稳运行的服务支撑依据。</w:t>
      </w:r>
    </w:p>
    <w:p>
      <w:pPr>
        <w:tabs>
          <w:tab w:val="left" w:pos="840"/>
          <w:tab w:val="left" w:pos="1080"/>
        </w:tabs>
        <w:autoSpaceDE w:val="0"/>
        <w:autoSpaceDN w:val="0"/>
        <w:adjustRightInd w:val="0"/>
        <w:spacing w:line="579" w:lineRule="exact"/>
        <w:ind w:firstLine="640" w:firstLineChars="200"/>
        <w:outlineLvl w:val="3"/>
        <w:rPr>
          <w:rFonts w:hint="eastAsia" w:ascii="仿宋" w:hAnsi="仿宋" w:eastAsia="仿宋"/>
          <w:sz w:val="32"/>
          <w:szCs w:val="32"/>
          <w:highlight w:val="none"/>
        </w:rPr>
      </w:pPr>
      <w:r>
        <w:rPr>
          <w:rFonts w:ascii="仿宋" w:hAnsi="仿宋" w:eastAsia="仿宋"/>
          <w:sz w:val="32"/>
          <w:szCs w:val="32"/>
          <w:highlight w:val="none"/>
        </w:rPr>
        <w:t>8</w:t>
      </w:r>
      <w:r>
        <w:rPr>
          <w:rFonts w:hint="eastAsia" w:ascii="仿宋" w:hAnsi="仿宋" w:eastAsia="仿宋"/>
          <w:sz w:val="32"/>
          <w:szCs w:val="32"/>
          <w:highlight w:val="none"/>
        </w:rPr>
        <w:t>、乙方对提供的货物在质保期内，因产品质量而导致的缺陷，必须免费提供维修、更换等服务，质保期外配件价格符合市场平均价格，所有备件免费上门更换并进行相关的恢复。</w:t>
      </w:r>
    </w:p>
    <w:p>
      <w:pPr>
        <w:tabs>
          <w:tab w:val="left" w:pos="840"/>
          <w:tab w:val="left" w:pos="1080"/>
        </w:tabs>
        <w:autoSpaceDE w:val="0"/>
        <w:autoSpaceDN w:val="0"/>
        <w:adjustRightInd w:val="0"/>
        <w:spacing w:line="579" w:lineRule="exact"/>
        <w:ind w:firstLine="640" w:firstLineChars="200"/>
        <w:outlineLvl w:val="3"/>
        <w:rPr>
          <w:rFonts w:hint="eastAsia"/>
        </w:rPr>
      </w:pPr>
      <w:r>
        <w:rPr>
          <w:rFonts w:ascii="仿宋" w:hAnsi="仿宋" w:eastAsia="仿宋"/>
          <w:sz w:val="32"/>
          <w:szCs w:val="32"/>
          <w:highlight w:val="none"/>
        </w:rPr>
        <w:t>9</w:t>
      </w:r>
      <w:r>
        <w:rPr>
          <w:rFonts w:hint="eastAsia" w:ascii="仿宋" w:hAnsi="仿宋" w:eastAsia="仿宋"/>
          <w:sz w:val="32"/>
          <w:szCs w:val="32"/>
          <w:highlight w:val="none"/>
        </w:rPr>
        <w:t>、投标人须在“三包”范围内无偿提供该货物的技术支持。</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项目技术参数及要求</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(一)系统组成</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系统必须由胸部检查模拟人、腹部检查模拟人、台车、一体机系统协同工作。</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（二）系统参数</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b/>
          <w:bCs/>
          <w:highlight w:val="none"/>
          <w:lang w:val="en-US" w:eastAsia="zh-CN"/>
        </w:rPr>
      </w:pPr>
      <w:r>
        <w:rPr>
          <w:rFonts w:hint="eastAsia"/>
          <w:b/>
          <w:bCs/>
          <w:highlight w:val="none"/>
          <w:lang w:val="en-US" w:eastAsia="zh-CN"/>
        </w:rPr>
        <w:t>1.台车参数</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结构：采用高强度金属框架和优质工程塑料材质，表面光滑无毛刺，边角圆润，防止碰撞伤害。</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尺寸：长166cm左右，宽64cm左右，高147cm左右（需符合人体适用高度）</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移动性：需配备4个静音万向轮，其中至少2个带刹车装置，方便台车固定和移动。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承载能力：台面需承受不大于70kg的重量，确保模拟模型及相关设备放置稳固。</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储物空间：具备不少于2个抽屉，抽屉内部有分隔设计，方便存放教学用具、模型配件等，抽屉承重不大于10kg。</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便利性：台车内置有音响，可供大课堂教学使用，确保教学活动的高效进行。</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b/>
          <w:bCs/>
          <w:highlight w:val="none"/>
          <w:lang w:val="en-US" w:eastAsia="zh-CN"/>
        </w:rPr>
      </w:pPr>
      <w:r>
        <w:rPr>
          <w:rFonts w:hint="eastAsia"/>
          <w:b/>
          <w:bCs/>
          <w:highlight w:val="none"/>
          <w:lang w:val="en-US" w:eastAsia="zh-CN"/>
        </w:rPr>
        <w:t>2.显示屏参数</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类型：24寸一体机。</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显示内容：需清晰显示教学模拟软件界面、教学视频、图像及数据等信息。</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b/>
          <w:bCs/>
          <w:highlight w:val="none"/>
          <w:lang w:val="en-US" w:eastAsia="zh-CN"/>
        </w:rPr>
      </w:pPr>
      <w:r>
        <w:rPr>
          <w:rFonts w:hint="eastAsia"/>
          <w:b/>
          <w:bCs/>
          <w:highlight w:val="none"/>
          <w:lang w:val="en-US" w:eastAsia="zh-CN"/>
        </w:rPr>
        <w:t>3.胸部模拟模型参数</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材质：采用医用级硅胶或高分子材料，触感真实，无毒无害，耐磨损、耐消毒处理。</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b/>
          <w:bCs/>
          <w:highlight w:val="none"/>
          <w:lang w:val="en-US" w:eastAsia="zh-CN"/>
        </w:rPr>
      </w:pPr>
      <w:r>
        <w:rPr>
          <w:rFonts w:hint="eastAsia"/>
          <w:highlight w:val="none"/>
          <w:lang w:val="en-US" w:eastAsia="zh-CN"/>
        </w:rPr>
        <w:t>功能：能够模拟人体相关部位的解剖结构和生理特征，支持体格检查的临床操作，如胸部“视、触、叩、听”、 腹部 “视、听、触、叩”的技能训练与考核。</w:t>
      </w:r>
      <w:r>
        <w:rPr>
          <w:rFonts w:hint="eastAsia"/>
          <w:b/>
          <w:bCs/>
          <w:highlight w:val="none"/>
          <w:lang w:val="en-US" w:eastAsia="zh-CN"/>
        </w:rPr>
        <w:t xml:space="preserve"> </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3.1、模拟人内衬真实的骨骼结构，体表标志清晰，皮肤触感真实、柔软，光滑，满足体表定位需求。</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3.2、模拟人头部有智能眼球，可清晰观看到眼睛各种生理、病理变化；左右眼能够实现同步反应、非同步反应，满足多样化的教学需求。</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★3.2.1可实现眨眼，可设置5种眨眼速度，模拟不同的眨眼状态（需提供证明资料进行佐证）</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3.2.2可进行眼底检查，内置约30种眼内视网膜病变类型，包括：细菌性角膜炎、过敏性结膜炎、睑裂斑、球结膜下出血、蚕食性角膜溃疡、角膜溃疡、颗粒状角膜营养不良、角膜白斑、角膜基质炎、表层巩膜炎、虹膜缺损、眼粘膜类天疱疮、白内障、周边溃疡性角膜炎、角膜鳞状细胞癌、角膜纤维组织细胞瘤、酒渣鼻性角膜炎等，帮助学员全面学习和掌握眼底病变的检查与诊断（需提供证明资料进行佐证）；</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★3.2.3可进行眼球运动检查，眼球可灵活地左右活动，便于进行眼球运动相关的检查操作；</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3.2.4可进行瞳孔对光反射检查，对光反射时可调正常、缓慢、无的反应速度。能够模拟瞳孔散大、瞳孔正常、瞳孔缩小及瞳孔针尖样等多种状态，并且可进行对光反射以及间接对光反射功能，高度还原真实的眼部生理反应（需提供证明资料进行佐证）。</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eastAsia="仿宋_GB2312"/>
          <w:highlight w:val="none"/>
          <w:lang w:val="en-US" w:eastAsia="zh-CN"/>
        </w:rPr>
      </w:pPr>
      <w:r>
        <w:rPr>
          <w:rFonts w:hint="eastAsia"/>
          <w:highlight w:val="none"/>
          <w:lang w:val="en-US" w:eastAsia="zh-CN"/>
        </w:rPr>
        <w:t>3.3、模型人双侧颈动脉有搏动，可设置脉搏频率，调节范围为0~200次/分，可以真实触摸脉搏搏动，仿真人跳动，方便教学。</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3.4、心音可实现在主动脉瓣区、肺动脉瓣区、二尖瓣区（心尖）、三尖瓣区、主动脉瓣第二听诊区的听诊；肺音可实现喉部、腋前线上、下部和腋中线上、下部；背部腋后线、肩胛间区，肩胛下区等多个胸部听诊区域同时覆盖的听诊。</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yellow"/>
          <w:lang w:val="en-US" w:eastAsia="zh-CN"/>
        </w:rPr>
      </w:pPr>
      <w:r>
        <w:rPr>
          <w:rFonts w:hint="eastAsia"/>
          <w:highlight w:val="none"/>
          <w:lang w:val="en-US" w:eastAsia="zh-CN"/>
        </w:rPr>
        <w:t>3.5、使用临床真实听诊器听诊，更贴近临床听诊效果，且没有听诊人数限制，实现多人同时听诊，适合全体化教学。</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3.6、模型底部安装有转盘，可360度旋转，方便学员全方位移动模型进行听诊。</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3.7、模型具有人机对话功能，可进行问诊操作，问诊内容不小于50种。</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b/>
          <w:bCs/>
          <w:highlight w:val="none"/>
          <w:lang w:val="en-US" w:eastAsia="zh-CN"/>
        </w:rPr>
      </w:pPr>
      <w:r>
        <w:rPr>
          <w:rFonts w:hint="eastAsia"/>
          <w:b/>
          <w:bCs/>
          <w:highlight w:val="none"/>
          <w:lang w:val="en-US" w:eastAsia="zh-CN"/>
        </w:rPr>
        <w:t xml:space="preserve"> 4.腹部检查模拟人</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4.1、模拟人为成人女性上大半身，卧躺在硬制台桌或者病床上，解剖标志明显，方便触诊时手部定位，体表皮肤触感柔软、光滑，深部触诊手感软硬度逼真，符合临床触诊要求。</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4.2、模型可模拟腹式呼吸，可见腹部上下起伏，起伏程度分3个等级：深度、正常和浅度。可模拟胸部呼吸运动，正常呼吸运动及及呼吸困难。</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4.3、模拟人头部有智能眼球，可清晰观看到眼睛各种生理、病理变化；左右眼能够实现同步反应、非同步反应，满足多样化的教学需求。</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4.3.1可实现眨眼，可设置5种眨眼速度，模拟不同的眨眼状态；</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4.3.2可进行眼底检查，内置约30种眼内视网膜病变类型，包括：细菌性角膜炎、过敏性结膜炎、睑裂斑、球结膜下出血、蚕食性角膜溃疡、角膜溃疡、颗粒状角膜营养不良、角膜白斑、角膜基质炎、表层巩膜炎、虹膜缺损、眼粘膜类天疱疮、白内障、周边溃疡性角膜炎、角膜鳞状细胞癌、角膜纤维组织细胞瘤、酒渣鼻性角膜炎等，帮助学员全面学习和掌握眼底病变的检查与诊断；</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4.3.3可进行眼球运动检查，眼球可灵活地左右活动，便于进行眼球运动相关的检查操作；</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4.3.4可进行瞳孔对光反射检查，对光反射时可调正常、缓慢、无的反应速度。能够模拟瞳孔散大、瞳孔正常、瞳孔缩小及瞳孔针尖样等多种状态，并且可进行对光反射以及间接对光反射功能，高度还原真实的眼部生理反应。</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4.4、模型人双侧颈动脉有搏动，可设置脉搏频率，调节范围为0~200次/分，可以真实触摸脉搏搏动，仿真人跳动，方便教学。</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4.5、可模拟不同程度的肝肿大和脾肿大，肿大的程度可从0CM~8CM自由设置。</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4.6、模型可模拟胃、胰腺、小肠、阑尾、膀胱或子宫、回盲、左上输尿管点、右上输尿管点、左中输尿管点、右中输尿管点、肝或结肠肝曲、脾脏或结肠脾曲、肝脏囊肿、胆囊囊肿（墨菲征）等至少14个部位的压痛、反跳痛触诊点。</w:t>
      </w:r>
    </w:p>
    <w:p>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b/>
          <w:bCs/>
          <w:highlight w:val="none"/>
          <w:lang w:val="en-US" w:eastAsia="zh-CN"/>
        </w:rPr>
      </w:pPr>
      <w:r>
        <w:rPr>
          <w:rFonts w:hint="eastAsia"/>
          <w:b/>
          <w:bCs/>
          <w:highlight w:val="none"/>
          <w:lang w:val="en-US" w:eastAsia="zh-CN"/>
        </w:rPr>
        <w:t>5.软件系统参数</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兼容性：兼容主流操作系统，如Windows 10及以上版本。</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教学资源：软件系统需以《诊断学》教材及《内科学》教材为依据设定。包含丰富的多媒体内容，含括3D模拟动画、二维动画、真人教学视频、文字详解以及案例图片等，按教材内容进行图、文、音、像四位一体的视诊、触诊、叩诊、听诊及呼吸系统、循环系统和各种常见疾病体征的理论教学。系统带有音量调节功能，每种心肺听诊音均设置音量调节。内置10种以上病例，包括病人基本信息、主诉、生命体征等相关内容，用户可对病例相关内容进行编辑。</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胸部检查软件</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1、视诊内容需包括胸部体表标志、胸廓、胸壁、心脏以及乳房等的视诊。</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2、触诊内容需包括胸廓扩张度、心脏触诊和乳房触诊，真人视频、3D动画讲诉触诊内容和方法，可触及的心尖搏动、心包摩擦感、语音震颤和胸膜摩擦感，根据不同病例设置有不同强弱的语颤、心包摩擦感、胸膜摩擦感的触诊体征。</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3、叩诊内容需包括肺部叩诊和心脏叩诊，真人视频、3D动画阐明叩诊的方法和顺序。</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胸部听诊内容需包括心脏听诊、肺脏听诊以及鉴别听诊，可实现在二尖瓣区（心尖）、肺动脉瓣区、主动脉瓣区、主动脉瓣第二听诊区、三尖瓣区等位置听诊，需满足多人（至少3人以上）多处同时听诊使用临床真实听诊器进行听诊。</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腹部检查软件</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 xml:space="preserve">1、腹部视诊内容包括腹部体表标志、腹部外形、呼吸运动和腹壁情况，包含腹部外形（膨隆、凹陷等）、腹壁 (皮疹、瘢痕等)、腹部静脉、胃肠型及蠕动波（胃型、蠕动波等）等相关的内容。在仿真人体模型上可模拟腹式呼吸运动：呼吸频率在0~30次/分均可选择调节，且呼吸幅度有正常、浅、深3种调节模式；肝脏-胆囊、脾脏随呼吸运动在膈的上下移动。 </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2、腹部叩诊需满足肋脊角叩痛、肝区叩痛相关内容。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3、腹部听诊需包含肠鸣音、血管杂音、摩擦音、搔刮试验等相关内容。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4、触诊包含触诊顺序、腹壁紧张度、压痛及反跳痛、肝脏触诊、脾脏触诊、胆囊触诊等。</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（三）考核系统</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1、系统自带考试系统，可自主选择试题、筛选试题。</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2、可进行自我练习或自我考核等。题型为单项选择题、多项选择题。</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highlight w:val="none"/>
          <w:lang w:val="en-US" w:eastAsia="zh-CN"/>
        </w:rPr>
      </w:pPr>
      <w:r>
        <w:rPr>
          <w:rFonts w:hint="eastAsia"/>
          <w:highlight w:val="none"/>
          <w:lang w:val="en-US" w:eastAsia="zh-CN"/>
        </w:rPr>
        <w:t>3、内置丰富题库，其中理论题不少于750道，技能题不少于100道，试题均可自行编辑、添加、删减，可使用模板批量导入试题。</w:t>
      </w:r>
    </w:p>
    <w:p>
      <w:pPr>
        <w:spacing w:line="579" w:lineRule="exact"/>
        <w:jc w:val="center"/>
        <w:rPr>
          <w:rFonts w:hint="eastAsia" w:ascii="方正小标宋简体" w:eastAsia="方正小标宋简体" w:cs="方正小标宋简体"/>
          <w:sz w:val="44"/>
          <w:szCs w:val="44"/>
        </w:rPr>
      </w:pPr>
    </w:p>
    <w:p>
      <w:pPr>
        <w:numPr>
          <w:ilvl w:val="0"/>
          <w:numId w:val="0"/>
        </w:numPr>
        <w:ind w:leftChars="0"/>
        <w:rPr>
          <w:lang w:val="en-US" w:eastAsia="zh-CN"/>
        </w:rPr>
      </w:pPr>
    </w:p>
    <w:sectPr>
      <w:headerReference r:id="rId3" w:type="first"/>
      <w:footerReference r:id="rId5" w:type="first"/>
      <w:footerReference r:id="rId4" w:type="default"/>
      <w:pgSz w:w="11906" w:h="16838"/>
      <w:pgMar w:top="2098" w:right="1474" w:bottom="1985" w:left="1588" w:header="709" w:footer="992"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color w:val="FFFFFF"/>
      </w:rPr>
      <w:fldChar w:fldCharType="begin"/>
    </w:r>
    <w:r>
      <w:rPr>
        <w:color w:val="FFFFFF"/>
      </w:rPr>
      <w:instrText xml:space="preserve">PAGE   \* MERGEFORMAT</w:instrText>
    </w:r>
    <w:r>
      <w:rPr>
        <w:color w:val="FFFFFF"/>
      </w:rPr>
      <w:fldChar w:fldCharType="separate"/>
    </w:r>
    <w:r>
      <w:rPr>
        <w:color w:val="FFFFFF"/>
      </w:rPr>
      <w:t>- 1 -</w:t>
    </w:r>
    <w:r>
      <w:rPr>
        <w:color w:val="FFFFFF"/>
      </w:rPr>
      <w:fldChar w:fldCharType="end"/>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8"/>
      <w:rPr>
        <w:color w:val="FFFFFF"/>
      </w:rPr>
    </w:pPr>
  </w:p>
  <w:p>
    <w:pPr>
      <w:pStyle w:val="8"/>
      <w:tabs>
        <w:tab w:val="left" w:pos="772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579" w:lineRule="exact"/>
      <w:rPr>
        <w:rFonts w:hint="eastAsia" w:ascii="仿宋_GB2312" w:eastAsia="仿宋_GB2312"/>
        <w:b/>
        <w:bCs/>
        <w:sz w:val="32"/>
        <w:szCs w:val="32"/>
        <w:lang w:eastAsia="zh-CN"/>
      </w:rPr>
    </w:pPr>
  </w:p>
  <w:p>
    <w:pPr>
      <w:widowControl/>
      <w:spacing w:line="57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mNzBkMTE1NTQyZmM0OGFiZTE3ZjkzNjZjMGQyYTIifQ=="/>
  </w:docVars>
  <w:rsids>
    <w:rsidRoot w:val="00005301"/>
    <w:rsid w:val="00005301"/>
    <w:rsid w:val="00026D9E"/>
    <w:rsid w:val="000967F6"/>
    <w:rsid w:val="001406AC"/>
    <w:rsid w:val="00153171"/>
    <w:rsid w:val="001D3CB6"/>
    <w:rsid w:val="00202E0F"/>
    <w:rsid w:val="00226222"/>
    <w:rsid w:val="00290A47"/>
    <w:rsid w:val="002B7F1B"/>
    <w:rsid w:val="0031729E"/>
    <w:rsid w:val="00331255"/>
    <w:rsid w:val="003362B3"/>
    <w:rsid w:val="003739F5"/>
    <w:rsid w:val="003A7009"/>
    <w:rsid w:val="00403BBD"/>
    <w:rsid w:val="0049764F"/>
    <w:rsid w:val="004C194D"/>
    <w:rsid w:val="004E3D79"/>
    <w:rsid w:val="005F7953"/>
    <w:rsid w:val="00683D47"/>
    <w:rsid w:val="007320AA"/>
    <w:rsid w:val="007A5C4C"/>
    <w:rsid w:val="007A6672"/>
    <w:rsid w:val="007C4D05"/>
    <w:rsid w:val="007C5428"/>
    <w:rsid w:val="007F330F"/>
    <w:rsid w:val="009878B9"/>
    <w:rsid w:val="00A038EF"/>
    <w:rsid w:val="00B053E5"/>
    <w:rsid w:val="00B25665"/>
    <w:rsid w:val="00BF452A"/>
    <w:rsid w:val="00C22774"/>
    <w:rsid w:val="00CD0173"/>
    <w:rsid w:val="00D405DC"/>
    <w:rsid w:val="00D53BB8"/>
    <w:rsid w:val="00E6380F"/>
    <w:rsid w:val="00F34FEB"/>
    <w:rsid w:val="00F54C80"/>
    <w:rsid w:val="019A439B"/>
    <w:rsid w:val="01B34E22"/>
    <w:rsid w:val="024E68F9"/>
    <w:rsid w:val="053F3069"/>
    <w:rsid w:val="05AF43F8"/>
    <w:rsid w:val="0A4707FD"/>
    <w:rsid w:val="0A9521E2"/>
    <w:rsid w:val="0C1A5F74"/>
    <w:rsid w:val="0C3B5902"/>
    <w:rsid w:val="0CA64D1B"/>
    <w:rsid w:val="0D5267FD"/>
    <w:rsid w:val="0E00528A"/>
    <w:rsid w:val="102D5E28"/>
    <w:rsid w:val="11594BC4"/>
    <w:rsid w:val="12271F40"/>
    <w:rsid w:val="12761804"/>
    <w:rsid w:val="12EF539D"/>
    <w:rsid w:val="15114352"/>
    <w:rsid w:val="1542102E"/>
    <w:rsid w:val="15491404"/>
    <w:rsid w:val="16BC0C71"/>
    <w:rsid w:val="17586B0B"/>
    <w:rsid w:val="17BD5C5B"/>
    <w:rsid w:val="184C6E69"/>
    <w:rsid w:val="18CE20EA"/>
    <w:rsid w:val="19301B5F"/>
    <w:rsid w:val="194809DE"/>
    <w:rsid w:val="1A073FD1"/>
    <w:rsid w:val="1C5C10A5"/>
    <w:rsid w:val="1D6A0633"/>
    <w:rsid w:val="1E396C13"/>
    <w:rsid w:val="1EB7274A"/>
    <w:rsid w:val="1EE03D31"/>
    <w:rsid w:val="1F5761DF"/>
    <w:rsid w:val="1F7C00AF"/>
    <w:rsid w:val="20560255"/>
    <w:rsid w:val="20C31E08"/>
    <w:rsid w:val="20D86778"/>
    <w:rsid w:val="20DF4F0A"/>
    <w:rsid w:val="21AC52E2"/>
    <w:rsid w:val="224D407F"/>
    <w:rsid w:val="22995516"/>
    <w:rsid w:val="23AE6D9F"/>
    <w:rsid w:val="268C6014"/>
    <w:rsid w:val="26D971C3"/>
    <w:rsid w:val="26F45771"/>
    <w:rsid w:val="27135C69"/>
    <w:rsid w:val="290C4C94"/>
    <w:rsid w:val="2A6379D8"/>
    <w:rsid w:val="2A790107"/>
    <w:rsid w:val="2BF4658E"/>
    <w:rsid w:val="2C8B1446"/>
    <w:rsid w:val="2CE13F9A"/>
    <w:rsid w:val="2D28065A"/>
    <w:rsid w:val="2E2E6A86"/>
    <w:rsid w:val="2FA379D4"/>
    <w:rsid w:val="2FBB6ACC"/>
    <w:rsid w:val="30F222CD"/>
    <w:rsid w:val="31175928"/>
    <w:rsid w:val="31BD0D2D"/>
    <w:rsid w:val="329B02BA"/>
    <w:rsid w:val="32CC3D68"/>
    <w:rsid w:val="33393D5D"/>
    <w:rsid w:val="34062FBC"/>
    <w:rsid w:val="34A10C35"/>
    <w:rsid w:val="35495172"/>
    <w:rsid w:val="35E825E5"/>
    <w:rsid w:val="36C86E3C"/>
    <w:rsid w:val="37F878E6"/>
    <w:rsid w:val="38F82950"/>
    <w:rsid w:val="390A388A"/>
    <w:rsid w:val="3A23044C"/>
    <w:rsid w:val="3B8A2D6D"/>
    <w:rsid w:val="3CDE204C"/>
    <w:rsid w:val="403D2E4A"/>
    <w:rsid w:val="405109CF"/>
    <w:rsid w:val="41DC7DD0"/>
    <w:rsid w:val="42B34525"/>
    <w:rsid w:val="42FB3958"/>
    <w:rsid w:val="43D40385"/>
    <w:rsid w:val="44E3578C"/>
    <w:rsid w:val="45AD36BD"/>
    <w:rsid w:val="46190A3E"/>
    <w:rsid w:val="468A4324"/>
    <w:rsid w:val="47187ACF"/>
    <w:rsid w:val="49CB243D"/>
    <w:rsid w:val="4B6C7ED0"/>
    <w:rsid w:val="4BA34BFB"/>
    <w:rsid w:val="4BCD2D26"/>
    <w:rsid w:val="4BF72460"/>
    <w:rsid w:val="4D1C10C3"/>
    <w:rsid w:val="4D6428FC"/>
    <w:rsid w:val="4D792939"/>
    <w:rsid w:val="51532A0E"/>
    <w:rsid w:val="5177052F"/>
    <w:rsid w:val="52A875CA"/>
    <w:rsid w:val="53AA50E8"/>
    <w:rsid w:val="54202B52"/>
    <w:rsid w:val="5546202B"/>
    <w:rsid w:val="56F64242"/>
    <w:rsid w:val="571759D3"/>
    <w:rsid w:val="57256D9D"/>
    <w:rsid w:val="5730129E"/>
    <w:rsid w:val="59251B60"/>
    <w:rsid w:val="5B9A09E0"/>
    <w:rsid w:val="5C7A3771"/>
    <w:rsid w:val="5D292A17"/>
    <w:rsid w:val="5D964551"/>
    <w:rsid w:val="606D435A"/>
    <w:rsid w:val="61F71E27"/>
    <w:rsid w:val="61FA08BE"/>
    <w:rsid w:val="6329551F"/>
    <w:rsid w:val="63911317"/>
    <w:rsid w:val="63DC5272"/>
    <w:rsid w:val="65B031D7"/>
    <w:rsid w:val="65E35DC2"/>
    <w:rsid w:val="66B23E85"/>
    <w:rsid w:val="680B1332"/>
    <w:rsid w:val="681A416B"/>
    <w:rsid w:val="686E355E"/>
    <w:rsid w:val="68A3618B"/>
    <w:rsid w:val="68F401BB"/>
    <w:rsid w:val="69F30635"/>
    <w:rsid w:val="6AD33F8A"/>
    <w:rsid w:val="6B574324"/>
    <w:rsid w:val="6C3F09A1"/>
    <w:rsid w:val="6CBF5536"/>
    <w:rsid w:val="6D4634E2"/>
    <w:rsid w:val="6D604233"/>
    <w:rsid w:val="6D6B37F2"/>
    <w:rsid w:val="6D804808"/>
    <w:rsid w:val="6F0970DB"/>
    <w:rsid w:val="6F434A04"/>
    <w:rsid w:val="6FCB0DE0"/>
    <w:rsid w:val="72F56DD2"/>
    <w:rsid w:val="7434153C"/>
    <w:rsid w:val="74A80DE1"/>
    <w:rsid w:val="76044E82"/>
    <w:rsid w:val="771655D7"/>
    <w:rsid w:val="78357ED8"/>
    <w:rsid w:val="7A005636"/>
    <w:rsid w:val="7A460876"/>
    <w:rsid w:val="7B2223AF"/>
    <w:rsid w:val="7BA9080F"/>
    <w:rsid w:val="7BD65048"/>
    <w:rsid w:val="7C2F6426"/>
    <w:rsid w:val="7D427D16"/>
    <w:rsid w:val="7E4045F7"/>
    <w:rsid w:val="7F0A5252"/>
    <w:rsid w:val="7FC62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cs="仿宋_GB2312"/>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cs="黑体"/>
    </w:rPr>
  </w:style>
  <w:style w:type="paragraph" w:styleId="3">
    <w:name w:val="Body Text"/>
    <w:basedOn w:val="1"/>
    <w:next w:val="1"/>
    <w:unhideWhenUsed/>
    <w:qFormat/>
    <w:uiPriority w:val="99"/>
    <w:pPr>
      <w:spacing w:after="120"/>
    </w:pPr>
  </w:style>
  <w:style w:type="paragraph" w:styleId="5">
    <w:name w:val="annotation text"/>
    <w:basedOn w:val="1"/>
    <w:semiHidden/>
    <w:unhideWhenUsed/>
    <w:qFormat/>
    <w:uiPriority w:val="99"/>
    <w:pPr>
      <w:jc w:val="left"/>
    </w:pPr>
  </w:style>
  <w:style w:type="paragraph" w:styleId="6">
    <w:name w:val="Body Text Indent"/>
    <w:basedOn w:val="1"/>
    <w:link w:val="19"/>
    <w:semiHidden/>
    <w:unhideWhenUsed/>
    <w:qFormat/>
    <w:uiPriority w:val="0"/>
    <w:pPr>
      <w:adjustRightInd w:val="0"/>
      <w:snapToGrid w:val="0"/>
      <w:spacing w:line="560" w:lineRule="exact"/>
      <w:ind w:firstLine="641"/>
    </w:pPr>
    <w:rPr>
      <w:rFonts w:ascii="仿宋_GB2312"/>
      <w:kern w:val="0"/>
      <w:sz w:val="30"/>
      <w:szCs w:val="20"/>
    </w:rPr>
  </w:style>
  <w:style w:type="paragraph" w:styleId="7">
    <w:name w:val="Plain Text"/>
    <w:basedOn w:val="1"/>
    <w:link w:val="26"/>
    <w:unhideWhenUsed/>
    <w:qFormat/>
    <w:uiPriority w:val="99"/>
    <w:pPr>
      <w:spacing w:beforeLines="50" w:line="400" w:lineRule="exact"/>
    </w:pPr>
    <w:rPr>
      <w:rFonts w:ascii="宋体" w:hAnsi="Courier New" w:eastAsia="宋体" w:cstheme="minorBidi"/>
      <w:sz w:val="24"/>
    </w:rPr>
  </w:style>
  <w:style w:type="paragraph" w:styleId="8">
    <w:name w:val="footer"/>
    <w:basedOn w:val="1"/>
    <w:link w:val="1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Body Text First Indent 2"/>
    <w:basedOn w:val="6"/>
    <w:unhideWhenUsed/>
    <w:qFormat/>
    <w:uiPriority w:val="99"/>
    <w:pPr>
      <w:ind w:firstLine="420" w:firstLineChars="200"/>
    </w:pPr>
  </w:style>
  <w:style w:type="character" w:styleId="14">
    <w:name w:val="page number"/>
    <w:basedOn w:val="13"/>
    <w:semiHidden/>
    <w:unhideWhenUsed/>
    <w:qFormat/>
    <w:uiPriority w:val="0"/>
  </w:style>
  <w:style w:type="character" w:styleId="15">
    <w:name w:val="FollowedHyperlink"/>
    <w:basedOn w:val="13"/>
    <w:semiHidden/>
    <w:unhideWhenUsed/>
    <w:qFormat/>
    <w:uiPriority w:val="99"/>
    <w:rPr>
      <w:color w:val="1039B2"/>
      <w:sz w:val="18"/>
      <w:szCs w:val="18"/>
      <w:u w:val="none"/>
    </w:rPr>
  </w:style>
  <w:style w:type="character" w:styleId="16">
    <w:name w:val="Hyperlink"/>
    <w:basedOn w:val="13"/>
    <w:semiHidden/>
    <w:unhideWhenUsed/>
    <w:qFormat/>
    <w:uiPriority w:val="99"/>
    <w:rPr>
      <w:color w:val="1039B2"/>
      <w:sz w:val="18"/>
      <w:szCs w:val="18"/>
      <w:u w:val="none"/>
    </w:rPr>
  </w:style>
  <w:style w:type="character" w:customStyle="1" w:styleId="17">
    <w:name w:val="页脚 Char2"/>
    <w:link w:val="8"/>
    <w:qFormat/>
    <w:uiPriority w:val="99"/>
    <w:rPr>
      <w:sz w:val="18"/>
      <w:szCs w:val="18"/>
    </w:rPr>
  </w:style>
  <w:style w:type="character" w:customStyle="1" w:styleId="18">
    <w:name w:val="页脚 Char"/>
    <w:basedOn w:val="13"/>
    <w:link w:val="8"/>
    <w:semiHidden/>
    <w:qFormat/>
    <w:uiPriority w:val="99"/>
    <w:rPr>
      <w:rFonts w:ascii="Times New Roman" w:hAnsi="Times New Roman" w:eastAsia="仿宋_GB2312" w:cs="Times New Roman"/>
      <w:sz w:val="18"/>
      <w:szCs w:val="18"/>
    </w:rPr>
  </w:style>
  <w:style w:type="character" w:customStyle="1" w:styleId="19">
    <w:name w:val="正文文本缩进 Char"/>
    <w:basedOn w:val="13"/>
    <w:link w:val="6"/>
    <w:semiHidden/>
    <w:qFormat/>
    <w:uiPriority w:val="0"/>
    <w:rPr>
      <w:rFonts w:ascii="仿宋_GB2312" w:hAnsi="Times New Roman" w:eastAsia="仿宋_GB2312" w:cs="Times New Roman"/>
      <w:kern w:val="0"/>
      <w:sz w:val="30"/>
      <w:szCs w:val="20"/>
    </w:rPr>
  </w:style>
  <w:style w:type="character" w:customStyle="1" w:styleId="20">
    <w:name w:val="页脚 Char1"/>
    <w:basedOn w:val="13"/>
    <w:semiHidden/>
    <w:qFormat/>
    <w:locked/>
    <w:uiPriority w:val="99"/>
    <w:rPr>
      <w:rFonts w:ascii="Times New Roman" w:hAnsi="Times New Roman" w:eastAsia="宋体" w:cs="Times New Roman"/>
      <w:sz w:val="18"/>
      <w:szCs w:val="18"/>
    </w:rPr>
  </w:style>
  <w:style w:type="character" w:customStyle="1" w:styleId="21">
    <w:name w:val="页眉 Char"/>
    <w:basedOn w:val="13"/>
    <w:link w:val="9"/>
    <w:semiHidden/>
    <w:qFormat/>
    <w:uiPriority w:val="99"/>
    <w:rPr>
      <w:rFonts w:ascii="Times New Roman" w:hAnsi="Times New Roman" w:eastAsia="仿宋_GB2312" w:cs="Times New Roman"/>
      <w:sz w:val="18"/>
      <w:szCs w:val="18"/>
    </w:rPr>
  </w:style>
  <w:style w:type="paragraph" w:styleId="22">
    <w:name w:val="List Paragraph"/>
    <w:basedOn w:val="1"/>
    <w:qFormat/>
    <w:uiPriority w:val="34"/>
    <w:pPr>
      <w:ind w:firstLine="420" w:firstLineChars="200"/>
    </w:pPr>
  </w:style>
  <w:style w:type="character" w:customStyle="1" w:styleId="23">
    <w:name w:val="仿宋三号 字符"/>
    <w:link w:val="24"/>
    <w:semiHidden/>
    <w:qFormat/>
    <w:locked/>
    <w:uiPriority w:val="0"/>
    <w:rPr>
      <w:rFonts w:ascii="Times New Roman" w:hAnsi="Times New Roman" w:eastAsia="仿宋" w:cs="Times New Roman"/>
      <w:color w:val="000000"/>
      <w:sz w:val="32"/>
      <w:szCs w:val="32"/>
      <w:lang w:val="zh-CN"/>
    </w:rPr>
  </w:style>
  <w:style w:type="paragraph" w:customStyle="1" w:styleId="24">
    <w:name w:val="仿宋三号"/>
    <w:basedOn w:val="10"/>
    <w:link w:val="23"/>
    <w:semiHidden/>
    <w:qFormat/>
    <w:uiPriority w:val="0"/>
    <w:pPr>
      <w:snapToGrid w:val="0"/>
      <w:spacing w:line="360" w:lineRule="auto"/>
      <w:ind w:firstLine="200" w:firstLineChars="200"/>
    </w:pPr>
    <w:rPr>
      <w:rFonts w:eastAsia="仿宋"/>
      <w:color w:val="000000"/>
      <w:sz w:val="32"/>
      <w:szCs w:val="32"/>
      <w:lang w:val="zh-CN"/>
    </w:rPr>
  </w:style>
  <w:style w:type="character" w:customStyle="1" w:styleId="25">
    <w:name w:val="纯文本 Char"/>
    <w:basedOn w:val="13"/>
    <w:link w:val="7"/>
    <w:semiHidden/>
    <w:qFormat/>
    <w:uiPriority w:val="99"/>
    <w:rPr>
      <w:rFonts w:ascii="宋体" w:hAnsi="Courier New" w:eastAsia="宋体" w:cs="Courier New"/>
      <w:szCs w:val="21"/>
    </w:rPr>
  </w:style>
  <w:style w:type="character" w:customStyle="1" w:styleId="26">
    <w:name w:val="纯文本 Char1"/>
    <w:link w:val="7"/>
    <w:qFormat/>
    <w:locked/>
    <w:uiPriority w:val="99"/>
    <w:rPr>
      <w:rFonts w:ascii="宋体" w:hAnsi="Courier New" w:eastAsia="宋体"/>
      <w:sz w:val="24"/>
      <w:szCs w:val="24"/>
    </w:rPr>
  </w:style>
  <w:style w:type="paragraph" w:customStyle="1" w:styleId="27">
    <w:name w:val="列出段落1"/>
    <w:basedOn w:val="1"/>
    <w:link w:val="28"/>
    <w:qFormat/>
    <w:uiPriority w:val="0"/>
    <w:pPr>
      <w:ind w:firstLine="420" w:firstLineChars="200"/>
    </w:pPr>
    <w:rPr>
      <w:rFonts w:ascii="Calibri" w:hAnsi="Calibri" w:eastAsia="宋体"/>
      <w:sz w:val="21"/>
      <w:szCs w:val="22"/>
    </w:rPr>
  </w:style>
  <w:style w:type="character" w:customStyle="1" w:styleId="28">
    <w:name w:val="List Paragraph Char"/>
    <w:link w:val="27"/>
    <w:qFormat/>
    <w:locked/>
    <w:uiPriority w:val="0"/>
    <w:rPr>
      <w:rFonts w:ascii="Calibri" w:hAnsi="Calibri" w:eastAsia="宋体" w:cs="Times New Roman"/>
    </w:rPr>
  </w:style>
  <w:style w:type="paragraph" w:customStyle="1" w:styleId="29">
    <w:name w:val="列出段落2"/>
    <w:basedOn w:val="1"/>
    <w:qFormat/>
    <w:uiPriority w:val="99"/>
    <w:pPr>
      <w:widowControl/>
      <w:ind w:left="720" w:firstLine="360"/>
      <w:jc w:val="left"/>
    </w:pPr>
    <w:rPr>
      <w:rFonts w:ascii="Calibri" w:hAnsi="Calibri" w:eastAsia="宋体" w:cs="Times New Roman"/>
      <w:kern w:val="0"/>
      <w:sz w:val="22"/>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6526</Words>
  <Characters>6724</Characters>
  <Lines>29</Lines>
  <Paragraphs>8</Paragraphs>
  <TotalTime>0</TotalTime>
  <ScaleCrop>false</ScaleCrop>
  <LinksUpToDate>false</LinksUpToDate>
  <CharactersWithSpaces>6737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2023-06-05T01:26:00Z</dcterms:created>
  <dc:creator>temp</dc:creator>
  <cp:lastModifiedBy>Administrator</cp:lastModifiedBy>
  <cp:lastPrinted>2025-06-19T02:18:00Z</cp:lastPrinted>
  <dcterms:modified xsi:type="dcterms:W3CDTF">2025-06-24T03:19:45Z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80CE19B32ED5441A9FE1D073B059692D</vt:lpwstr>
  </property>
</Properties>
</file>