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方正小标宋简体" w:eastAsia="方正小标宋简体" w:cs="方正小标宋简体"/>
          <w:sz w:val="44"/>
          <w:szCs w:val="44"/>
        </w:rPr>
      </w:pPr>
      <w:r>
        <w:rPr>
          <w:rFonts w:hint="eastAsia" w:ascii="黑体" w:hAnsi="黑体" w:eastAsia="黑体"/>
        </w:rPr>
        <w:t>附件</w:t>
      </w:r>
      <w:r>
        <w:rPr>
          <w:rFonts w:hint="eastAsia" w:ascii="黑体" w:hAnsi="黑体" w:eastAsia="黑体"/>
          <w:lang w:val="en-US" w:eastAsia="zh-CN"/>
        </w:rPr>
        <w:t>1</w:t>
      </w:r>
    </w:p>
    <w:p>
      <w:pPr>
        <w:spacing w:line="579" w:lineRule="exact"/>
        <w:jc w:val="center"/>
        <w:rPr>
          <w:rFonts w:hint="eastAsia" w:ascii="方正小标宋简体" w:eastAsia="方正小标宋简体" w:cs="方正小标宋简体"/>
          <w:sz w:val="44"/>
          <w:szCs w:val="44"/>
        </w:rPr>
      </w:pPr>
    </w:p>
    <w:p>
      <w:pPr>
        <w:spacing w:line="579"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采购需求明细表</w:t>
      </w:r>
    </w:p>
    <w:p>
      <w:pPr>
        <w:spacing w:line="579" w:lineRule="exact"/>
        <w:rPr>
          <w:rFonts w:ascii="楷体_GB2312" w:hAnsi="方正小标宋简体" w:eastAsia="楷体_GB2312" w:cs="方正小标宋简体"/>
        </w:rPr>
      </w:pPr>
      <w:r>
        <w:rPr>
          <w:rFonts w:hint="eastAsia" w:ascii="楷体_GB2312" w:hAnsi="方正小标宋简体" w:eastAsia="楷体_GB2312" w:cs="方正小标宋简体"/>
        </w:rPr>
        <w:t xml:space="preserve">                                    </w:t>
      </w:r>
    </w:p>
    <w:tbl>
      <w:tblPr>
        <w:tblStyle w:val="8"/>
        <w:tblW w:w="134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347"/>
        <w:gridCol w:w="981"/>
        <w:gridCol w:w="3234"/>
        <w:gridCol w:w="769"/>
        <w:gridCol w:w="900"/>
        <w:gridCol w:w="525"/>
        <w:gridCol w:w="1425"/>
        <w:gridCol w:w="1800"/>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序号</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货物名称</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规格</w:t>
            </w:r>
          </w:p>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型号</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物资质量技术标准或服务内容及标准要求</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计量</w:t>
            </w:r>
          </w:p>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单位</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采购</w:t>
            </w:r>
          </w:p>
          <w:p>
            <w:pPr>
              <w:widowControl/>
              <w:snapToGrid w:val="0"/>
              <w:jc w:val="center"/>
              <w:rPr>
                <w:rFonts w:hint="eastAsia" w:ascii="黑体" w:hAnsi="黑体" w:eastAsia="黑体"/>
                <w:sz w:val="20"/>
                <w:szCs w:val="20"/>
                <w:highlight w:val="none"/>
                <w:lang w:eastAsia="zh-CN"/>
              </w:rPr>
            </w:pPr>
            <w:r>
              <w:rPr>
                <w:rFonts w:hint="eastAsia" w:ascii="黑体" w:hAnsi="黑体" w:eastAsia="黑体" w:cs="黑体"/>
                <w:sz w:val="20"/>
                <w:szCs w:val="20"/>
                <w:highlight w:val="none"/>
              </w:rPr>
              <w:t>数量</w:t>
            </w:r>
            <w:r>
              <w:rPr>
                <w:rFonts w:hint="eastAsia" w:ascii="黑体" w:hAnsi="黑体" w:eastAsia="黑体" w:cs="黑体"/>
                <w:sz w:val="20"/>
                <w:szCs w:val="20"/>
                <w:highlight w:val="none"/>
                <w:lang w:eastAsia="zh-CN"/>
              </w:rPr>
              <w:t>（预估采购量）</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单价（元）</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预算金额</w:t>
            </w:r>
          </w:p>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（万元）</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cs="黑体"/>
                <w:sz w:val="20"/>
                <w:szCs w:val="20"/>
                <w:highlight w:val="none"/>
              </w:rPr>
            </w:pPr>
            <w:r>
              <w:rPr>
                <w:rFonts w:hint="eastAsia" w:ascii="黑体" w:hAnsi="黑体" w:eastAsia="黑体" w:cs="黑体"/>
                <w:sz w:val="20"/>
                <w:szCs w:val="20"/>
                <w:highlight w:val="none"/>
              </w:rPr>
              <w:t>分包方案</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黑体" w:eastAsia="黑体"/>
                <w:sz w:val="20"/>
                <w:szCs w:val="20"/>
                <w:highlight w:val="none"/>
              </w:rPr>
            </w:pPr>
            <w:r>
              <w:rPr>
                <w:rFonts w:hint="eastAsia" w:ascii="黑体" w:hAnsi="黑体" w:eastAsia="黑体" w:cs="黑体"/>
                <w:sz w:val="20"/>
                <w:szCs w:val="20"/>
                <w:highlight w:val="none"/>
              </w:rPr>
              <w:t>交货（服务）期限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rPr>
              <w:t>沙门氏菌属诊断血清</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1ml*60瓶</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体外诊断试剂，沙门菌属诊断血清，用于检测人体样本中的伤寒沙门菌、副伤寒沙门菌、鼠伤寒沙门菌。临床上用于各型沙门菌的分型。套装，由60种沙门氏菌血清组成，用沙门氏菌属的代表菌株制成灭活菌抗原分别或混合免疫家兔所得的血清，经吸收除去非特异性凝集素后制成，通过玻片凝集试验原理供沙门氏菌属常见菌型定型，能够有效鉴别具体亚型。</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6600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0.66</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志贺氏菌属诊断血清</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1ml*54瓶</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体外诊断试剂，志贺菌属诊断血清，用于检测人体样本中的志贺菌。临床上用于志贺菌属的分群。套装， 用志贺氏菌属的代表菌株制成灭活菌抗原分别或混合免疫家兔所得的血清,经吸收除去非特异性凝集素后制成，通过凝集试验原理用于各型志贺氏菌分型，能够有效鉴别具体亚型。</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5940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0.594</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O1群霍乱弧菌诊断血清</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1ml*11瓶</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O1群霍乱弧菌诊断血清，用于检测人体样本中的O1群霍乱弧菌。临床上用于O1群霍乱弧菌感染的辅助诊断。由霍乱弧菌O抗原标准株制备成灭活抗原，免疫家兔所得，经吸附去除非特异性凝集成分，能够有效鉴别具体亚型。</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1210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0.121</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4</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肠道致病性大肠埃希氏菌属诊断血清</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1ml*18瓶</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体外诊断试剂，肠道致病性大肠埃希菌诊断血清用于检测人体样本中的肠道致病性大肠埃希菌。临床上用于肠道致病性大肠埃希菌感染的辅助诊断，能够有效鉴别具体亚型。</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1980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0.198</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副溶血弧菌凝集血盒K型套装</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2ml*72</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体外诊断试剂，套装，用于肠炎弧菌K型鉴定。</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72000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7.2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副溶血弧菌凝集血盒O型套装</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2ml*11</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体外诊断试剂，套装，用于肠炎弧菌O型鉴定。</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12450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1.245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7</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肠道病原监测用引物、探针及阳性质粒套装</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2OD</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可灵敏检测低拷贝数模板（1pg＜RNA＜100ng）</w:t>
            </w:r>
            <w:r>
              <w:rPr>
                <w:rFonts w:hint="eastAsia" w:ascii="仿宋_GB2312" w:hAnsi="宋体" w:cs="宋体"/>
                <w:sz w:val="20"/>
                <w:szCs w:val="20"/>
                <w:highlight w:val="none"/>
                <w:lang w:val="en-US" w:eastAsia="zh-CN"/>
              </w:rPr>
              <w:br w:type="textWrapping"/>
            </w:r>
            <w:r>
              <w:rPr>
                <w:rFonts w:hint="eastAsia" w:ascii="仿宋_GB2312" w:hAnsi="宋体" w:cs="宋体"/>
                <w:sz w:val="20"/>
                <w:szCs w:val="20"/>
                <w:highlight w:val="none"/>
                <w:lang w:val="en-US" w:eastAsia="zh-CN"/>
              </w:rPr>
              <w:t>可以在宽广的区域内得到良好的标准曲线，对多种高低丰度的靶基因进行准确定量检测，重复性好，特异性高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eastAsia="仿宋_GB2312" w:cs="宋体"/>
                <w:kern w:val="2"/>
                <w:sz w:val="20"/>
                <w:szCs w:val="20"/>
                <w:highlight w:val="none"/>
                <w:lang w:val="en-US" w:eastAsia="zh-CN" w:bidi="ar-SA"/>
              </w:rPr>
            </w:pPr>
            <w:r>
              <w:rPr>
                <w:rFonts w:hint="eastAsia" w:ascii="仿宋_GB2312" w:hAnsi="宋体" w:cs="宋体"/>
                <w:sz w:val="20"/>
                <w:szCs w:val="20"/>
                <w:highlight w:val="none"/>
                <w:lang w:val="en-US" w:eastAsia="zh-CN"/>
              </w:rPr>
              <w:t>17000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1.7</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8</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一步法实时qRT-PCR检测试剂盒(探针法)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 次</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可灵敏检测低拷贝数模板（1pg＜RNA＜100ng）</w:t>
            </w:r>
            <w:r>
              <w:rPr>
                <w:rFonts w:hint="eastAsia" w:ascii="仿宋_GB2312" w:hAnsi="宋体" w:cs="宋体"/>
                <w:sz w:val="20"/>
                <w:szCs w:val="20"/>
                <w:highlight w:val="none"/>
                <w:lang w:val="en-US" w:eastAsia="zh-CN"/>
              </w:rPr>
              <w:br w:type="textWrapping"/>
            </w:r>
            <w:r>
              <w:rPr>
                <w:rFonts w:hint="eastAsia" w:ascii="仿宋_GB2312" w:hAnsi="宋体" w:cs="宋体"/>
                <w:sz w:val="20"/>
                <w:szCs w:val="20"/>
                <w:highlight w:val="none"/>
                <w:lang w:val="en-US" w:eastAsia="zh-CN"/>
              </w:rPr>
              <w:t>可以在宽广的区域内得到良好的标准曲线，对多种高低丰度的靶基因进行准确定量检测，重复性好，特异性高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400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0.4</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9</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探针法DNA实时荧光定量检测试剂盒</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 次</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可灵敏检测低拷贝数模板（1pg＜DNA＜100ng）</w:t>
            </w:r>
            <w:r>
              <w:rPr>
                <w:rFonts w:hint="eastAsia" w:ascii="仿宋_GB2312" w:hAnsi="宋体" w:cs="宋体"/>
                <w:sz w:val="20"/>
                <w:szCs w:val="20"/>
                <w:highlight w:val="none"/>
                <w:lang w:val="en-US" w:eastAsia="zh-CN"/>
              </w:rPr>
              <w:br w:type="textWrapping"/>
            </w:r>
            <w:r>
              <w:rPr>
                <w:rFonts w:hint="eastAsia" w:ascii="仿宋_GB2312" w:hAnsi="宋体" w:cs="宋体"/>
                <w:sz w:val="20"/>
                <w:szCs w:val="20"/>
                <w:highlight w:val="none"/>
                <w:lang w:val="en-US" w:eastAsia="zh-CN"/>
              </w:rPr>
              <w:t>可以在宽广的区域内得到良好的标准曲线，对多种高低丰度的靶基因进行准确定量检测，重复性好，特异性高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0.3</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八种病毒性腹泻病病原体核酸检测试剂盒(荧光 PCR 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color w:val="auto"/>
                <w:sz w:val="20"/>
                <w:szCs w:val="20"/>
                <w:highlight w:val="none"/>
                <w:lang w:val="en-US" w:eastAsia="zh-CN"/>
              </w:rPr>
            </w:pPr>
            <w:r>
              <w:rPr>
                <w:rFonts w:hint="eastAsia" w:ascii="仿宋_GB2312" w:hAnsi="宋体" w:cs="宋体"/>
                <w:color w:val="auto"/>
                <w:sz w:val="20"/>
                <w:szCs w:val="20"/>
                <w:highlight w:val="none"/>
                <w:lang w:val="en-US" w:eastAsia="zh-CN"/>
              </w:rPr>
              <w:t>最低检出浓度≥1000Copies/mL，CV≤3%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6000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6</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1"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11</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肠道细菌联检试剂盒(荧光 PCR 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color w:val="auto"/>
                <w:sz w:val="20"/>
                <w:szCs w:val="20"/>
                <w:highlight w:val="none"/>
                <w:lang w:val="en-US" w:eastAsia="zh-CN"/>
              </w:rPr>
            </w:pPr>
            <w:r>
              <w:rPr>
                <w:rFonts w:hint="eastAsia" w:ascii="仿宋_GB2312" w:hAnsi="宋体" w:cs="宋体"/>
                <w:color w:val="auto"/>
                <w:sz w:val="20"/>
                <w:szCs w:val="20"/>
                <w:highlight w:val="none"/>
                <w:lang w:val="en-US" w:eastAsia="zh-CN"/>
              </w:rPr>
              <w:t>最低检出浓度≥1000Copies/mL，CV≤3%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4500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4.5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6"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12</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大便无菌采样杯（螺旋口）</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40ml</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用于粪便标本的采集。产品经环氧乙烷灭菌，产品无菌。保证正常使用场景的密封性良好，采集临床样本能够避免在运输过程中渗漏和污染，结果检测后处理样本，能够避免标本被污染和挥发以及标本的准确复测。产品使用安全可靠，符合国家GB15980-1995医疗卫生要求。</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1000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1.2</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0.12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13</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轮状病毒A组核酸检测试剂盒（PCR法）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最低检出浓度≥1000Copie，CV≤5%；快速、准确地检测A组轮状病毒, 具有高度特异性和灵敏度，能在短时间内检测出极低浓度的病毒核酸。</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4</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1100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0.44</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14</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人星状病毒核酸检测试剂盒（PCR法）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最低检出浓度≥1000Copie，CV≤5%，需具备较强特异性，准确性高。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4</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1100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0.44</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15</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五种致泻性大肠埃希菌核酸检测试剂盒(荧光 PCR 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color w:val="auto"/>
                <w:sz w:val="20"/>
                <w:szCs w:val="20"/>
                <w:highlight w:val="none"/>
                <w:lang w:val="en-US" w:eastAsia="zh-CN"/>
              </w:rPr>
            </w:pPr>
            <w:r>
              <w:rPr>
                <w:rFonts w:hint="eastAsia" w:ascii="仿宋_GB2312" w:hAnsi="宋体" w:cs="宋体"/>
                <w:color w:val="auto"/>
                <w:sz w:val="20"/>
                <w:szCs w:val="20"/>
                <w:highlight w:val="none"/>
                <w:lang w:val="en-US" w:eastAsia="zh-CN"/>
              </w:rPr>
              <w:t>最低检出浓度≥1000Copies/mL，CV≤3%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5250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5.25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16</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五种致泻性大肠埃希菌核酸检测试剂盒（PCR法）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最低检出浓度≥1000Copie，CV≤5%，需具备高灵敏度，较强特异性。</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3</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5500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1.65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17</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腺病毒通用型核酸试剂盒（PCR法）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最低检出浓度≥1000Copie，CV≤5%，需具备较强特异性，准确性高。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4</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1100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0.44</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18</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诺如病毒核酸检测试剂盒/含内标（PCR）</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最低检出浓度≥1000Copie，CV≤5%；需具备较强特异性，准确性高。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4</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1100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0.44</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19</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沙门氏菌核酸检测试剂盒（荧光PCR法）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最低检出浓度≥1000Copie，CV≤5%；需具备较强特异性，准确性高。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20</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志贺氏菌核酸检测试剂盒（荧光PCR法）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最低检出浓度≥1000Copie，CV≤5%；需具备较强特异性，准确性高。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21</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副溶血弧菌核酸检测试剂盒（荧光PCR法）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最低检出浓度≥1000Copie，CV≤5%；需具备较强特异性，准确性高。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22</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rPr>
            </w:pPr>
            <w:r>
              <w:rPr>
                <w:rFonts w:hint="eastAsia" w:ascii="仿宋_GB2312" w:hAnsi="宋体" w:cs="宋体"/>
                <w:sz w:val="20"/>
                <w:szCs w:val="20"/>
                <w:highlight w:val="none"/>
                <w:lang w:val="en-US" w:eastAsia="zh-CN"/>
              </w:rPr>
              <w:t>霍乱弧菌核酸检测试剂盒（荧光PCR法）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25T/盒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最低检出浓度≥1000Copie，CV≤5%；需具备较强特异性，准确性高。</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23</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封口膜</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防水防湿，能有效阻止样品的挥发和污染，可快速有效密封各类器皿。</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0.02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24</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冻存管（进口）</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25个/包</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无酶无热原，耐低温，密封性好，聚丙烯材质，容量1.8mL。</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包</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80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0.4</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25</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冻存盒</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100孔/盒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耐用，全塑料，便于短期或长期储存，可高压灭菌并在-196℃至+121℃温度范围内使用。</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30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0.09</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26</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采样棒（塑料）/一次性样本接种环</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5ul</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EO灭菌，无酶无热源，杆体纤细，可弯曲，全身光滑圆润，无毛刺，</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20000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0.5</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27</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菌种保存管</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81支/盒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内含天然的多孔磁珠，有利于细菌吸附及保存；保存管密封性强，耐低温性能好。</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980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0.196</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第一包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28</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甲型H1N1、H3N2流感病毒检测试剂盒(四色实时荧光PCR法)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0.6</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29</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高致病性甲型流感H5、H7病毒检测试剂盒(双色实时荧光PCR法)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1500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0.3</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30</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呼吸道腺病毒分型（3、4、7、55)检测试剂盒(四色实时荧光PCR法)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0.6</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31</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呼吸道腺病毒分型（14、16、21）检测试剂盒(三色实时荧光PCR法)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2250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0.45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32</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呼吸道合胞病毒A型、B型核酸检测试剂盒（双色实时荧光PCR法）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1500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0.3</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33</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人副流感病毒（1、2、3、4型）检测试剂盒（四色实时荧光PCR法）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4</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34</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人冠状病毒（OC43、229E、HKU1、NL63）检测试剂盒（四色实时荧光PCR法）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0.6</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35</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冠状病毒SARS、MERS核酸检测试剂盒（双色实时荧光PCR法）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50T</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产品最低检出限为10³Copies/mL，CV值≤3%</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rPr>
              <w:t>盒</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1500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0.3</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第二包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36</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猴痘病毒核酸检测试剂盒（PCR法）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24人份/盒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见附件2</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1500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0.75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第三包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37</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埃博拉病毒核酸检测试剂盒（PCR法）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24人份/盒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见附件2</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1500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0.75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第三包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38</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梅毒螺旋体核酸检测试剂盒（PCR法）</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96人份/盒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见附件2</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第三包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39</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核酸提取或纯化试剂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32人份/盒</w:t>
            </w:r>
          </w:p>
        </w:tc>
        <w:tc>
          <w:tcPr>
            <w:tcW w:w="32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见附件2</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0.2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0"/>
                <w:szCs w:val="20"/>
                <w:highlight w:val="none"/>
                <w:lang w:val="en-US" w:eastAsia="zh-CN"/>
              </w:rPr>
            </w:pPr>
            <w:r>
              <w:rPr>
                <w:rFonts w:hint="eastAsia" w:ascii="仿宋_GB2312" w:hAnsi="宋体" w:cs="宋体"/>
                <w:sz w:val="20"/>
                <w:szCs w:val="20"/>
                <w:highlight w:val="none"/>
                <w:lang w:val="en-US" w:eastAsia="zh-CN"/>
              </w:rPr>
              <w:t>第三包</w:t>
            </w:r>
          </w:p>
        </w:tc>
        <w:tc>
          <w:tcPr>
            <w:tcW w:w="1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eastAsia="仿宋_GB2312" w:cs="宋体"/>
                <w:kern w:val="2"/>
                <w:sz w:val="20"/>
                <w:szCs w:val="20"/>
                <w:highlight w:val="none"/>
                <w:lang w:val="en-US" w:eastAsia="zh-CN" w:bidi="ar-SA"/>
              </w:rPr>
            </w:pPr>
            <w:r>
              <w:rPr>
                <w:rFonts w:hint="eastAsia" w:ascii="仿宋_GB2312" w:hAnsi="宋体" w:cs="宋体"/>
                <w:sz w:val="20"/>
                <w:szCs w:val="20"/>
                <w:highlight w:val="none"/>
                <w:lang w:eastAsia="zh-CN"/>
              </w:rPr>
              <w:t>合同签订后，收到采购计划5日内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2"/>
                <w:szCs w:val="22"/>
                <w:highlight w:val="none"/>
                <w:lang w:val="en-US" w:eastAsia="zh-CN"/>
              </w:rPr>
            </w:pPr>
            <w:r>
              <w:rPr>
                <w:rFonts w:hint="eastAsia" w:ascii="仿宋_GB2312" w:hAnsi="宋体" w:cs="宋体"/>
                <w:b/>
                <w:bCs/>
                <w:sz w:val="22"/>
                <w:szCs w:val="22"/>
                <w:highlight w:val="none"/>
                <w:lang w:val="en-US" w:eastAsia="zh-CN"/>
              </w:rPr>
              <w:t>备注</w:t>
            </w:r>
          </w:p>
        </w:tc>
        <w:tc>
          <w:tcPr>
            <w:tcW w:w="12649" w:type="dxa"/>
            <w:gridSpan w:val="9"/>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hAnsi="宋体" w:cs="宋体"/>
                <w:sz w:val="22"/>
                <w:szCs w:val="22"/>
                <w:highlight w:val="none"/>
                <w:lang w:val="en-US" w:eastAsia="zh-CN"/>
              </w:rPr>
            </w:pPr>
            <w:r>
              <w:rPr>
                <w:rFonts w:hint="eastAsia" w:ascii="仿宋_GB2312" w:hAnsi="宋体" w:cs="宋体"/>
                <w:b/>
                <w:bCs/>
                <w:sz w:val="22"/>
                <w:szCs w:val="22"/>
                <w:highlight w:val="none"/>
                <w:lang w:val="en-US" w:eastAsia="zh-CN"/>
              </w:rPr>
              <w:t>本</w:t>
            </w:r>
            <w:r>
              <w:rPr>
                <w:rFonts w:hint="eastAsia" w:ascii="仿宋_GB2312" w:hAnsi="宋体" w:cs="宋体"/>
                <w:b/>
                <w:bCs/>
                <w:sz w:val="21"/>
                <w:szCs w:val="21"/>
                <w:highlight w:val="none"/>
                <w:lang w:val="en-US" w:eastAsia="zh-CN"/>
              </w:rPr>
              <w:t>次询价仅为招单价，需求明细中采购数量仅为预估采购量，实际以招标完成后需求科室打计划数量为准</w:t>
            </w:r>
            <w:r>
              <w:rPr>
                <w:rFonts w:hint="eastAsia" w:ascii="仿宋_GB2312" w:hAnsi="宋体" w:cs="宋体"/>
                <w:b/>
                <w:bCs/>
                <w:sz w:val="22"/>
                <w:szCs w:val="22"/>
                <w:highlight w:val="none"/>
                <w:lang w:val="en-US" w:eastAsia="zh-CN"/>
              </w:rPr>
              <w:t>。</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3489" w:type="dxa"/>
            <w:gridSpan w:val="10"/>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说明：1.投标供应商须对所投</w:t>
            </w:r>
            <w:r>
              <w:rPr>
                <w:rFonts w:hint="eastAsia" w:ascii="仿宋_GB2312" w:hAnsi="仿宋_GB2312" w:eastAsia="仿宋_GB2312" w:cs="仿宋_GB2312"/>
                <w:b/>
                <w:bCs/>
                <w:sz w:val="21"/>
                <w:szCs w:val="21"/>
              </w:rPr>
              <w:t>包内所有产品和数量</w:t>
            </w:r>
            <w:r>
              <w:rPr>
                <w:rFonts w:hint="eastAsia" w:ascii="仿宋_GB2312" w:hAnsi="仿宋_GB2312" w:eastAsia="仿宋_GB2312" w:cs="仿宋_GB2312"/>
                <w:sz w:val="21"/>
                <w:szCs w:val="21"/>
              </w:rPr>
              <w:t>进行唯一报价，否则视为无效投标</w:t>
            </w:r>
            <w:r>
              <w:rPr>
                <w:rFonts w:hint="eastAsia" w:ascii="仿宋_GB2312" w:hAnsi="仿宋_GB2312" w:eastAsia="仿宋_GB2312" w:cs="仿宋_GB2312"/>
                <w:b/>
                <w:bCs/>
                <w:sz w:val="21"/>
                <w:szCs w:val="21"/>
              </w:rPr>
              <w:t>（投标供应商可选择任意一包或者几包进行投标）</w:t>
            </w:r>
            <w:r>
              <w:rPr>
                <w:rFonts w:hint="eastAsia" w:ascii="仿宋_GB2312" w:hAnsi="仿宋_GB2312" w:eastAsia="仿宋_GB2312" w:cs="仿宋_GB2312"/>
                <w:sz w:val="21"/>
                <w:szCs w:val="21"/>
              </w:rPr>
              <w:t>。</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2.投标报价应包括所有货物供应、运输、售后服务、伴随服务等价格。运杂费由中标供应商承担。</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3.投标供应商必须保证所投产品为全新、未使用过的产品。</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.交货地点具体信息另行提供。</w:t>
            </w:r>
          </w:p>
          <w:p>
            <w:pPr>
              <w:widowControl/>
              <w:snapToGrid w:val="0"/>
              <w:jc w:val="both"/>
              <w:rPr>
                <w:rFonts w:hint="eastAsia" w:ascii="仿宋_GB2312" w:hAnsi="宋体" w:cs="宋体"/>
                <w:b/>
                <w:bCs/>
                <w:sz w:val="22"/>
                <w:szCs w:val="22"/>
                <w:highlight w:val="none"/>
                <w:lang w:val="en-US"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.本项目各包均确定</w:t>
            </w:r>
            <w:r>
              <w:rPr>
                <w:rFonts w:hint="eastAsia" w:ascii="仿宋_GB2312" w:hAnsi="仿宋_GB2312" w:eastAsia="仿宋_GB2312" w:cs="仿宋_GB2312"/>
                <w:sz w:val="21"/>
                <w:szCs w:val="21"/>
                <w:u w:val="single"/>
              </w:rPr>
              <w:t xml:space="preserve"> 1 </w:t>
            </w:r>
            <w:r>
              <w:rPr>
                <w:rFonts w:hint="eastAsia" w:ascii="仿宋_GB2312" w:hAnsi="仿宋_GB2312" w:eastAsia="仿宋_GB2312" w:cs="仿宋_GB2312"/>
                <w:sz w:val="21"/>
                <w:szCs w:val="21"/>
              </w:rPr>
              <w:t>家供应商中标</w:t>
            </w:r>
          </w:p>
        </w:tc>
      </w:tr>
    </w:tbl>
    <w:p/>
    <w:sectPr>
      <w:footerReference r:id="rId4" w:type="first"/>
      <w:footerReference r:id="rId3" w:type="default"/>
      <w:pgSz w:w="16838" w:h="11906" w:orient="landscape"/>
      <w:pgMar w:top="1588" w:right="2098" w:bottom="1474" w:left="1985" w:header="709" w:footer="992"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color w:val="FFFFFF"/>
      </w:rPr>
      <w:fldChar w:fldCharType="begin"/>
    </w:r>
    <w:r>
      <w:rPr>
        <w:color w:val="FFFFFF"/>
      </w:rPr>
      <w:instrText xml:space="preserve">PAGE   \* MERGEFORMAT</w:instrText>
    </w:r>
    <w:r>
      <w:rPr>
        <w:color w:val="FFFFFF"/>
      </w:rPr>
      <w:fldChar w:fldCharType="separate"/>
    </w:r>
    <w:r>
      <w:rPr>
        <w:color w:val="FFFFFF"/>
      </w:rPr>
      <w:t>- 1 -</w:t>
    </w:r>
    <w:r>
      <w:rPr>
        <w:color w:val="FFFFFF"/>
      </w:rPr>
      <w:fldChar w:fldCharType="end"/>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rPr>
        <w:color w:val="FFFFFF"/>
      </w:rPr>
    </w:pPr>
  </w:p>
  <w:p>
    <w:pPr>
      <w:pStyle w:val="5"/>
      <w:tabs>
        <w:tab w:val="left" w:pos="772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01"/>
    <w:rsid w:val="00005301"/>
    <w:rsid w:val="00026D9E"/>
    <w:rsid w:val="001406AC"/>
    <w:rsid w:val="00153171"/>
    <w:rsid w:val="001D3CB6"/>
    <w:rsid w:val="00226222"/>
    <w:rsid w:val="00290A47"/>
    <w:rsid w:val="002B7F1B"/>
    <w:rsid w:val="002D261A"/>
    <w:rsid w:val="0031729E"/>
    <w:rsid w:val="00331255"/>
    <w:rsid w:val="003362B3"/>
    <w:rsid w:val="003739F5"/>
    <w:rsid w:val="003A7009"/>
    <w:rsid w:val="00403BBD"/>
    <w:rsid w:val="0049764F"/>
    <w:rsid w:val="004C194D"/>
    <w:rsid w:val="004E3D79"/>
    <w:rsid w:val="005F7953"/>
    <w:rsid w:val="00683D47"/>
    <w:rsid w:val="007320AA"/>
    <w:rsid w:val="007A5C4C"/>
    <w:rsid w:val="007A6672"/>
    <w:rsid w:val="007C4D05"/>
    <w:rsid w:val="007C5428"/>
    <w:rsid w:val="007F330F"/>
    <w:rsid w:val="00870BFC"/>
    <w:rsid w:val="008E1EB5"/>
    <w:rsid w:val="009878B9"/>
    <w:rsid w:val="00A038EF"/>
    <w:rsid w:val="00B053E5"/>
    <w:rsid w:val="00B25665"/>
    <w:rsid w:val="00C021D4"/>
    <w:rsid w:val="00CD0173"/>
    <w:rsid w:val="00D405DC"/>
    <w:rsid w:val="00D53BB8"/>
    <w:rsid w:val="00E6380F"/>
    <w:rsid w:val="00E77106"/>
    <w:rsid w:val="00EE32B1"/>
    <w:rsid w:val="00F34FEB"/>
    <w:rsid w:val="00F54C80"/>
    <w:rsid w:val="00FF272D"/>
    <w:rsid w:val="027F7384"/>
    <w:rsid w:val="04494AD9"/>
    <w:rsid w:val="05933BE7"/>
    <w:rsid w:val="07371B87"/>
    <w:rsid w:val="0AC805E5"/>
    <w:rsid w:val="0DAF5868"/>
    <w:rsid w:val="11686C0A"/>
    <w:rsid w:val="128C577B"/>
    <w:rsid w:val="158740DC"/>
    <w:rsid w:val="15BD27B3"/>
    <w:rsid w:val="19D07229"/>
    <w:rsid w:val="1A4B087B"/>
    <w:rsid w:val="202A193A"/>
    <w:rsid w:val="25425F57"/>
    <w:rsid w:val="29954C00"/>
    <w:rsid w:val="2A7B57EC"/>
    <w:rsid w:val="317D29EF"/>
    <w:rsid w:val="36FF40CA"/>
    <w:rsid w:val="3B2C7B59"/>
    <w:rsid w:val="42213CC3"/>
    <w:rsid w:val="43F404D7"/>
    <w:rsid w:val="47666414"/>
    <w:rsid w:val="4F4A18C3"/>
    <w:rsid w:val="4F6B7822"/>
    <w:rsid w:val="540036DF"/>
    <w:rsid w:val="551D692E"/>
    <w:rsid w:val="564618CB"/>
    <w:rsid w:val="584C4807"/>
    <w:rsid w:val="5CF56364"/>
    <w:rsid w:val="5D7A52CB"/>
    <w:rsid w:val="5DC2376F"/>
    <w:rsid w:val="64BB3E68"/>
    <w:rsid w:val="68386D1E"/>
    <w:rsid w:val="6A52283E"/>
    <w:rsid w:val="6DC6662F"/>
    <w:rsid w:val="6E7A1EBE"/>
    <w:rsid w:val="71540226"/>
    <w:rsid w:val="74F318B4"/>
    <w:rsid w:val="75591790"/>
    <w:rsid w:val="768932C8"/>
    <w:rsid w:val="779B7644"/>
    <w:rsid w:val="77F75E0D"/>
    <w:rsid w:val="7BB30559"/>
    <w:rsid w:val="7E2B0B36"/>
    <w:rsid w:val="7FE9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13"/>
    <w:unhideWhenUsed/>
    <w:qFormat/>
    <w:uiPriority w:val="0"/>
    <w:pPr>
      <w:adjustRightInd w:val="0"/>
      <w:snapToGrid w:val="0"/>
      <w:spacing w:line="560" w:lineRule="exact"/>
      <w:ind w:firstLine="641"/>
    </w:pPr>
    <w:rPr>
      <w:rFonts w:ascii="仿宋_GB2312"/>
      <w:kern w:val="0"/>
      <w:sz w:val="30"/>
      <w:szCs w:val="20"/>
    </w:rPr>
  </w:style>
  <w:style w:type="paragraph" w:styleId="4">
    <w:name w:val="Body Text"/>
    <w:basedOn w:val="1"/>
    <w:next w:val="1"/>
    <w:unhideWhenUsed/>
    <w:qFormat/>
    <w:uiPriority w:val="0"/>
    <w:pPr>
      <w:spacing w:after="120"/>
    </w:pPr>
    <w:rPr>
      <w:rFonts w:ascii="Calibri" w:hAnsi="Calibri" w:eastAsia="宋体" w:cs="Times New Roman"/>
      <w:szCs w:val="24"/>
    </w:rPr>
  </w:style>
  <w:style w:type="paragraph" w:styleId="5">
    <w:name w:val="footer"/>
    <w:basedOn w:val="1"/>
    <w:link w:val="1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character" w:styleId="10">
    <w:name w:val="page number"/>
    <w:basedOn w:val="9"/>
    <w:unhideWhenUsed/>
    <w:qFormat/>
    <w:uiPriority w:val="0"/>
  </w:style>
  <w:style w:type="character" w:customStyle="1" w:styleId="11">
    <w:name w:val="页脚 Char2"/>
    <w:link w:val="5"/>
    <w:qFormat/>
    <w:uiPriority w:val="99"/>
    <w:rPr>
      <w:sz w:val="18"/>
      <w:szCs w:val="18"/>
    </w:rPr>
  </w:style>
  <w:style w:type="character" w:customStyle="1" w:styleId="12">
    <w:name w:val="页脚 Char"/>
    <w:basedOn w:val="9"/>
    <w:semiHidden/>
    <w:qFormat/>
    <w:uiPriority w:val="99"/>
    <w:rPr>
      <w:rFonts w:ascii="Times New Roman" w:hAnsi="Times New Roman" w:eastAsia="仿宋_GB2312" w:cs="Times New Roman"/>
      <w:sz w:val="18"/>
      <w:szCs w:val="18"/>
    </w:rPr>
  </w:style>
  <w:style w:type="character" w:customStyle="1" w:styleId="13">
    <w:name w:val="正文文本缩进 Char"/>
    <w:basedOn w:val="9"/>
    <w:link w:val="3"/>
    <w:semiHidden/>
    <w:qFormat/>
    <w:uiPriority w:val="0"/>
    <w:rPr>
      <w:rFonts w:ascii="仿宋_GB2312" w:hAnsi="Times New Roman" w:eastAsia="仿宋_GB2312" w:cs="Times New Roman"/>
      <w:kern w:val="0"/>
      <w:sz w:val="30"/>
      <w:szCs w:val="20"/>
    </w:rPr>
  </w:style>
  <w:style w:type="character" w:customStyle="1" w:styleId="14">
    <w:name w:val="页脚 Char1"/>
    <w:basedOn w:val="9"/>
    <w:semiHidden/>
    <w:qFormat/>
    <w:locked/>
    <w:uiPriority w:val="99"/>
    <w:rPr>
      <w:rFonts w:ascii="Times New Roman" w:hAnsi="Times New Roman" w:eastAsia="宋体" w:cs="Times New Roman"/>
      <w:sz w:val="18"/>
      <w:szCs w:val="18"/>
    </w:rPr>
  </w:style>
  <w:style w:type="character" w:customStyle="1" w:styleId="15">
    <w:name w:val="页眉 Char"/>
    <w:basedOn w:val="9"/>
    <w:link w:val="6"/>
    <w:qFormat/>
    <w:uiPriority w:val="99"/>
    <w:rPr>
      <w:rFonts w:ascii="Times New Roman" w:hAnsi="Times New Roman" w:eastAsia="仿宋_GB2312" w:cs="Times New Roman"/>
      <w:sz w:val="18"/>
      <w:szCs w:val="18"/>
    </w:rPr>
  </w:style>
  <w:style w:type="paragraph" w:styleId="16">
    <w:name w:val="List Paragraph"/>
    <w:basedOn w:val="1"/>
    <w:qFormat/>
    <w:uiPriority w:val="34"/>
    <w:pPr>
      <w:ind w:firstLine="420" w:firstLineChars="200"/>
    </w:pPr>
  </w:style>
  <w:style w:type="character" w:customStyle="1" w:styleId="17">
    <w:name w:val="仿宋三号 字符"/>
    <w:link w:val="18"/>
    <w:semiHidden/>
    <w:qFormat/>
    <w:locked/>
    <w:uiPriority w:val="0"/>
    <w:rPr>
      <w:rFonts w:ascii="Times New Roman" w:hAnsi="Times New Roman" w:eastAsia="仿宋" w:cs="Times New Roman"/>
      <w:color w:val="000000"/>
      <w:sz w:val="32"/>
      <w:szCs w:val="32"/>
      <w:lang w:val="zh-CN"/>
    </w:rPr>
  </w:style>
  <w:style w:type="paragraph" w:customStyle="1" w:styleId="18">
    <w:name w:val="仿宋三号"/>
    <w:basedOn w:val="7"/>
    <w:link w:val="17"/>
    <w:semiHidden/>
    <w:qFormat/>
    <w:uiPriority w:val="0"/>
    <w:pPr>
      <w:snapToGrid w:val="0"/>
      <w:spacing w:line="360" w:lineRule="auto"/>
      <w:ind w:firstLine="200" w:firstLineChars="200"/>
    </w:pPr>
    <w:rPr>
      <w:rFonts w:eastAsia="仿宋"/>
      <w:color w:val="000000"/>
      <w:sz w:val="32"/>
      <w:szCs w:val="32"/>
      <w:lang w:val="zh-CN"/>
    </w:rPr>
  </w:style>
  <w:style w:type="character" w:customStyle="1" w:styleId="19">
    <w:name w:val="font11"/>
    <w:basedOn w:val="9"/>
    <w:qFormat/>
    <w:uiPriority w:val="0"/>
    <w:rPr>
      <w:rFonts w:hint="eastAsia" w:ascii="宋体" w:hAnsi="宋体" w:eastAsia="宋体" w:cs="宋体"/>
      <w:color w:val="000000"/>
      <w:sz w:val="20"/>
      <w:szCs w:val="20"/>
      <w:u w:val="none"/>
    </w:rPr>
  </w:style>
  <w:style w:type="character" w:customStyle="1" w:styleId="20">
    <w:name w:val="font31"/>
    <w:basedOn w:val="9"/>
    <w:qFormat/>
    <w:uiPriority w:val="0"/>
    <w:rPr>
      <w:rFonts w:hint="eastAsia" w:ascii="宋体" w:hAnsi="宋体" w:eastAsia="宋体" w:cs="宋体"/>
      <w:color w:val="000000"/>
      <w:sz w:val="20"/>
      <w:szCs w:val="20"/>
      <w:u w:val="none"/>
    </w:rPr>
  </w:style>
  <w:style w:type="character" w:customStyle="1" w:styleId="21">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362</Words>
  <Characters>2067</Characters>
  <Lines>17</Lines>
  <Paragraphs>4</Paragraphs>
  <TotalTime>1</TotalTime>
  <ScaleCrop>false</ScaleCrop>
  <LinksUpToDate>false</LinksUpToDate>
  <CharactersWithSpaces>2425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2021-09-15T08:24:00Z</dcterms:created>
  <dc:creator>temp</dc:creator>
  <cp:lastModifiedBy>cgb</cp:lastModifiedBy>
  <cp:lastPrinted>2025-07-09T01:32:00Z</cp:lastPrinted>
  <dcterms:modified xsi:type="dcterms:W3CDTF">2025-07-10T02:39:52Z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