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2A168">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甘肃兰阿煤业有限责任公司2025年第六批次设备物资自主招标采购项目</w:t>
      </w:r>
    </w:p>
    <w:p w14:paraId="3B5A0900">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招标公告</w:t>
      </w:r>
    </w:p>
    <w:p w14:paraId="0FA97855">
      <w:pPr>
        <w:numPr>
          <w:ilvl w:val="0"/>
          <w:numId w:val="0"/>
        </w:numPr>
        <w:rPr>
          <w:rFonts w:hint="eastAsia" w:ascii="宋体" w:hAnsi="宋体" w:eastAsia="宋体" w:cs="宋体"/>
          <w:sz w:val="32"/>
          <w:szCs w:val="32"/>
        </w:rPr>
      </w:pPr>
      <w:r>
        <w:rPr>
          <w:rFonts w:hint="eastAsia" w:ascii="宋体" w:hAnsi="宋体" w:eastAsia="宋体" w:cs="宋体"/>
          <w:sz w:val="32"/>
          <w:szCs w:val="32"/>
          <w:lang w:val="en-US" w:eastAsia="zh-CN"/>
        </w:rPr>
        <w:t>一、</w:t>
      </w:r>
      <w:r>
        <w:rPr>
          <w:rFonts w:hint="eastAsia" w:ascii="宋体" w:hAnsi="宋体" w:eastAsia="宋体" w:cs="宋体"/>
          <w:sz w:val="32"/>
          <w:szCs w:val="32"/>
        </w:rPr>
        <w:t>招标范围</w:t>
      </w:r>
    </w:p>
    <w:p w14:paraId="01ECEEE7">
      <w:pPr>
        <w:numPr>
          <w:ilvl w:val="0"/>
          <w:numId w:val="0"/>
        </w:numPr>
        <w:rPr>
          <w:rFonts w:hint="eastAsia" w:ascii="宋体" w:hAnsi="宋体" w:eastAsia="宋体" w:cs="宋体"/>
          <w:sz w:val="32"/>
          <w:szCs w:val="32"/>
        </w:rPr>
      </w:pPr>
      <w:r>
        <w:rPr>
          <w:rFonts w:hint="eastAsia" w:ascii="宋体" w:hAnsi="宋体" w:eastAsia="宋体" w:cs="宋体"/>
          <w:sz w:val="32"/>
          <w:szCs w:val="32"/>
        </w:rPr>
        <w:t>1.1货物的名称、数量：</w:t>
      </w:r>
    </w:p>
    <w:tbl>
      <w:tblPr>
        <w:tblStyle w:val="9"/>
        <w:tblW w:w="9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120"/>
        <w:gridCol w:w="2130"/>
        <w:gridCol w:w="840"/>
        <w:gridCol w:w="1080"/>
        <w:gridCol w:w="2745"/>
      </w:tblGrid>
      <w:tr w14:paraId="1F14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499" w:type="dxa"/>
            <w:vAlign w:val="center"/>
          </w:tcPr>
          <w:p w14:paraId="13758ACB">
            <w:pPr>
              <w:jc w:val="center"/>
              <w:rPr>
                <w:vertAlign w:val="baseline"/>
              </w:rPr>
            </w:pPr>
            <w:r>
              <w:rPr>
                <w:rFonts w:hint="eastAsia"/>
                <w:vertAlign w:val="baseline"/>
              </w:rPr>
              <w:t>序号</w:t>
            </w:r>
          </w:p>
        </w:tc>
        <w:tc>
          <w:tcPr>
            <w:tcW w:w="2120" w:type="dxa"/>
            <w:vAlign w:val="center"/>
          </w:tcPr>
          <w:p w14:paraId="4658BF66">
            <w:pPr>
              <w:jc w:val="center"/>
              <w:rPr>
                <w:vertAlign w:val="baseline"/>
              </w:rPr>
            </w:pPr>
            <w:r>
              <w:rPr>
                <w:rFonts w:hint="eastAsia"/>
                <w:vertAlign w:val="baseline"/>
              </w:rPr>
              <w:t>项 目 名 称</w:t>
            </w:r>
          </w:p>
        </w:tc>
        <w:tc>
          <w:tcPr>
            <w:tcW w:w="2130" w:type="dxa"/>
            <w:vAlign w:val="center"/>
          </w:tcPr>
          <w:p w14:paraId="1A2D0E02">
            <w:pPr>
              <w:jc w:val="center"/>
              <w:rPr>
                <w:vertAlign w:val="baseline"/>
              </w:rPr>
            </w:pPr>
            <w:r>
              <w:rPr>
                <w:rFonts w:hint="eastAsia"/>
                <w:vertAlign w:val="baseline"/>
              </w:rPr>
              <w:t>规格型号及内容</w:t>
            </w:r>
          </w:p>
        </w:tc>
        <w:tc>
          <w:tcPr>
            <w:tcW w:w="840" w:type="dxa"/>
            <w:vAlign w:val="center"/>
          </w:tcPr>
          <w:p w14:paraId="5FD309E6">
            <w:pPr>
              <w:jc w:val="center"/>
              <w:rPr>
                <w:vertAlign w:val="baseline"/>
              </w:rPr>
            </w:pPr>
            <w:r>
              <w:rPr>
                <w:rFonts w:hint="eastAsia"/>
                <w:vertAlign w:val="baseline"/>
              </w:rPr>
              <w:t>单位</w:t>
            </w:r>
          </w:p>
        </w:tc>
        <w:tc>
          <w:tcPr>
            <w:tcW w:w="1080" w:type="dxa"/>
            <w:vAlign w:val="center"/>
          </w:tcPr>
          <w:p w14:paraId="67AC0A9C">
            <w:pPr>
              <w:jc w:val="center"/>
              <w:rPr>
                <w:vertAlign w:val="baseline"/>
              </w:rPr>
            </w:pPr>
            <w:r>
              <w:rPr>
                <w:rFonts w:hint="eastAsia"/>
                <w:vertAlign w:val="baseline"/>
              </w:rPr>
              <w:t>数量</w:t>
            </w:r>
          </w:p>
        </w:tc>
        <w:tc>
          <w:tcPr>
            <w:tcW w:w="2745" w:type="dxa"/>
            <w:vAlign w:val="center"/>
          </w:tcPr>
          <w:p w14:paraId="394F8E9B">
            <w:pPr>
              <w:jc w:val="center"/>
              <w:rPr>
                <w:vertAlign w:val="baseline"/>
              </w:rPr>
            </w:pPr>
            <w:r>
              <w:rPr>
                <w:rFonts w:hint="eastAsia"/>
                <w:vertAlign w:val="baseline"/>
              </w:rPr>
              <w:t>备    注</w:t>
            </w:r>
          </w:p>
        </w:tc>
      </w:tr>
      <w:tr w14:paraId="4E16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499" w:type="dxa"/>
            <w:vAlign w:val="center"/>
          </w:tcPr>
          <w:p w14:paraId="43D827BF">
            <w:pPr>
              <w:jc w:val="center"/>
              <w:rPr>
                <w:rFonts w:hint="eastAsia" w:eastAsiaTheme="minorEastAsia"/>
                <w:lang w:val="en-US" w:eastAsia="zh-CN"/>
              </w:rPr>
            </w:pPr>
            <w:r>
              <w:rPr>
                <w:rFonts w:hint="eastAsia"/>
                <w:lang w:val="en-US" w:eastAsia="zh-CN"/>
              </w:rPr>
              <w:t>1</w:t>
            </w:r>
          </w:p>
        </w:tc>
        <w:tc>
          <w:tcPr>
            <w:tcW w:w="2120" w:type="dxa"/>
            <w:shd w:val="clear" w:color="auto" w:fill="auto"/>
            <w:vAlign w:val="center"/>
          </w:tcPr>
          <w:p w14:paraId="77881C0E">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矿工钢</w:t>
            </w:r>
          </w:p>
        </w:tc>
        <w:tc>
          <w:tcPr>
            <w:tcW w:w="2130" w:type="dxa"/>
            <w:shd w:val="clear" w:color="auto" w:fill="auto"/>
            <w:vAlign w:val="center"/>
          </w:tcPr>
          <w:p w14:paraId="7EE54954">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11# 定尺9米</w:t>
            </w:r>
          </w:p>
        </w:tc>
        <w:tc>
          <w:tcPr>
            <w:tcW w:w="840" w:type="dxa"/>
            <w:shd w:val="clear" w:color="auto" w:fill="auto"/>
            <w:vAlign w:val="center"/>
          </w:tcPr>
          <w:p w14:paraId="4A02C421">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吨</w:t>
            </w:r>
          </w:p>
        </w:tc>
        <w:tc>
          <w:tcPr>
            <w:tcW w:w="1080" w:type="dxa"/>
            <w:shd w:val="clear" w:color="auto" w:fill="auto"/>
            <w:vAlign w:val="center"/>
          </w:tcPr>
          <w:p w14:paraId="027532DB">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100</w:t>
            </w:r>
          </w:p>
        </w:tc>
        <w:tc>
          <w:tcPr>
            <w:tcW w:w="2745" w:type="dxa"/>
            <w:shd w:val="clear" w:color="auto" w:fill="auto"/>
            <w:vAlign w:val="center"/>
          </w:tcPr>
          <w:p w14:paraId="10CFB9CF">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报价含（增值税、运费、卸车费18元/吨）</w:t>
            </w:r>
          </w:p>
        </w:tc>
      </w:tr>
      <w:tr w14:paraId="2DC8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499" w:type="dxa"/>
            <w:vAlign w:val="center"/>
          </w:tcPr>
          <w:p w14:paraId="7D37029C">
            <w:pPr>
              <w:jc w:val="center"/>
              <w:rPr>
                <w:rFonts w:hint="eastAsia" w:eastAsiaTheme="minorEastAsia"/>
                <w:lang w:val="en-US" w:eastAsia="zh-CN"/>
              </w:rPr>
            </w:pPr>
            <w:r>
              <w:rPr>
                <w:rFonts w:hint="eastAsia"/>
                <w:lang w:val="en-US" w:eastAsia="zh-CN"/>
              </w:rPr>
              <w:t>2</w:t>
            </w:r>
          </w:p>
        </w:tc>
        <w:tc>
          <w:tcPr>
            <w:tcW w:w="2120" w:type="dxa"/>
            <w:vAlign w:val="center"/>
          </w:tcPr>
          <w:p w14:paraId="67167ABD">
            <w:pPr>
              <w:jc w:val="center"/>
              <w:rPr>
                <w:rFonts w:hint="default"/>
                <w:lang w:val="en-US"/>
              </w:rPr>
            </w:pPr>
            <w:r>
              <w:rPr>
                <w:rFonts w:hint="default"/>
                <w:lang w:val="en-US"/>
              </w:rPr>
              <w:t>主通风机水平、垂直振动监测装置</w:t>
            </w:r>
          </w:p>
        </w:tc>
        <w:tc>
          <w:tcPr>
            <w:tcW w:w="2130" w:type="dxa"/>
            <w:vAlign w:val="center"/>
          </w:tcPr>
          <w:p w14:paraId="10C816EF">
            <w:pPr>
              <w:jc w:val="center"/>
              <w:rPr>
                <w:rFonts w:hint="default"/>
                <w:vertAlign w:val="baseline"/>
                <w:lang w:val="en-US" w:eastAsia="zh-CN"/>
              </w:rPr>
            </w:pPr>
            <w:r>
              <w:rPr>
                <w:rFonts w:hint="eastAsia"/>
                <w:vertAlign w:val="baseline"/>
                <w:lang w:val="en-US" w:eastAsia="zh-CN"/>
              </w:rPr>
              <w:t>与主通风机配套</w:t>
            </w:r>
          </w:p>
        </w:tc>
        <w:tc>
          <w:tcPr>
            <w:tcW w:w="840" w:type="dxa"/>
            <w:vAlign w:val="center"/>
          </w:tcPr>
          <w:p w14:paraId="2DEE9F35">
            <w:pPr>
              <w:jc w:val="center"/>
              <w:rPr>
                <w:rFonts w:hint="default"/>
                <w:vertAlign w:val="baseline"/>
                <w:lang w:val="en-US" w:eastAsia="zh-CN"/>
              </w:rPr>
            </w:pPr>
            <w:r>
              <w:rPr>
                <w:rFonts w:hint="eastAsia"/>
                <w:vertAlign w:val="baseline"/>
                <w:lang w:val="en-US" w:eastAsia="zh-CN"/>
              </w:rPr>
              <w:t>套</w:t>
            </w:r>
          </w:p>
        </w:tc>
        <w:tc>
          <w:tcPr>
            <w:tcW w:w="1080" w:type="dxa"/>
            <w:vAlign w:val="center"/>
          </w:tcPr>
          <w:p w14:paraId="3B0DAA96">
            <w:pPr>
              <w:jc w:val="center"/>
              <w:rPr>
                <w:rFonts w:hint="default"/>
                <w:vertAlign w:val="baseline"/>
                <w:lang w:val="en-US" w:eastAsia="zh-CN"/>
              </w:rPr>
            </w:pPr>
            <w:r>
              <w:rPr>
                <w:rFonts w:hint="eastAsia"/>
                <w:vertAlign w:val="baseline"/>
                <w:lang w:val="en-US" w:eastAsia="zh-CN"/>
              </w:rPr>
              <w:t>1</w:t>
            </w:r>
          </w:p>
        </w:tc>
        <w:tc>
          <w:tcPr>
            <w:tcW w:w="2745" w:type="dxa"/>
            <w:vAlign w:val="center"/>
          </w:tcPr>
          <w:p w14:paraId="1051E67D">
            <w:pPr>
              <w:jc w:val="center"/>
              <w:rPr>
                <w:rFonts w:hint="default"/>
                <w:vertAlign w:val="baseline"/>
                <w:lang w:val="en-US" w:eastAsia="zh-CN"/>
              </w:rPr>
            </w:pPr>
            <w:r>
              <w:rPr>
                <w:rFonts w:hint="eastAsia"/>
                <w:vertAlign w:val="baseline"/>
                <w:lang w:val="en-US" w:eastAsia="zh-CN"/>
              </w:rPr>
              <w:t>见附件1</w:t>
            </w:r>
          </w:p>
        </w:tc>
      </w:tr>
      <w:tr w14:paraId="54B0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499" w:type="dxa"/>
            <w:vAlign w:val="center"/>
          </w:tcPr>
          <w:p w14:paraId="2CEE4592">
            <w:pPr>
              <w:jc w:val="center"/>
              <w:rPr>
                <w:rFonts w:hint="eastAsia" w:eastAsiaTheme="minorEastAsia"/>
                <w:lang w:val="en-US" w:eastAsia="zh-CN"/>
              </w:rPr>
            </w:pPr>
            <w:r>
              <w:rPr>
                <w:rFonts w:hint="eastAsia"/>
                <w:lang w:val="en-US" w:eastAsia="zh-CN"/>
              </w:rPr>
              <w:t>3</w:t>
            </w:r>
          </w:p>
        </w:tc>
        <w:tc>
          <w:tcPr>
            <w:tcW w:w="2120" w:type="dxa"/>
            <w:vAlign w:val="center"/>
          </w:tcPr>
          <w:p w14:paraId="32C2B0D4">
            <w:pPr>
              <w:jc w:val="center"/>
              <w:rPr>
                <w:rFonts w:hint="default" w:eastAsiaTheme="minorEastAsia"/>
                <w:lang w:val="en-US" w:eastAsia="zh-CN"/>
              </w:rPr>
            </w:pPr>
            <w:r>
              <w:rPr>
                <w:rFonts w:hint="eastAsia"/>
                <w:lang w:val="en-US" w:eastAsia="zh-CN"/>
              </w:rPr>
              <w:t>煤仓安全管控系统</w:t>
            </w:r>
          </w:p>
        </w:tc>
        <w:tc>
          <w:tcPr>
            <w:tcW w:w="2130" w:type="dxa"/>
            <w:vAlign w:val="center"/>
          </w:tcPr>
          <w:p w14:paraId="2C5AF6B9">
            <w:pPr>
              <w:jc w:val="center"/>
              <w:rPr>
                <w:rFonts w:hint="eastAsia"/>
                <w:vertAlign w:val="baseline"/>
                <w:lang w:val="en-US" w:eastAsia="zh-CN"/>
              </w:rPr>
            </w:pPr>
          </w:p>
        </w:tc>
        <w:tc>
          <w:tcPr>
            <w:tcW w:w="840" w:type="dxa"/>
            <w:shd w:val="clear" w:color="auto" w:fill="auto"/>
            <w:vAlign w:val="center"/>
          </w:tcPr>
          <w:p w14:paraId="62119640">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套</w:t>
            </w:r>
          </w:p>
        </w:tc>
        <w:tc>
          <w:tcPr>
            <w:tcW w:w="1080" w:type="dxa"/>
            <w:shd w:val="clear" w:color="auto" w:fill="auto"/>
            <w:vAlign w:val="center"/>
          </w:tcPr>
          <w:p w14:paraId="1CE43016">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2745" w:type="dxa"/>
            <w:shd w:val="clear" w:color="auto" w:fill="auto"/>
            <w:vAlign w:val="center"/>
          </w:tcPr>
          <w:p w14:paraId="68ED33C7">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见附件2</w:t>
            </w:r>
          </w:p>
        </w:tc>
      </w:tr>
    </w:tbl>
    <w:p w14:paraId="30BC0B3A"/>
    <w:tbl>
      <w:tblPr>
        <w:tblStyle w:val="9"/>
        <w:tblpPr w:leftFromText="180" w:rightFromText="180" w:vertAnchor="text" w:tblpX="10214" w:tblpY="-7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tblGrid>
      <w:tr w14:paraId="739F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711" w:type="dxa"/>
          </w:tcPr>
          <w:p w14:paraId="33E18426">
            <w:pPr>
              <w:rPr>
                <w:rFonts w:hint="eastAsia" w:ascii="宋体" w:hAnsi="宋体" w:eastAsia="宋体" w:cs="宋体"/>
                <w:sz w:val="32"/>
                <w:szCs w:val="32"/>
                <w:vertAlign w:val="baseline"/>
              </w:rPr>
            </w:pPr>
          </w:p>
        </w:tc>
      </w:tr>
    </w:tbl>
    <w:p w14:paraId="6D9D8707">
      <w:pPr>
        <w:rPr>
          <w:rFonts w:hint="eastAsia" w:ascii="宋体" w:hAnsi="宋体" w:eastAsia="宋体" w:cs="宋体"/>
          <w:sz w:val="32"/>
          <w:szCs w:val="32"/>
        </w:rPr>
      </w:pPr>
      <w:r>
        <w:rPr>
          <w:rFonts w:hint="eastAsia" w:ascii="宋体" w:hAnsi="宋体" w:eastAsia="宋体" w:cs="宋体"/>
          <w:sz w:val="32"/>
          <w:szCs w:val="32"/>
        </w:rPr>
        <w:t>2.2交货期：合同签订后</w:t>
      </w:r>
      <w:r>
        <w:rPr>
          <w:rFonts w:hint="eastAsia" w:ascii="宋体" w:hAnsi="宋体" w:eastAsia="宋体" w:cs="宋体"/>
          <w:sz w:val="32"/>
          <w:szCs w:val="32"/>
          <w:lang w:val="en-US" w:eastAsia="zh-CN"/>
        </w:rPr>
        <w:t>7</w:t>
      </w:r>
      <w:bookmarkStart w:id="99" w:name="_GoBack"/>
      <w:bookmarkEnd w:id="99"/>
      <w:r>
        <w:rPr>
          <w:rFonts w:hint="eastAsia" w:ascii="宋体" w:hAnsi="宋体" w:eastAsia="宋体" w:cs="宋体"/>
          <w:sz w:val="32"/>
          <w:szCs w:val="32"/>
        </w:rPr>
        <w:t>天。</w:t>
      </w:r>
    </w:p>
    <w:p w14:paraId="7F6F31D5">
      <w:pPr>
        <w:rPr>
          <w:rFonts w:hint="eastAsia" w:ascii="宋体" w:hAnsi="宋体" w:eastAsia="宋体" w:cs="宋体"/>
          <w:sz w:val="32"/>
          <w:szCs w:val="32"/>
        </w:rPr>
      </w:pPr>
      <w:r>
        <w:rPr>
          <w:rFonts w:hint="eastAsia" w:ascii="宋体" w:hAnsi="宋体" w:eastAsia="宋体" w:cs="宋体"/>
          <w:sz w:val="32"/>
          <w:szCs w:val="32"/>
        </w:rPr>
        <w:t>2.3交货地点：招标人指定地点。</w:t>
      </w:r>
    </w:p>
    <w:p w14:paraId="17E413B7">
      <w:pPr>
        <w:rPr>
          <w:rFonts w:hint="eastAsia" w:ascii="宋体" w:hAnsi="宋体" w:eastAsia="宋体" w:cs="宋体"/>
          <w:sz w:val="32"/>
          <w:szCs w:val="32"/>
        </w:rPr>
      </w:pPr>
      <w:r>
        <w:rPr>
          <w:rFonts w:hint="eastAsia" w:ascii="宋体" w:hAnsi="宋体" w:eastAsia="宋体" w:cs="宋体"/>
          <w:sz w:val="32"/>
          <w:szCs w:val="32"/>
        </w:rPr>
        <w:t>2.4质量要求：按照国家现行质量标准和煤矿行业标准执行，并提供质量检测证书。</w:t>
      </w:r>
    </w:p>
    <w:p w14:paraId="28E3E7F3">
      <w:pPr>
        <w:rPr>
          <w:rFonts w:hint="eastAsia" w:ascii="宋体" w:hAnsi="宋体" w:eastAsia="宋体" w:cs="宋体"/>
          <w:sz w:val="32"/>
          <w:szCs w:val="32"/>
        </w:rPr>
      </w:pPr>
      <w:r>
        <w:rPr>
          <w:rFonts w:hint="eastAsia" w:ascii="宋体" w:hAnsi="宋体" w:eastAsia="宋体" w:cs="宋体"/>
          <w:sz w:val="32"/>
          <w:szCs w:val="32"/>
        </w:rPr>
        <w:t>二、投标人资格要求：</w:t>
      </w:r>
    </w:p>
    <w:p w14:paraId="5B90FB5F">
      <w:pPr>
        <w:ind w:firstLine="640" w:firstLineChars="200"/>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w:t>
      </w:r>
      <w:r>
        <w:rPr>
          <w:rFonts w:hint="eastAsia" w:ascii="宋体" w:hAnsi="宋体" w:eastAsia="宋体" w:cs="宋体"/>
          <w:sz w:val="32"/>
          <w:szCs w:val="32"/>
        </w:rPr>
        <w:t>在中华人民共和国依照《中华人民共和国公司法》注册的具有法人资格的有能力提供招标货物的制造厂商或供应商。提供企业法人营业执照、税务登记证、组织机构代码证（或者三证合一后的营业执照）；</w:t>
      </w:r>
    </w:p>
    <w:p w14:paraId="6F7B1EEB">
      <w:pPr>
        <w:ind w:firstLine="640" w:firstLineChars="20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投标人在近三年内不曾在任何合同中违约或被逐或因投标人的原因而使合同被解除，无骗取中标的问题，没有发生因产品原因而造成的重大质量及安全事故；</w:t>
      </w:r>
    </w:p>
    <w:p w14:paraId="42EAE6C0">
      <w:pPr>
        <w:ind w:firstLine="640" w:firstLineChars="200"/>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lang w:eastAsia="zh-CN"/>
        </w:rPr>
        <w:t>.</w:t>
      </w:r>
      <w:r>
        <w:rPr>
          <w:rFonts w:hint="eastAsia" w:ascii="宋体" w:hAnsi="宋体" w:eastAsia="宋体" w:cs="宋体"/>
          <w:sz w:val="32"/>
          <w:szCs w:val="32"/>
        </w:rPr>
        <w:t>投标人应具有良好的财务状况，没有处于被责令停业，财产被接管、冻结或破产状态。投标人须提供近三年（202</w:t>
      </w:r>
      <w:r>
        <w:rPr>
          <w:rFonts w:hint="eastAsia" w:ascii="宋体" w:hAnsi="宋体" w:eastAsia="宋体" w:cs="宋体"/>
          <w:sz w:val="32"/>
          <w:szCs w:val="32"/>
          <w:lang w:val="en-US" w:eastAsia="zh-CN"/>
        </w:rPr>
        <w:t>2</w:t>
      </w:r>
      <w:r>
        <w:rPr>
          <w:rFonts w:hint="eastAsia" w:ascii="宋体" w:hAnsi="宋体" w:eastAsia="宋体" w:cs="宋体"/>
          <w:sz w:val="32"/>
          <w:szCs w:val="32"/>
        </w:rPr>
        <w:t>年度—202</w:t>
      </w:r>
      <w:r>
        <w:rPr>
          <w:rFonts w:hint="eastAsia" w:ascii="宋体" w:hAnsi="宋体" w:eastAsia="宋体" w:cs="宋体"/>
          <w:sz w:val="32"/>
          <w:szCs w:val="32"/>
          <w:lang w:val="en-US" w:eastAsia="zh-CN"/>
        </w:rPr>
        <w:t>4</w:t>
      </w:r>
      <w:r>
        <w:rPr>
          <w:rFonts w:hint="eastAsia" w:ascii="宋体" w:hAnsi="宋体" w:eastAsia="宋体" w:cs="宋体"/>
          <w:sz w:val="32"/>
          <w:szCs w:val="32"/>
        </w:rPr>
        <w:t>年度，或202</w:t>
      </w:r>
      <w:r>
        <w:rPr>
          <w:rFonts w:hint="eastAsia" w:ascii="宋体" w:hAnsi="宋体" w:eastAsia="宋体" w:cs="宋体"/>
          <w:sz w:val="32"/>
          <w:szCs w:val="32"/>
          <w:lang w:val="en-US" w:eastAsia="zh-CN"/>
        </w:rPr>
        <w:t>2</w:t>
      </w:r>
      <w:r>
        <w:rPr>
          <w:rFonts w:hint="eastAsia" w:ascii="宋体" w:hAnsi="宋体" w:eastAsia="宋体" w:cs="宋体"/>
          <w:sz w:val="32"/>
          <w:szCs w:val="32"/>
        </w:rPr>
        <w:t>年度—202</w:t>
      </w:r>
      <w:r>
        <w:rPr>
          <w:rFonts w:hint="eastAsia" w:ascii="宋体" w:hAnsi="宋体" w:eastAsia="宋体" w:cs="宋体"/>
          <w:sz w:val="32"/>
          <w:szCs w:val="32"/>
          <w:lang w:val="en-US" w:eastAsia="zh-CN"/>
        </w:rPr>
        <w:t>4</w:t>
      </w:r>
      <w:r>
        <w:rPr>
          <w:rFonts w:hint="eastAsia" w:ascii="宋体" w:hAnsi="宋体" w:eastAsia="宋体" w:cs="宋体"/>
          <w:sz w:val="32"/>
          <w:szCs w:val="32"/>
        </w:rPr>
        <w:t>年度）经会计师事务所或审计机构审计的财务会计报告；</w:t>
      </w:r>
    </w:p>
    <w:p w14:paraId="43106B49">
      <w:pPr>
        <w:ind w:firstLine="640" w:firstLineChars="200"/>
        <w:rPr>
          <w:rFonts w:hint="eastAsia" w:ascii="宋体" w:hAnsi="宋体" w:eastAsia="宋体" w:cs="宋体"/>
          <w:sz w:val="32"/>
          <w:szCs w:val="32"/>
        </w:rPr>
      </w:pPr>
      <w:r>
        <w:rPr>
          <w:rFonts w:hint="eastAsia" w:ascii="宋体" w:hAnsi="宋体" w:eastAsia="宋体" w:cs="宋体"/>
          <w:sz w:val="32"/>
          <w:szCs w:val="32"/>
        </w:rPr>
        <w:t>4</w:t>
      </w:r>
      <w:r>
        <w:rPr>
          <w:rFonts w:hint="eastAsia" w:ascii="宋体" w:hAnsi="宋体" w:eastAsia="宋体" w:cs="宋体"/>
          <w:sz w:val="32"/>
          <w:szCs w:val="32"/>
          <w:lang w:eastAsia="zh-CN"/>
        </w:rPr>
        <w:t>.</w:t>
      </w:r>
      <w:r>
        <w:rPr>
          <w:rFonts w:hint="eastAsia" w:ascii="宋体" w:hAnsi="宋体" w:eastAsia="宋体" w:cs="宋体"/>
          <w:sz w:val="32"/>
          <w:szCs w:val="32"/>
        </w:rPr>
        <w:t>制造商具有生产、销售的相应资质，并提供相应煤矿矿用产品安全标志证书及防爆合格证；供应商具有制造商授权；投标人为非法人的要有法人授权书。</w:t>
      </w:r>
    </w:p>
    <w:p w14:paraId="71E01B22">
      <w:pPr>
        <w:ind w:firstLine="640" w:firstLineChars="200"/>
        <w:rPr>
          <w:rFonts w:hint="eastAsia" w:ascii="宋体" w:hAnsi="宋体" w:eastAsia="宋体" w:cs="宋体"/>
          <w:sz w:val="32"/>
          <w:szCs w:val="32"/>
        </w:rPr>
      </w:pPr>
      <w:r>
        <w:rPr>
          <w:rFonts w:hint="eastAsia" w:ascii="宋体" w:hAnsi="宋体" w:eastAsia="宋体" w:cs="宋体"/>
          <w:sz w:val="32"/>
          <w:szCs w:val="32"/>
        </w:rPr>
        <w:t>5</w:t>
      </w:r>
      <w:r>
        <w:rPr>
          <w:rFonts w:hint="eastAsia" w:ascii="宋体" w:hAnsi="宋体" w:eastAsia="宋体" w:cs="宋体"/>
          <w:sz w:val="32"/>
          <w:szCs w:val="32"/>
          <w:lang w:eastAsia="zh-CN"/>
        </w:rPr>
        <w:t>.</w:t>
      </w:r>
      <w:r>
        <w:rPr>
          <w:rFonts w:hint="eastAsia" w:ascii="宋体" w:hAnsi="宋体" w:eastAsia="宋体" w:cs="宋体"/>
          <w:sz w:val="32"/>
          <w:szCs w:val="32"/>
        </w:rPr>
        <w:t>未被列入“信用中国”网站“失信被执行人”、“企业经营异常名录”、“重大税收违法案件当事人名单”；</w:t>
      </w:r>
    </w:p>
    <w:p w14:paraId="6A79FD80">
      <w:pPr>
        <w:ind w:firstLine="640" w:firstLineChars="200"/>
        <w:rPr>
          <w:rFonts w:hint="eastAsia" w:ascii="宋体" w:hAnsi="宋体" w:eastAsia="宋体" w:cs="宋体"/>
          <w:sz w:val="32"/>
          <w:szCs w:val="32"/>
        </w:rPr>
      </w:pPr>
      <w:r>
        <w:rPr>
          <w:rFonts w:hint="eastAsia" w:ascii="宋体" w:hAnsi="宋体" w:eastAsia="宋体" w:cs="宋体"/>
          <w:sz w:val="32"/>
          <w:szCs w:val="32"/>
        </w:rPr>
        <w:t>6</w:t>
      </w:r>
      <w:r>
        <w:rPr>
          <w:rFonts w:hint="eastAsia" w:ascii="宋体" w:hAnsi="宋体" w:eastAsia="宋体" w:cs="宋体"/>
          <w:sz w:val="32"/>
          <w:szCs w:val="32"/>
          <w:lang w:eastAsia="zh-CN"/>
        </w:rPr>
        <w:t>.</w:t>
      </w:r>
      <w:r>
        <w:rPr>
          <w:rFonts w:hint="eastAsia" w:ascii="宋体" w:hAnsi="宋体" w:eastAsia="宋体" w:cs="宋体"/>
          <w:sz w:val="32"/>
          <w:szCs w:val="32"/>
        </w:rPr>
        <w:t>单位负责人为同一人或者存在控股、管理关系的不同单位，不得参加同一标段投标或未划分标段的同一招标项目投标。违反以上规定的，相关投标均无效；</w:t>
      </w:r>
    </w:p>
    <w:p w14:paraId="051216A8">
      <w:pPr>
        <w:ind w:firstLine="640" w:firstLineChars="200"/>
        <w:rPr>
          <w:rFonts w:hint="eastAsia" w:ascii="宋体" w:hAnsi="宋体" w:eastAsia="宋体" w:cs="宋体"/>
          <w:sz w:val="32"/>
          <w:szCs w:val="32"/>
        </w:rPr>
      </w:pPr>
      <w:r>
        <w:rPr>
          <w:rFonts w:hint="eastAsia" w:ascii="宋体" w:hAnsi="宋体" w:eastAsia="宋体" w:cs="宋体"/>
          <w:sz w:val="32"/>
          <w:szCs w:val="32"/>
        </w:rPr>
        <w:t>7</w:t>
      </w:r>
      <w:r>
        <w:rPr>
          <w:rFonts w:hint="eastAsia" w:ascii="宋体" w:hAnsi="宋体" w:eastAsia="宋体" w:cs="宋体"/>
          <w:sz w:val="32"/>
          <w:szCs w:val="32"/>
          <w:lang w:eastAsia="zh-CN"/>
        </w:rPr>
        <w:t>.</w:t>
      </w:r>
      <w:r>
        <w:rPr>
          <w:rFonts w:hint="eastAsia" w:ascii="宋体" w:hAnsi="宋体" w:eastAsia="宋体" w:cs="宋体"/>
          <w:sz w:val="32"/>
          <w:szCs w:val="32"/>
        </w:rPr>
        <w:t>本次招标不接受联合体投标。</w:t>
      </w:r>
    </w:p>
    <w:p w14:paraId="6BC2167C">
      <w:pPr>
        <w:rPr>
          <w:rFonts w:hint="eastAsia" w:ascii="宋体" w:hAnsi="宋体" w:eastAsia="宋体" w:cs="宋体"/>
          <w:sz w:val="32"/>
          <w:szCs w:val="32"/>
        </w:rPr>
      </w:pPr>
      <w:r>
        <w:rPr>
          <w:rFonts w:hint="eastAsia" w:ascii="宋体" w:hAnsi="宋体" w:eastAsia="宋体" w:cs="宋体"/>
          <w:sz w:val="32"/>
          <w:szCs w:val="32"/>
        </w:rPr>
        <w:t>三、联系方式</w:t>
      </w:r>
    </w:p>
    <w:p w14:paraId="115F7E2E">
      <w:pPr>
        <w:rPr>
          <w:rFonts w:hint="eastAsia" w:ascii="宋体" w:hAnsi="宋体" w:eastAsia="宋体" w:cs="宋体"/>
          <w:sz w:val="32"/>
          <w:szCs w:val="32"/>
        </w:rPr>
      </w:pPr>
      <w:r>
        <w:rPr>
          <w:rFonts w:hint="eastAsia" w:ascii="宋体" w:hAnsi="宋体" w:eastAsia="宋体" w:cs="宋体"/>
          <w:sz w:val="32"/>
          <w:szCs w:val="32"/>
        </w:rPr>
        <w:t>招标人：甘肃兰阿煤业有限责任公司</w:t>
      </w:r>
    </w:p>
    <w:p w14:paraId="0A7C1301">
      <w:pPr>
        <w:rPr>
          <w:rFonts w:hint="eastAsia" w:ascii="宋体" w:hAnsi="宋体" w:eastAsia="宋体" w:cs="宋体"/>
          <w:sz w:val="32"/>
          <w:szCs w:val="32"/>
        </w:rPr>
      </w:pPr>
      <w:r>
        <w:rPr>
          <w:rFonts w:hint="eastAsia" w:ascii="宋体" w:hAnsi="宋体" w:eastAsia="宋体" w:cs="宋体"/>
          <w:sz w:val="32"/>
          <w:szCs w:val="32"/>
        </w:rPr>
        <w:t>地址：甘肃省兰州市七里河区阿干镇大水子348号</w:t>
      </w:r>
    </w:p>
    <w:p w14:paraId="2EE2E75A">
      <w:pPr>
        <w:rPr>
          <w:rFonts w:hint="eastAsia" w:ascii="宋体" w:hAnsi="宋体" w:eastAsia="宋体" w:cs="宋体"/>
          <w:sz w:val="32"/>
          <w:szCs w:val="32"/>
          <w:lang w:val="en-US" w:eastAsia="zh-CN"/>
        </w:rPr>
      </w:pPr>
      <w:r>
        <w:rPr>
          <w:rFonts w:hint="eastAsia" w:ascii="宋体" w:hAnsi="宋体" w:eastAsia="宋体" w:cs="宋体"/>
          <w:sz w:val="32"/>
          <w:szCs w:val="32"/>
        </w:rPr>
        <w:t>联</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系</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人：</w:t>
      </w:r>
      <w:r>
        <w:rPr>
          <w:rFonts w:hint="eastAsia" w:ascii="宋体" w:hAnsi="宋体" w:eastAsia="宋体" w:cs="宋体"/>
          <w:sz w:val="32"/>
          <w:szCs w:val="32"/>
          <w:lang w:val="en-US" w:eastAsia="zh-CN"/>
        </w:rPr>
        <w:t>张</w:t>
      </w:r>
      <w:r>
        <w:rPr>
          <w:rFonts w:hint="eastAsia" w:ascii="宋体" w:hAnsi="宋体" w:eastAsia="宋体" w:cs="宋体"/>
          <w:sz w:val="32"/>
          <w:szCs w:val="32"/>
        </w:rPr>
        <w:t>经理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电话：</w:t>
      </w:r>
      <w:r>
        <w:rPr>
          <w:rFonts w:hint="eastAsia" w:ascii="宋体" w:hAnsi="宋体" w:eastAsia="宋体" w:cs="宋体"/>
          <w:sz w:val="32"/>
          <w:szCs w:val="32"/>
          <w:lang w:val="en-US" w:eastAsia="zh-CN"/>
        </w:rPr>
        <w:t>13893129422</w:t>
      </w:r>
    </w:p>
    <w:p w14:paraId="5C4B4F4B">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  系  人：祁主任            电话：18100937602</w:t>
      </w:r>
    </w:p>
    <w:p w14:paraId="1C7D52E2">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技术联系人： 李  工     电话：13088710630</w:t>
      </w:r>
    </w:p>
    <w:p w14:paraId="34E68EB0">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技术联系人： 王  工     电话：17693105325</w:t>
      </w:r>
    </w:p>
    <w:p w14:paraId="55D9A609">
      <w:pPr>
        <w:rPr>
          <w:rFonts w:hint="eastAsia" w:ascii="宋体" w:hAnsi="宋体" w:eastAsia="宋体" w:cs="宋体"/>
          <w:sz w:val="32"/>
          <w:szCs w:val="32"/>
        </w:rPr>
      </w:pPr>
      <w:r>
        <w:rPr>
          <w:rFonts w:hint="eastAsia" w:ascii="宋体" w:hAnsi="宋体" w:eastAsia="宋体" w:cs="宋体"/>
          <w:sz w:val="32"/>
          <w:szCs w:val="32"/>
        </w:rPr>
        <w:t>四、其它注意事项</w:t>
      </w:r>
    </w:p>
    <w:p w14:paraId="4A8C8A76">
      <w:pPr>
        <w:ind w:firstLine="640" w:firstLineChars="200"/>
        <w:rPr>
          <w:rFonts w:hint="eastAsia" w:ascii="宋体" w:hAnsi="宋体" w:eastAsia="宋体" w:cs="宋体"/>
          <w:sz w:val="32"/>
          <w:szCs w:val="32"/>
        </w:rPr>
      </w:pPr>
      <w:r>
        <w:rPr>
          <w:rFonts w:hint="eastAsia" w:ascii="宋体" w:hAnsi="宋体" w:eastAsia="宋体" w:cs="宋体"/>
          <w:sz w:val="32"/>
          <w:szCs w:val="32"/>
        </w:rPr>
        <w:t>因本次招标为企业自主招标，意向投标人必须</w:t>
      </w:r>
      <w:r>
        <w:rPr>
          <w:rFonts w:hint="eastAsia" w:ascii="宋体" w:hAnsi="宋体" w:eastAsia="宋体" w:cs="宋体"/>
          <w:sz w:val="32"/>
          <w:szCs w:val="32"/>
          <w:lang w:val="en-US" w:eastAsia="zh-CN"/>
        </w:rPr>
        <w:t>先向招标人</w:t>
      </w:r>
      <w:r>
        <w:rPr>
          <w:rFonts w:hint="eastAsia" w:ascii="宋体" w:hAnsi="宋体" w:eastAsia="宋体" w:cs="宋体"/>
          <w:sz w:val="32"/>
          <w:szCs w:val="32"/>
        </w:rPr>
        <w:t>提交</w:t>
      </w:r>
      <w:r>
        <w:rPr>
          <w:rFonts w:hint="eastAsia" w:ascii="宋体" w:hAnsi="宋体" w:eastAsia="宋体" w:cs="宋体"/>
          <w:sz w:val="32"/>
          <w:szCs w:val="32"/>
          <w:lang w:val="en-US" w:eastAsia="zh-CN"/>
        </w:rPr>
        <w:t>相关资料进行前期审核，符合要求的</w:t>
      </w:r>
      <w:r>
        <w:rPr>
          <w:rFonts w:hint="eastAsia" w:ascii="宋体" w:hAnsi="宋体" w:eastAsia="宋体" w:cs="宋体"/>
          <w:sz w:val="32"/>
          <w:szCs w:val="32"/>
        </w:rPr>
        <w:t>投标人</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按照</w:t>
      </w:r>
      <w:r>
        <w:rPr>
          <w:rFonts w:hint="eastAsia" w:ascii="宋体" w:hAnsi="宋体" w:eastAsia="宋体" w:cs="宋体"/>
          <w:sz w:val="32"/>
          <w:szCs w:val="32"/>
        </w:rPr>
        <w:t>要求的1、4项及盖有公章、标明税率、运费的正规报价单，委托代理人授权书。</w:t>
      </w:r>
      <w:r>
        <w:rPr>
          <w:rFonts w:hint="eastAsia" w:ascii="宋体" w:hAnsi="宋体" w:eastAsia="宋体" w:cs="宋体"/>
          <w:sz w:val="32"/>
          <w:szCs w:val="32"/>
          <w:lang w:val="en-US" w:eastAsia="zh-CN"/>
        </w:rPr>
        <w:t>只需</w:t>
      </w:r>
      <w:r>
        <w:rPr>
          <w:rFonts w:hint="eastAsia" w:ascii="宋体" w:hAnsi="宋体" w:eastAsia="宋体" w:cs="宋体"/>
          <w:sz w:val="32"/>
          <w:szCs w:val="32"/>
        </w:rPr>
        <w:t>单独密封报价单</w:t>
      </w:r>
      <w:r>
        <w:rPr>
          <w:rFonts w:hint="eastAsia" w:ascii="宋体" w:hAnsi="宋体" w:eastAsia="宋体" w:cs="宋体"/>
          <w:sz w:val="32"/>
          <w:szCs w:val="32"/>
          <w:lang w:eastAsia="zh-CN"/>
        </w:rPr>
        <w:t>，</w:t>
      </w:r>
      <w:r>
        <w:rPr>
          <w:rFonts w:hint="eastAsia" w:ascii="宋体" w:hAnsi="宋体" w:eastAsia="宋体" w:cs="宋体"/>
          <w:sz w:val="32"/>
          <w:szCs w:val="32"/>
        </w:rPr>
        <w:t>其它资料</w:t>
      </w:r>
      <w:r>
        <w:rPr>
          <w:rFonts w:hint="eastAsia" w:ascii="宋体" w:hAnsi="宋体" w:eastAsia="宋体" w:cs="宋体"/>
          <w:sz w:val="32"/>
          <w:szCs w:val="32"/>
          <w:lang w:val="en-US" w:eastAsia="zh-CN"/>
        </w:rPr>
        <w:t>不密封</w:t>
      </w:r>
      <w:r>
        <w:rPr>
          <w:rFonts w:hint="eastAsia" w:ascii="宋体" w:hAnsi="宋体" w:eastAsia="宋体" w:cs="宋体"/>
          <w:sz w:val="32"/>
          <w:szCs w:val="32"/>
        </w:rPr>
        <w:t>一起投递报送，并注明所报名标段及公司名称。报送截止时间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4</w:t>
      </w:r>
      <w:r>
        <w:rPr>
          <w:rFonts w:hint="eastAsia" w:ascii="宋体" w:hAnsi="宋体" w:eastAsia="宋体" w:cs="宋体"/>
          <w:sz w:val="32"/>
          <w:szCs w:val="32"/>
        </w:rPr>
        <w:t>日。</w:t>
      </w:r>
    </w:p>
    <w:p w14:paraId="3C71879C">
      <w:pPr>
        <w:rPr>
          <w:rFonts w:hint="eastAsia" w:ascii="宋体" w:hAnsi="宋体" w:eastAsia="宋体" w:cs="宋体"/>
          <w:sz w:val="32"/>
          <w:szCs w:val="32"/>
        </w:rPr>
      </w:pPr>
      <w:r>
        <w:rPr>
          <w:rFonts w:hint="eastAsia" w:ascii="宋体" w:hAnsi="宋体" w:eastAsia="宋体" w:cs="宋体"/>
          <w:sz w:val="32"/>
          <w:szCs w:val="32"/>
        </w:rPr>
        <w:t>因轻信其他媒体、组织或个人提供的信息而造成损失的，招标人概不负责。</w:t>
      </w:r>
    </w:p>
    <w:p w14:paraId="627D51EF">
      <w:pPr>
        <w:rPr>
          <w:rFonts w:hint="eastAsia" w:ascii="宋体" w:hAnsi="宋体" w:eastAsia="宋体" w:cs="宋体"/>
          <w:sz w:val="32"/>
          <w:szCs w:val="32"/>
        </w:rPr>
      </w:pPr>
      <w:r>
        <w:rPr>
          <w:rFonts w:hint="eastAsia" w:ascii="宋体" w:hAnsi="宋体" w:eastAsia="宋体" w:cs="宋体"/>
          <w:sz w:val="32"/>
          <w:szCs w:val="32"/>
        </w:rPr>
        <w:t> </w:t>
      </w:r>
    </w:p>
    <w:p w14:paraId="2528C076">
      <w:pPr>
        <w:jc w:val="right"/>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29</w:t>
      </w:r>
      <w:r>
        <w:rPr>
          <w:rFonts w:hint="eastAsia" w:ascii="宋体" w:hAnsi="宋体" w:eastAsia="宋体" w:cs="宋体"/>
          <w:sz w:val="32"/>
          <w:szCs w:val="32"/>
        </w:rPr>
        <w:t>日</w:t>
      </w:r>
    </w:p>
    <w:p w14:paraId="6E83E327">
      <w:pPr>
        <w:rPr>
          <w:rFonts w:hint="default" w:eastAsiaTheme="minorEastAsia"/>
          <w:lang w:val="en-US" w:eastAsia="zh-CN"/>
        </w:rPr>
      </w:pPr>
    </w:p>
    <w:p w14:paraId="723357EC"/>
    <w:p w14:paraId="280F0AA6"/>
    <w:p w14:paraId="362E3BCE"/>
    <w:p w14:paraId="10DC13BE"/>
    <w:p w14:paraId="1B89C4A3"/>
    <w:p w14:paraId="59B0726A"/>
    <w:p w14:paraId="79A70A95"/>
    <w:p w14:paraId="1943A659"/>
    <w:p w14:paraId="3A4F72BC"/>
    <w:p w14:paraId="4EA845D7"/>
    <w:p w14:paraId="68AF1721"/>
    <w:p w14:paraId="4C15A0E5"/>
    <w:p w14:paraId="41F6EC39"/>
    <w:p w14:paraId="30BFE9E0"/>
    <w:p w14:paraId="69FCE75C"/>
    <w:p w14:paraId="3FEE297D"/>
    <w:p w14:paraId="22333175"/>
    <w:p w14:paraId="61AC7F75">
      <w:pPr>
        <w:rPr>
          <w:rFonts w:hint="eastAsia"/>
          <w:b/>
          <w:bCs/>
          <w:lang w:val="en-US" w:eastAsia="zh-CN"/>
        </w:rPr>
      </w:pPr>
      <w:r>
        <w:rPr>
          <w:rFonts w:hint="eastAsia"/>
          <w:b/>
          <w:bCs/>
          <w:lang w:val="en-US" w:eastAsia="zh-CN"/>
        </w:rPr>
        <w:t>附件1：</w:t>
      </w:r>
    </w:p>
    <w:p w14:paraId="06DA9D48">
      <w:pPr>
        <w:pStyle w:val="2"/>
        <w:pageBreakBefore w:val="0"/>
        <w:kinsoku/>
        <w:wordWrap/>
        <w:overflowPunct/>
        <w:topLinePunct w:val="0"/>
        <w:bidi w:val="0"/>
        <w:adjustRightInd/>
        <w:spacing w:line="560" w:lineRule="exact"/>
        <w:jc w:val="center"/>
        <w:textAlignment w:val="auto"/>
        <w:rPr>
          <w:rFonts w:hint="eastAsia" w:asciiTheme="majorEastAsia" w:hAnsiTheme="majorEastAsia" w:eastAsiaTheme="majorEastAsia" w:cstheme="majorEastAsia"/>
          <w:sz w:val="44"/>
          <w:szCs w:val="44"/>
          <w:lang w:val="en-US" w:eastAsia="zh-CN"/>
        </w:rPr>
      </w:pPr>
      <w:bookmarkStart w:id="0" w:name="_Toc46909904"/>
      <w:bookmarkStart w:id="1" w:name="_Toc46909903"/>
      <w:bookmarkStart w:id="2" w:name="_Toc195328875"/>
      <w:bookmarkStart w:id="3" w:name="_Toc199664542"/>
      <w:bookmarkStart w:id="4" w:name="_Toc47179097"/>
      <w:bookmarkStart w:id="5" w:name="_Toc186444591"/>
      <w:bookmarkStart w:id="6" w:name="_Toc47350072"/>
      <w:bookmarkStart w:id="7" w:name="_Toc47498275"/>
      <w:bookmarkStart w:id="8" w:name="_Toc195328092"/>
      <w:bookmarkStart w:id="9" w:name="_Toc47516389"/>
      <w:bookmarkStart w:id="10" w:name="_Toc199665293"/>
      <w:bookmarkStart w:id="11" w:name="_Toc199664184"/>
      <w:bookmarkStart w:id="12" w:name="_Toc79382401"/>
      <w:bookmarkStart w:id="13" w:name="_Toc195327877"/>
      <w:bookmarkStart w:id="14" w:name="_Toc195328469"/>
      <w:bookmarkStart w:id="15" w:name="_Toc195328152"/>
      <w:bookmarkStart w:id="16" w:name="_Toc199664463"/>
      <w:bookmarkStart w:id="17" w:name="_Toc186514014"/>
      <w:bookmarkStart w:id="18" w:name="_Toc79382297"/>
      <w:bookmarkStart w:id="19" w:name="_Toc41103540"/>
      <w:bookmarkStart w:id="20" w:name="_Toc186444467"/>
      <w:bookmarkStart w:id="21" w:name="_Toc102985477"/>
      <w:bookmarkStart w:id="22" w:name="_Toc195328717"/>
      <w:bookmarkStart w:id="23" w:name="_Toc46897726"/>
      <w:bookmarkStart w:id="24" w:name="_Toc47167530"/>
      <w:bookmarkStart w:id="25" w:name="_Toc47516574"/>
      <w:bookmarkStart w:id="26" w:name="_Toc47349992"/>
      <w:bookmarkStart w:id="27" w:name="_Toc102963815"/>
      <w:bookmarkStart w:id="28" w:name="_Toc47167531"/>
      <w:bookmarkStart w:id="29" w:name="_Toc199664302"/>
      <w:bookmarkStart w:id="30" w:name="_Toc79382126"/>
      <w:bookmarkStart w:id="31" w:name="_Toc47349930"/>
      <w:bookmarkStart w:id="32" w:name="_Toc195429375"/>
      <w:bookmarkStart w:id="33" w:name="_Toc47179158"/>
      <w:bookmarkStart w:id="34" w:name="_Toc195328231"/>
      <w:bookmarkStart w:id="35" w:name="_Toc79399333"/>
      <w:bookmarkStart w:id="36" w:name="_Toc195328813"/>
      <w:bookmarkStart w:id="37" w:name="_Toc46897725"/>
      <w:bookmarkStart w:id="38" w:name="_Toc186444267"/>
      <w:bookmarkStart w:id="39" w:name="_Toc326141072"/>
      <w:bookmarkStart w:id="40" w:name="_Toc47350138"/>
      <w:bookmarkStart w:id="41" w:name="_Toc195328557"/>
      <w:bookmarkStart w:id="42" w:name="_Toc41103541"/>
      <w:bookmarkStart w:id="43" w:name="_Toc47498341"/>
      <w:r>
        <w:rPr>
          <w:rFonts w:hint="eastAsia" w:asciiTheme="majorEastAsia" w:hAnsiTheme="majorEastAsia" w:eastAsiaTheme="majorEastAsia" w:cstheme="majorEastAsia"/>
          <w:sz w:val="44"/>
          <w:szCs w:val="44"/>
          <w:lang w:val="en-US" w:eastAsia="zh-CN"/>
        </w:rPr>
        <w:t>阿井矿主通风机在线监测及故障诊断系统</w:t>
      </w:r>
    </w:p>
    <w:p w14:paraId="01C16B51">
      <w:pPr>
        <w:pStyle w:val="2"/>
        <w:pageBreakBefore w:val="0"/>
        <w:kinsoku/>
        <w:wordWrap/>
        <w:overflowPunct/>
        <w:topLinePunct w:val="0"/>
        <w:bidi w:val="0"/>
        <w:adjustRightInd/>
        <w:spacing w:line="56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技术要求</w:t>
      </w:r>
    </w:p>
    <w:p w14:paraId="64FF23B8">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p>
    <w:p w14:paraId="671D2A82">
      <w:pPr>
        <w:pageBreakBefore w:val="0"/>
        <w:widowControl w:val="0"/>
        <w:kinsoku/>
        <w:wordWrap/>
        <w:overflowPunct/>
        <w:topLinePunct w:val="0"/>
        <w:bidi w:val="0"/>
        <w:adjustRightInd/>
        <w:snapToGrid w:val="0"/>
        <w:spacing w:line="560" w:lineRule="exact"/>
        <w:ind w:left="0" w:leftChars="0"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一、本技术规格书设备范围见下表，具体供货内容见各部分供货范围。</w:t>
      </w:r>
    </w:p>
    <w:tbl>
      <w:tblPr>
        <w:tblStyle w:val="8"/>
        <w:tblW w:w="95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974"/>
        <w:gridCol w:w="2125"/>
        <w:gridCol w:w="637"/>
        <w:gridCol w:w="3117"/>
      </w:tblGrid>
      <w:tr w14:paraId="59F66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center"/>
          </w:tcPr>
          <w:p w14:paraId="3F3A75CD">
            <w:pPr>
              <w:pageBreakBefore w:val="0"/>
              <w:tabs>
                <w:tab w:val="center" w:pos="4201"/>
                <w:tab w:val="right" w:leader="dot" w:pos="9298"/>
              </w:tabs>
              <w:kinsoku/>
              <w:wordWrap/>
              <w:overflowPunct/>
              <w:topLinePunct w:val="0"/>
              <w:autoSpaceDE w:val="0"/>
              <w:autoSpaceDN w:val="0"/>
              <w:bidi w:val="0"/>
              <w:adjustRightInd/>
              <w:spacing w:line="560" w:lineRule="exact"/>
              <w:ind w:firstLine="0" w:firstLineChars="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序号</w:t>
            </w:r>
          </w:p>
        </w:tc>
        <w:tc>
          <w:tcPr>
            <w:tcW w:w="2974" w:type="dxa"/>
            <w:noWrap w:val="0"/>
            <w:vAlign w:val="center"/>
          </w:tcPr>
          <w:p w14:paraId="44D70851">
            <w:pPr>
              <w:pageBreakBefore w:val="0"/>
              <w:tabs>
                <w:tab w:val="center" w:pos="4201"/>
                <w:tab w:val="right" w:leader="dot" w:pos="9298"/>
              </w:tabs>
              <w:kinsoku/>
              <w:wordWrap/>
              <w:overflowPunct/>
              <w:topLinePunct w:val="0"/>
              <w:autoSpaceDE w:val="0"/>
              <w:autoSpaceDN w:val="0"/>
              <w:bidi w:val="0"/>
              <w:adjustRightInd/>
              <w:spacing w:line="560" w:lineRule="exact"/>
              <w:ind w:firstLine="42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设备名称</w:t>
            </w:r>
          </w:p>
        </w:tc>
        <w:tc>
          <w:tcPr>
            <w:tcW w:w="2125" w:type="dxa"/>
            <w:noWrap w:val="0"/>
            <w:vAlign w:val="center"/>
          </w:tcPr>
          <w:p w14:paraId="7EA1A05E">
            <w:pPr>
              <w:pageBreakBefore w:val="0"/>
              <w:tabs>
                <w:tab w:val="center" w:pos="4201"/>
                <w:tab w:val="right" w:leader="dot" w:pos="9298"/>
              </w:tabs>
              <w:kinsoku/>
              <w:wordWrap/>
              <w:overflowPunct/>
              <w:topLinePunct w:val="0"/>
              <w:autoSpaceDE w:val="0"/>
              <w:autoSpaceDN w:val="0"/>
              <w:bidi w:val="0"/>
              <w:adjustRightInd/>
              <w:spacing w:line="560" w:lineRule="exact"/>
              <w:ind w:firstLine="42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规格型号</w:t>
            </w:r>
          </w:p>
        </w:tc>
        <w:tc>
          <w:tcPr>
            <w:tcW w:w="637" w:type="dxa"/>
            <w:noWrap w:val="0"/>
            <w:vAlign w:val="center"/>
          </w:tcPr>
          <w:p w14:paraId="470274E5">
            <w:pPr>
              <w:pageBreakBefore w:val="0"/>
              <w:tabs>
                <w:tab w:val="center" w:pos="4201"/>
                <w:tab w:val="right" w:leader="dot" w:pos="9298"/>
              </w:tabs>
              <w:kinsoku/>
              <w:wordWrap/>
              <w:overflowPunct/>
              <w:topLinePunct w:val="0"/>
              <w:autoSpaceDE w:val="0"/>
              <w:autoSpaceDN w:val="0"/>
              <w:bidi w:val="0"/>
              <w:adjustRightInd/>
              <w:spacing w:line="560" w:lineRule="exact"/>
              <w:ind w:firstLine="0" w:firstLineChars="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数量</w:t>
            </w:r>
          </w:p>
        </w:tc>
        <w:tc>
          <w:tcPr>
            <w:tcW w:w="3117" w:type="dxa"/>
            <w:noWrap w:val="0"/>
            <w:vAlign w:val="center"/>
          </w:tcPr>
          <w:p w14:paraId="05EB65A4">
            <w:pPr>
              <w:pageBreakBefore w:val="0"/>
              <w:tabs>
                <w:tab w:val="center" w:pos="4201"/>
                <w:tab w:val="right" w:leader="dot" w:pos="9298"/>
              </w:tabs>
              <w:kinsoku/>
              <w:wordWrap/>
              <w:overflowPunct/>
              <w:topLinePunct w:val="0"/>
              <w:autoSpaceDE w:val="0"/>
              <w:autoSpaceDN w:val="0"/>
              <w:bidi w:val="0"/>
              <w:adjustRightInd/>
              <w:spacing w:line="560" w:lineRule="exact"/>
              <w:ind w:firstLine="0" w:firstLineChars="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备注</w:t>
            </w:r>
          </w:p>
        </w:tc>
      </w:tr>
      <w:tr w14:paraId="2EC05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center"/>
          </w:tcPr>
          <w:p w14:paraId="35D86F5C">
            <w:pPr>
              <w:pageBreakBefore w:val="0"/>
              <w:tabs>
                <w:tab w:val="center" w:pos="4201"/>
                <w:tab w:val="right" w:leader="dot" w:pos="9298"/>
              </w:tabs>
              <w:kinsoku/>
              <w:wordWrap/>
              <w:overflowPunct/>
              <w:topLinePunct w:val="0"/>
              <w:autoSpaceDE w:val="0"/>
              <w:autoSpaceDN w:val="0"/>
              <w:bidi w:val="0"/>
              <w:adjustRightInd/>
              <w:spacing w:line="560" w:lineRule="exact"/>
              <w:ind w:firstLine="0" w:firstLineChars="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2974" w:type="dxa"/>
            <w:noWrap w:val="0"/>
            <w:vAlign w:val="center"/>
          </w:tcPr>
          <w:p w14:paraId="4EF87D2F">
            <w:pPr>
              <w:pageBreakBefore w:val="0"/>
              <w:tabs>
                <w:tab w:val="center" w:pos="4201"/>
                <w:tab w:val="right" w:leader="dot" w:pos="9298"/>
              </w:tabs>
              <w:kinsoku/>
              <w:wordWrap/>
              <w:overflowPunct/>
              <w:topLinePunct w:val="0"/>
              <w:autoSpaceDE w:val="0"/>
              <w:autoSpaceDN w:val="0"/>
              <w:bidi w:val="0"/>
              <w:adjustRightInd/>
              <w:spacing w:line="560" w:lineRule="exact"/>
              <w:ind w:left="0" w:leftChars="0" w:firstLine="0" w:firstLineChars="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在线监测及故障诊断系统</w:t>
            </w:r>
          </w:p>
        </w:tc>
        <w:tc>
          <w:tcPr>
            <w:tcW w:w="2125" w:type="dxa"/>
            <w:noWrap w:val="0"/>
            <w:vAlign w:val="center"/>
          </w:tcPr>
          <w:p w14:paraId="767C9FCC">
            <w:pPr>
              <w:pageBreakBefore w:val="0"/>
              <w:tabs>
                <w:tab w:val="center" w:pos="4201"/>
                <w:tab w:val="right" w:leader="dot" w:pos="9298"/>
              </w:tabs>
              <w:kinsoku/>
              <w:wordWrap/>
              <w:overflowPunct/>
              <w:topLinePunct w:val="0"/>
              <w:autoSpaceDE w:val="0"/>
              <w:autoSpaceDN w:val="0"/>
              <w:bidi w:val="0"/>
              <w:adjustRightInd/>
              <w:spacing w:line="560" w:lineRule="exact"/>
              <w:ind w:firstLine="0" w:firstLineChars="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与主通风机配套</w:t>
            </w:r>
          </w:p>
        </w:tc>
        <w:tc>
          <w:tcPr>
            <w:tcW w:w="637" w:type="dxa"/>
            <w:noWrap w:val="0"/>
            <w:vAlign w:val="center"/>
          </w:tcPr>
          <w:p w14:paraId="671F8A38">
            <w:pPr>
              <w:pageBreakBefore w:val="0"/>
              <w:tabs>
                <w:tab w:val="center" w:pos="4201"/>
                <w:tab w:val="right" w:leader="dot" w:pos="9298"/>
              </w:tabs>
              <w:kinsoku/>
              <w:wordWrap/>
              <w:overflowPunct/>
              <w:topLinePunct w:val="0"/>
              <w:autoSpaceDE w:val="0"/>
              <w:autoSpaceDN w:val="0"/>
              <w:bidi w:val="0"/>
              <w:adjustRightInd/>
              <w:spacing w:line="560" w:lineRule="exact"/>
              <w:ind w:firstLine="0" w:firstLineChars="0"/>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1套</w:t>
            </w:r>
          </w:p>
        </w:tc>
        <w:tc>
          <w:tcPr>
            <w:tcW w:w="3117" w:type="dxa"/>
            <w:noWrap w:val="0"/>
            <w:vAlign w:val="center"/>
          </w:tcPr>
          <w:p w14:paraId="01C2B944">
            <w:pPr>
              <w:pageBreakBefore w:val="0"/>
              <w:tabs>
                <w:tab w:val="center" w:pos="4201"/>
                <w:tab w:val="right" w:leader="dot" w:pos="9298"/>
              </w:tabs>
              <w:kinsoku/>
              <w:wordWrap/>
              <w:overflowPunct/>
              <w:topLinePunct w:val="0"/>
              <w:autoSpaceDE w:val="0"/>
              <w:autoSpaceDN w:val="0"/>
              <w:bidi w:val="0"/>
              <w:adjustRightInd/>
              <w:spacing w:line="560" w:lineRule="exact"/>
              <w:ind w:firstLine="0" w:firstLineChars="0"/>
              <w:jc w:val="center"/>
              <w:textAlignment w:val="auto"/>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具备后期与主通风机自动化系统接入功能</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tbl>
    <w:p w14:paraId="34CC966B">
      <w:pPr>
        <w:pageBreakBefore w:val="0"/>
        <w:widowControl w:val="0"/>
        <w:tabs>
          <w:tab w:val="left" w:pos="730"/>
        </w:tabs>
        <w:kinsoku/>
        <w:wordWrap/>
        <w:overflowPunct/>
        <w:topLinePunct w:val="0"/>
        <w:bidi w:val="0"/>
        <w:adjustRightInd/>
        <w:spacing w:line="560" w:lineRule="exact"/>
        <w:ind w:firstLine="0" w:firstLineChars="0"/>
        <w:textAlignment w:val="auto"/>
        <w:rPr>
          <w:rFonts w:hint="eastAsia" w:ascii="宋体" w:hAnsi="宋体" w:eastAsia="宋体" w:cs="宋体"/>
          <w:kern w:val="2"/>
          <w:sz w:val="32"/>
          <w:szCs w:val="32"/>
          <w:lang w:val="en-US" w:eastAsia="zh-CN" w:bidi="ar-SA"/>
        </w:rPr>
      </w:pPr>
      <w:bookmarkStart w:id="44" w:name="_Toc5545"/>
    </w:p>
    <w:p w14:paraId="35495358">
      <w:pPr>
        <w:pageBreakBefore w:val="0"/>
        <w:widowControl w:val="0"/>
        <w:tabs>
          <w:tab w:val="left" w:pos="730"/>
        </w:tabs>
        <w:kinsoku/>
        <w:wordWrap/>
        <w:overflowPunct/>
        <w:topLinePunct w:val="0"/>
        <w:bidi w:val="0"/>
        <w:adjustRightInd/>
        <w:spacing w:line="560" w:lineRule="exact"/>
        <w:ind w:firstLine="0" w:firstLineChars="0"/>
        <w:textAlignment w:val="auto"/>
        <w:outlineLvl w:val="0"/>
        <w:rPr>
          <w:rFonts w:hint="eastAsia" w:ascii="宋体" w:hAnsi="宋体" w:eastAsia="宋体" w:cs="宋体"/>
          <w:kern w:val="2"/>
          <w:sz w:val="32"/>
          <w:szCs w:val="32"/>
          <w:lang w:val="en-US" w:eastAsia="zh-CN" w:bidi="ar-SA"/>
        </w:rPr>
      </w:pPr>
      <w:bookmarkStart w:id="45" w:name="_Toc14772_WPSOffice_Level1"/>
      <w:r>
        <w:rPr>
          <w:rFonts w:hint="eastAsia" w:ascii="宋体" w:hAnsi="宋体" w:eastAsia="宋体" w:cs="宋体"/>
          <w:kern w:val="2"/>
          <w:sz w:val="32"/>
          <w:szCs w:val="32"/>
          <w:lang w:val="en-US" w:eastAsia="zh-CN" w:bidi="ar-SA"/>
        </w:rPr>
        <w:t>二、设备设计及制造标准</w:t>
      </w:r>
      <w:bookmarkEnd w:id="44"/>
      <w:bookmarkEnd w:id="45"/>
    </w:p>
    <w:p w14:paraId="7C1DDCFB">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设备遵循的标准及规范如下：（包括但不限于，最新版本适用于本项目）</w:t>
      </w:r>
    </w:p>
    <w:p w14:paraId="05E7E4FE">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GB/T 191-2008     包装贮运图示标志 </w:t>
      </w:r>
    </w:p>
    <w:p w14:paraId="1092E236">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AQ 1043-2007      矿用产品安全标志标识 </w:t>
      </w:r>
    </w:p>
    <w:p w14:paraId="75B9F2BF">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GB/T 3836.1-2021  爆炸性气体环境用电气设备 第一部分：通用要求 </w:t>
      </w:r>
    </w:p>
    <w:p w14:paraId="3777B3DE">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GB/T 3836.2-2021  爆炸性气体环境用电气设备 第二部分：隔爆型 d </w:t>
      </w:r>
    </w:p>
    <w:p w14:paraId="145D519F">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GB/T 3836.4-2021  爆炸性气体环境用电气设备 第四部分：本安型 i </w:t>
      </w:r>
    </w:p>
    <w:p w14:paraId="7CBD640E">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MT210-1990        煤矿通信、检测、控制用电工电子产品基本试验方法 </w:t>
      </w:r>
    </w:p>
    <w:p w14:paraId="1C89E04B">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MT209-1990        煤矿通信、检测、控制用电工电子产品通用技术要求 </w:t>
      </w:r>
    </w:p>
    <w:p w14:paraId="3AE5995E">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MT/T286-1992      煤矿通信、自动化产品型号编制方法和管理办法 </w:t>
      </w:r>
    </w:p>
    <w:p w14:paraId="3AD0F918">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MT/T1004          煤矿安全生产监控系统通用技术要求 </w:t>
      </w:r>
    </w:p>
    <w:p w14:paraId="7AF100EE">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GB8566-88         计算机软件开发规范</w:t>
      </w:r>
    </w:p>
    <w:p w14:paraId="2DBEDEC4">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智能化示范煤矿验收管理办法（试行）</w:t>
      </w:r>
    </w:p>
    <w:p w14:paraId="5A333816">
      <w:pPr>
        <w:pageBreakBefore w:val="0"/>
        <w:widowControl w:val="0"/>
        <w:kinsoku/>
        <w:wordWrap/>
        <w:overflowPunct/>
        <w:topLinePunct w:val="0"/>
        <w:bidi w:val="0"/>
        <w:adjustRightInd/>
        <w:spacing w:line="560" w:lineRule="exact"/>
        <w:ind w:firstLine="48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煤矿安全规程2022版 </w:t>
      </w:r>
    </w:p>
    <w:p w14:paraId="7D13CA55">
      <w:pPr>
        <w:pageBreakBefore w:val="0"/>
        <w:widowControl w:val="0"/>
        <w:kinsoku/>
        <w:wordWrap/>
        <w:overflowPunct/>
        <w:topLinePunct w:val="0"/>
        <w:bidi w:val="0"/>
        <w:adjustRightInd/>
        <w:snapToGrid w:val="0"/>
        <w:spacing w:before="156" w:beforeLines="50" w:line="560" w:lineRule="exact"/>
        <w:ind w:firstLine="0" w:firstLineChars="0"/>
        <w:jc w:val="both"/>
        <w:textAlignment w:val="auto"/>
        <w:outlineLvl w:val="0"/>
        <w:rPr>
          <w:rFonts w:hint="eastAsia" w:ascii="宋体" w:hAnsi="宋体" w:eastAsia="宋体" w:cs="宋体"/>
          <w:kern w:val="2"/>
          <w:sz w:val="32"/>
          <w:szCs w:val="32"/>
          <w:lang w:val="en-US" w:eastAsia="zh-CN" w:bidi="ar-SA"/>
        </w:rPr>
      </w:pPr>
      <w:bookmarkStart w:id="46" w:name="_Toc13932_WPSOffice_Level1"/>
      <w:bookmarkStart w:id="47" w:name="OLE_LINK1"/>
      <w:r>
        <w:rPr>
          <w:rFonts w:hint="eastAsia" w:ascii="宋体" w:hAnsi="宋体" w:eastAsia="宋体" w:cs="宋体"/>
          <w:kern w:val="2"/>
          <w:sz w:val="32"/>
          <w:szCs w:val="32"/>
          <w:lang w:val="en-US" w:eastAsia="zh-CN" w:bidi="ar-SA"/>
        </w:rPr>
        <w:t>三、风机在线监控系统技术要求</w:t>
      </w:r>
      <w:bookmarkEnd w:id="46"/>
    </w:p>
    <w:bookmarkEnd w:id="47"/>
    <w:p w14:paraId="58801A68">
      <w:pPr>
        <w:pageBreakBefore w:val="0"/>
        <w:widowControl w:val="0"/>
        <w:kinsoku/>
        <w:wordWrap/>
        <w:overflowPunct/>
        <w:topLinePunct w:val="0"/>
        <w:bidi w:val="0"/>
        <w:adjustRightInd/>
        <w:snapToGrid w:val="0"/>
        <w:spacing w:line="560" w:lineRule="exact"/>
        <w:ind w:firstLine="0" w:firstLineChars="0"/>
        <w:jc w:val="both"/>
        <w:textAlignment w:val="auto"/>
        <w:outlineLvl w:val="1"/>
        <w:rPr>
          <w:rFonts w:hint="eastAsia" w:ascii="宋体" w:hAnsi="宋体" w:eastAsia="宋体" w:cs="宋体"/>
          <w:kern w:val="2"/>
          <w:sz w:val="32"/>
          <w:szCs w:val="32"/>
          <w:lang w:val="en-US" w:eastAsia="zh-CN" w:bidi="ar-SA"/>
        </w:rPr>
      </w:pPr>
      <w:bookmarkStart w:id="48" w:name="_Toc22953_WPSOffice_Level2"/>
      <w:r>
        <w:rPr>
          <w:rFonts w:hint="eastAsia" w:ascii="宋体" w:hAnsi="宋体" w:eastAsia="宋体" w:cs="宋体"/>
          <w:kern w:val="2"/>
          <w:sz w:val="32"/>
          <w:szCs w:val="32"/>
          <w:lang w:val="en-US" w:eastAsia="zh-CN" w:bidi="ar-SA"/>
        </w:rPr>
        <w:t>3.1系统组成</w:t>
      </w:r>
      <w:bookmarkEnd w:id="48"/>
    </w:p>
    <w:p w14:paraId="47968B59">
      <w:pPr>
        <w:pStyle w:val="5"/>
        <w:pageBreakBefore w:val="0"/>
        <w:kinsoku/>
        <w:wordWrap/>
        <w:overflowPunct/>
        <w:topLinePunct w:val="0"/>
        <w:bidi w:val="0"/>
        <w:adjustRightInd/>
        <w:spacing w:line="560" w:lineRule="exact"/>
        <w:ind w:firstLine="48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在线监控与故障诊断系统主要由现场的传感器元件、控制柜、上位机（研华原装工控机，宽屏显示器，组态软件）组成。以PLC做为核心控制元件，通过PLC编程能力实现对风机运行的各项参数进行快速采集、逻辑控制和存储；</w:t>
      </w:r>
    </w:p>
    <w:p w14:paraId="456623A7">
      <w:pPr>
        <w:pageBreakBefore w:val="0"/>
        <w:widowControl w:val="0"/>
        <w:kinsoku/>
        <w:wordWrap/>
        <w:overflowPunct/>
        <w:topLinePunct w:val="0"/>
        <w:bidi w:val="0"/>
        <w:adjustRightInd/>
        <w:snapToGrid w:val="0"/>
        <w:spacing w:line="560" w:lineRule="exact"/>
        <w:ind w:firstLine="0" w:firstLineChars="0"/>
        <w:jc w:val="both"/>
        <w:textAlignment w:val="auto"/>
        <w:outlineLvl w:val="1"/>
        <w:rPr>
          <w:rFonts w:hint="eastAsia" w:ascii="宋体" w:hAnsi="宋体" w:eastAsia="宋体" w:cs="宋体"/>
          <w:kern w:val="2"/>
          <w:sz w:val="32"/>
          <w:szCs w:val="32"/>
          <w:lang w:val="en-US" w:eastAsia="zh-CN" w:bidi="ar-SA"/>
        </w:rPr>
      </w:pPr>
      <w:bookmarkStart w:id="49" w:name="_Toc12515_WPSOffice_Level2"/>
      <w:r>
        <w:rPr>
          <w:rFonts w:hint="eastAsia" w:ascii="宋体" w:hAnsi="宋体" w:eastAsia="宋体" w:cs="宋体"/>
          <w:kern w:val="2"/>
          <w:sz w:val="32"/>
          <w:szCs w:val="32"/>
          <w:lang w:val="en-US" w:eastAsia="zh-CN" w:bidi="ar-SA"/>
        </w:rPr>
        <w:t>3.2基本要求</w:t>
      </w:r>
      <w:bookmarkEnd w:id="49"/>
    </w:p>
    <w:p w14:paraId="776C97E6">
      <w:pPr>
        <w:pageBreakBefore w:val="0"/>
        <w:widowControl w:val="0"/>
        <w:kinsoku/>
        <w:wordWrap/>
        <w:overflowPunct/>
        <w:topLinePunct w:val="0"/>
        <w:bidi w:val="0"/>
        <w:adjustRightInd/>
        <w:snapToGrid w:val="0"/>
        <w:spacing w:line="560" w:lineRule="exact"/>
        <w:ind w:firstLine="48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1.具备在线监测能力，并能上传到调度室。</w:t>
      </w:r>
    </w:p>
    <w:p w14:paraId="0E37C103">
      <w:pPr>
        <w:pageBreakBefore w:val="0"/>
        <w:widowControl w:val="0"/>
        <w:kinsoku/>
        <w:wordWrap/>
        <w:overflowPunct/>
        <w:topLinePunct w:val="0"/>
        <w:bidi w:val="0"/>
        <w:adjustRightInd/>
        <w:snapToGrid w:val="0"/>
        <w:spacing w:line="560" w:lineRule="exact"/>
        <w:ind w:firstLine="48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2.具备并且开放后期与主通风机自动化系统接入功能。</w:t>
      </w:r>
    </w:p>
    <w:p w14:paraId="736F8036">
      <w:pPr>
        <w:pageBreakBefore w:val="0"/>
        <w:widowControl w:val="0"/>
        <w:kinsoku/>
        <w:wordWrap/>
        <w:overflowPunct/>
        <w:topLinePunct w:val="0"/>
        <w:bidi w:val="0"/>
        <w:adjustRightInd/>
        <w:snapToGrid w:val="0"/>
        <w:spacing w:line="560" w:lineRule="exact"/>
        <w:ind w:firstLine="48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3.具备并能采集到风机轴承、电动机轴承、电动机定子绕组温度检查和超温报警功能，具备振动监测及报警功能。</w:t>
      </w:r>
    </w:p>
    <w:p w14:paraId="3D44F95F">
      <w:pPr>
        <w:pageBreakBefore w:val="0"/>
        <w:widowControl w:val="0"/>
        <w:kinsoku/>
        <w:wordWrap/>
        <w:overflowPunct/>
        <w:topLinePunct w:val="0"/>
        <w:bidi w:val="0"/>
        <w:adjustRightInd/>
        <w:snapToGrid w:val="0"/>
        <w:spacing w:line="560" w:lineRule="exact"/>
        <w:ind w:firstLine="48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具备调度室显示能力，实时上传监测数据，将风机主要性能参数温度、振动、风速、静压、功率、电压。电流等随时间变化关系以曲线的形式动态显示在画面上，可以观察到上述参数随时间变化趋势图，并生成历史趋势曲线，用于观察和掌握风机的整体运行情况。</w:t>
      </w:r>
    </w:p>
    <w:p w14:paraId="2BB638ED">
      <w:pPr>
        <w:pageBreakBefore w:val="0"/>
        <w:widowControl w:val="0"/>
        <w:kinsoku/>
        <w:wordWrap/>
        <w:overflowPunct/>
        <w:topLinePunct w:val="0"/>
        <w:bidi w:val="0"/>
        <w:adjustRightInd/>
        <w:snapToGrid w:val="0"/>
        <w:spacing w:line="560" w:lineRule="exact"/>
        <w:ind w:firstLine="48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5.风压、风量、风速、绕组温度、轴承温度、风机振动、电流、电压、电机功率、频率等监测参数定时存储在硬盘中，以便用户进行数据报表的打印。</w:t>
      </w:r>
    </w:p>
    <w:p w14:paraId="06665112">
      <w:pPr>
        <w:pageBreakBefore w:val="0"/>
        <w:widowControl w:val="0"/>
        <w:kinsoku/>
        <w:wordWrap/>
        <w:overflowPunct/>
        <w:topLinePunct w:val="0"/>
        <w:bidi w:val="0"/>
        <w:adjustRightInd/>
        <w:snapToGrid w:val="0"/>
        <w:spacing w:line="560" w:lineRule="exact"/>
        <w:ind w:firstLine="48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风机运行出现异常时系统能在各相关界面给予报警提示并把各种参数及日期、时间等进行记录以便事后分析。对温度、振动、电流等重要参数建立报警机制，具有权限的用户可以修改报警设置，当发生报警时，相关界面有报警提示，并进行颜色和声音报警，记录报警相关信息，该信息可存储并打印。</w:t>
      </w:r>
    </w:p>
    <w:p w14:paraId="7970B427">
      <w:pPr>
        <w:pStyle w:val="4"/>
        <w:pageBreakBefore w:val="0"/>
        <w:kinsoku/>
        <w:wordWrap/>
        <w:overflowPunct/>
        <w:topLinePunct w:val="0"/>
        <w:bidi w:val="0"/>
        <w:adjustRightInd/>
        <w:spacing w:line="560" w:lineRule="exact"/>
        <w:ind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7.必须留有下一步综合自动化平台接入的接口并提供相应的通讯协议。</w:t>
      </w:r>
    </w:p>
    <w:p w14:paraId="2781D815">
      <w:pPr>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8.使用的各类传感器必须使用行业内品质高的传感器，系统必须先进，传感器及部分线缆如需证书的一律提供相关证书。</w:t>
      </w:r>
    </w:p>
    <w:p w14:paraId="5EF0AF27">
      <w:pPr>
        <w:pStyle w:val="4"/>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9.具备成熟的监测系统，厂家能独立完成软件开发、相关设备的制造等，同类型业绩不少于3个。</w:t>
      </w:r>
    </w:p>
    <w:p w14:paraId="36768C59">
      <w:pPr>
        <w:pageBreakBefore w:val="0"/>
        <w:widowControl w:val="0"/>
        <w:kinsoku/>
        <w:wordWrap/>
        <w:overflowPunct/>
        <w:topLinePunct w:val="0"/>
        <w:bidi w:val="0"/>
        <w:adjustRightInd/>
        <w:snapToGrid w:val="0"/>
        <w:spacing w:line="560" w:lineRule="exact"/>
        <w:ind w:left="0" w:leftChars="0"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四、到货时间</w:t>
      </w:r>
    </w:p>
    <w:p w14:paraId="349913B3">
      <w:pPr>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p>
    <w:p w14:paraId="715A4698">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p>
    <w:p w14:paraId="2C14D690">
      <w:pPr>
        <w:pStyle w:val="4"/>
        <w:pageBreakBefore w:val="0"/>
        <w:kinsoku/>
        <w:wordWrap/>
        <w:overflowPunct/>
        <w:topLinePunct w:val="0"/>
        <w:bidi w:val="0"/>
        <w:adjustRightInd/>
        <w:spacing w:line="560" w:lineRule="exact"/>
        <w:textAlignment w:val="auto"/>
        <w:rPr>
          <w:rFonts w:hint="default"/>
          <w:lang w:val="en-US" w:eastAsia="zh-CN"/>
        </w:rPr>
      </w:pPr>
    </w:p>
    <w:p w14:paraId="7BFDE603">
      <w:pPr>
        <w:rPr>
          <w:rFonts w:hint="default"/>
          <w:lang w:val="en-US" w:eastAsia="zh-CN"/>
        </w:rPr>
      </w:pPr>
    </w:p>
    <w:p w14:paraId="240D30C2">
      <w:pPr>
        <w:rPr>
          <w:rFonts w:hint="default"/>
          <w:lang w:val="en-US" w:eastAsia="zh-CN"/>
        </w:rPr>
      </w:pPr>
    </w:p>
    <w:p w14:paraId="03ECDA3E">
      <w:pPr>
        <w:rPr>
          <w:rFonts w:hint="default"/>
          <w:lang w:val="en-US" w:eastAsia="zh-CN"/>
        </w:rPr>
      </w:pPr>
    </w:p>
    <w:p w14:paraId="4C552EAC">
      <w:pPr>
        <w:rPr>
          <w:rFonts w:hint="default"/>
          <w:lang w:val="en-US" w:eastAsia="zh-CN"/>
        </w:rPr>
      </w:pPr>
    </w:p>
    <w:p w14:paraId="62AF7030">
      <w:pPr>
        <w:pStyle w:val="4"/>
        <w:pageBreakBefore w:val="0"/>
        <w:kinsoku/>
        <w:wordWrap/>
        <w:overflowPunct/>
        <w:topLinePunct w:val="0"/>
        <w:bidi w:val="0"/>
        <w:adjustRightInd/>
        <w:spacing w:line="560" w:lineRule="exact"/>
        <w:ind w:left="0" w:leftChars="0" w:firstLine="0" w:firstLineChars="0"/>
        <w:textAlignment w:val="auto"/>
        <w:rPr>
          <w:rFonts w:hint="default"/>
          <w:lang w:val="en-US" w:eastAsia="zh-CN"/>
        </w:rPr>
      </w:pPr>
    </w:p>
    <w:p w14:paraId="6B5464B7">
      <w:pPr>
        <w:pageBreakBefore w:val="0"/>
        <w:kinsoku/>
        <w:wordWrap/>
        <w:overflowPunct/>
        <w:topLinePunct w:val="0"/>
        <w:bidi w:val="0"/>
        <w:adjustRightInd/>
        <w:spacing w:line="560" w:lineRule="exact"/>
        <w:textAlignment w:val="auto"/>
        <w:rPr>
          <w:rFonts w:hint="eastAsia"/>
          <w:b/>
          <w:bCs/>
          <w:lang w:val="en-US" w:eastAsia="zh-CN"/>
        </w:rPr>
      </w:pPr>
      <w:r>
        <w:rPr>
          <w:rFonts w:hint="eastAsia"/>
          <w:b/>
          <w:bCs/>
          <w:lang w:val="en-US" w:eastAsia="zh-CN"/>
        </w:rPr>
        <w:t>附件2：</w:t>
      </w:r>
    </w:p>
    <w:p w14:paraId="03A3440F">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jc w:val="center"/>
        <w:textAlignment w:val="auto"/>
        <w:rPr>
          <w:rFonts w:hint="eastAsia" w:asciiTheme="majorEastAsia" w:hAnsiTheme="majorEastAsia" w:eastAsiaTheme="majorEastAsia" w:cstheme="majorEastAsia"/>
          <w:b/>
          <w:bCs w:val="0"/>
          <w:color w:val="000000"/>
          <w:kern w:val="0"/>
          <w:sz w:val="44"/>
          <w:szCs w:val="44"/>
          <w:lang w:val="en-US" w:eastAsia="zh-CN"/>
        </w:rPr>
      </w:pPr>
      <w:r>
        <w:rPr>
          <w:rFonts w:hint="eastAsia" w:asciiTheme="majorEastAsia" w:hAnsiTheme="majorEastAsia" w:eastAsiaTheme="majorEastAsia" w:cstheme="majorEastAsia"/>
          <w:b/>
          <w:bCs w:val="0"/>
          <w:color w:val="000000"/>
          <w:kern w:val="0"/>
          <w:sz w:val="44"/>
          <w:szCs w:val="44"/>
          <w:lang w:val="en-US" w:eastAsia="zh-CN"/>
        </w:rPr>
        <w:t>煤仓安全管控系统技术规格书</w:t>
      </w:r>
    </w:p>
    <w:p w14:paraId="4AC648C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一、设备名称：煤仓安全管控系统</w:t>
      </w:r>
    </w:p>
    <w:p w14:paraId="5391E87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二、购置数量：1套</w:t>
      </w:r>
    </w:p>
    <w:p w14:paraId="357A5DA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三、使用单位：甘肃兰阿煤业有限公司阿井矿</w:t>
      </w:r>
    </w:p>
    <w:p w14:paraId="54012F6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四、设备适用环境</w:t>
      </w:r>
    </w:p>
    <w:p w14:paraId="6863D45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1.环境温度：0℃～34℃；</w:t>
      </w:r>
    </w:p>
    <w:p w14:paraId="361CD06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2.相对湿度：≤94%(+24℃)；</w:t>
      </w:r>
    </w:p>
    <w:p w14:paraId="02218BA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3.大气压力：80～106kPa；</w:t>
      </w:r>
    </w:p>
    <w:p w14:paraId="01E4D91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4.有甲烷、煤尘爆炸危险，但无显著振动和冲击，无破坏绝缘的腐蚀性气体。</w:t>
      </w:r>
    </w:p>
    <w:p w14:paraId="2A1EE47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五、执行标准及依据</w:t>
      </w:r>
    </w:p>
    <w:p w14:paraId="12DC207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en-US" w:eastAsia="zh-CN" w:bidi="ar-SA"/>
        </w:rPr>
        <w:t>所有设备、工具、配件的设计、制造、试验和材料原则上满足中国国家标准（GB系列）及其它行业标准的要求。对于进口</w:t>
      </w:r>
      <w:r>
        <w:rPr>
          <w:rFonts w:hint="eastAsia" w:ascii="宋体" w:hAnsi="宋体" w:eastAsia="宋体" w:cs="宋体"/>
          <w:kern w:val="2"/>
          <w:sz w:val="32"/>
          <w:szCs w:val="32"/>
          <w:lang w:val="zh-CN" w:eastAsia="zh-CN" w:bidi="ar-SA"/>
        </w:rPr>
        <w:t>设备，经招标方确认，可采用所在国标准。国家法律法规保证执行。设计、制造及验收符合下列（包括但不限于）最新版本的要求。</w:t>
      </w:r>
    </w:p>
    <w:p w14:paraId="2E8DC59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en-US" w:eastAsia="zh-CN" w:bidi="ar-SA"/>
        </w:rPr>
        <w:t>1.</w:t>
      </w:r>
      <w:r>
        <w:rPr>
          <w:rFonts w:hint="eastAsia" w:ascii="宋体" w:hAnsi="宋体" w:eastAsia="宋体" w:cs="宋体"/>
          <w:kern w:val="2"/>
          <w:sz w:val="32"/>
          <w:szCs w:val="32"/>
          <w:lang w:val="zh-CN" w:eastAsia="zh-CN" w:bidi="ar-SA"/>
        </w:rPr>
        <w:t>《煤矿安全规程》（2022版）</w:t>
      </w:r>
    </w:p>
    <w:p w14:paraId="45E5CBF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en-US" w:eastAsia="zh-CN" w:bidi="ar-SA"/>
        </w:rPr>
        <w:t>2.</w:t>
      </w:r>
      <w:r>
        <w:rPr>
          <w:rFonts w:hint="eastAsia" w:ascii="宋体" w:hAnsi="宋体" w:eastAsia="宋体" w:cs="宋体"/>
          <w:kern w:val="2"/>
          <w:sz w:val="32"/>
          <w:szCs w:val="32"/>
          <w:lang w:val="zh-CN" w:eastAsia="zh-CN" w:bidi="ar-SA"/>
        </w:rPr>
        <w:t>《煤炭工业矿井设计规范》（GB 50215-2015）</w:t>
      </w:r>
    </w:p>
    <w:p w14:paraId="6382990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en-US" w:eastAsia="zh-CN" w:bidi="ar-SA"/>
        </w:rPr>
        <w:t>3.</w:t>
      </w:r>
      <w:r>
        <w:rPr>
          <w:rFonts w:hint="eastAsia" w:ascii="宋体" w:hAnsi="宋体" w:eastAsia="宋体" w:cs="宋体"/>
          <w:kern w:val="2"/>
          <w:sz w:val="32"/>
          <w:szCs w:val="32"/>
          <w:lang w:val="zh-CN" w:eastAsia="zh-CN" w:bidi="ar-SA"/>
        </w:rPr>
        <w:t>《煤矿信号设备通用技术条件》MT287-92</w:t>
      </w:r>
    </w:p>
    <w:p w14:paraId="7A4B6D8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en-US" w:eastAsia="zh-CN" w:bidi="ar-SA"/>
        </w:rPr>
        <w:t>4.《</w:t>
      </w:r>
      <w:r>
        <w:rPr>
          <w:rFonts w:hint="eastAsia" w:ascii="宋体" w:hAnsi="宋体" w:eastAsia="宋体" w:cs="宋体"/>
          <w:kern w:val="2"/>
          <w:sz w:val="32"/>
          <w:szCs w:val="32"/>
          <w:lang w:val="zh-CN" w:eastAsia="zh-CN" w:bidi="ar-SA"/>
        </w:rPr>
        <w:t>煤矿安全生产监控系统通用技术条件</w:t>
      </w:r>
      <w:r>
        <w:rPr>
          <w:rFonts w:hint="eastAsia" w:ascii="宋体" w:hAnsi="宋体" w:eastAsia="宋体" w:cs="宋体"/>
          <w:kern w:val="2"/>
          <w:sz w:val="32"/>
          <w:szCs w:val="32"/>
          <w:lang w:val="en-US" w:eastAsia="zh-CN" w:bidi="ar-SA"/>
        </w:rPr>
        <w:t>》</w:t>
      </w:r>
      <w:r>
        <w:rPr>
          <w:rFonts w:hint="eastAsia" w:ascii="宋体" w:hAnsi="宋体" w:eastAsia="宋体" w:cs="宋体"/>
          <w:kern w:val="2"/>
          <w:sz w:val="32"/>
          <w:szCs w:val="32"/>
          <w:lang w:val="zh-CN" w:eastAsia="zh-CN" w:bidi="ar-SA"/>
        </w:rPr>
        <w:t>MT1004-2006</w:t>
      </w:r>
    </w:p>
    <w:p w14:paraId="3239D63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5.《煤矿用信息传输装置》MT/T 899-2000</w:t>
      </w:r>
    </w:p>
    <w:p w14:paraId="1916D7F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6.《煤矿井下用电器设备通用技术条件》MT/T 661-2011</w:t>
      </w:r>
    </w:p>
    <w:p w14:paraId="7C324B9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7.《煤矿通信、检测、控制用电工电子产品通用技术要求》MT 209-1990</w:t>
      </w:r>
    </w:p>
    <w:p w14:paraId="7982D0A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8.《煤矿通信、检测、控制用电工电子产品基本试验方法》MT 210-1990</w:t>
      </w:r>
    </w:p>
    <w:p w14:paraId="4029854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六、建设方案</w:t>
      </w:r>
    </w:p>
    <w:p w14:paraId="2795CB4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（一）建设目标</w:t>
      </w:r>
    </w:p>
    <w:p w14:paraId="0474D5D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根据《国家矿山安全监察局关于进一步加强煤矿煤仓安全管理的通知》（矿安〔2024〕10号）：煤仓周围应当安装视频、人员接近预警、红外热成像、CO传感器、CH₄传感器、煤位计等监测仪器设备，对积煤异常等情况及时报警。现对矿井煤仓进行监测监控系统建设，煤仓综合管控系统由煤仓安全管控软件、AI视频识别系统、传输网络（利用矿井已有工业环网）、井下煤仓现场监控制等部分组成。井上设备主要包含客户端主机及监控软件等；井下设备主要包含矿用本安型控制箱、雷达料位计、高速AI摄像仪、普通AI摄像仪、矿用本安热成像仪等。</w:t>
      </w:r>
    </w:p>
    <w:p w14:paraId="7153074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1.实现对煤仓运行状态的监测与监控，通过对煤仓环境、煤位等关键运行参数的实时监测、预警和自动控制等手段，及时发现和解决煤仓堆煤等影响煤仓安全运行的问题，确保煤仓系统的稳定可靠运行。</w:t>
      </w:r>
    </w:p>
    <w:p w14:paraId="3192105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在煤仓的周围形成由电子围栏的安全防护区域，根据闯入防护区域距离分别进行预警和告警，能够自定义设置各定位器预警区和告警区范围，通过对预警值、预警解除值和告警值、告警解除值的设置满足井下不同场景和单个设备不同方位防人员接近保护的使用，防护区域更加精确。</w:t>
      </w:r>
    </w:p>
    <w:p w14:paraId="5838C57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3.通过视频AI的方式从源头上对煤流中的大块煤矸、异物进行识别与处理，降低因源头煤流异常导致的堆煤等安全问题的发生。</w:t>
      </w:r>
    </w:p>
    <w:p w14:paraId="1A8B6E1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50" w:name="_Toc28615"/>
      <w:r>
        <w:rPr>
          <w:rFonts w:hint="eastAsia" w:ascii="宋体" w:hAnsi="宋体" w:eastAsia="宋体" w:cs="宋体"/>
          <w:kern w:val="2"/>
          <w:sz w:val="32"/>
          <w:szCs w:val="32"/>
          <w:lang w:val="en-US" w:eastAsia="zh-CN" w:bidi="ar-SA"/>
        </w:rPr>
        <w:t>4.兼容矿方现有的人员精确定位系统，可实现在煤仓周围人员以及闯入人员报警的身份信息，姓名、职务等信息，显示在煤仓软件中，可设置白名单，提升管理和运维效率。</w:t>
      </w:r>
    </w:p>
    <w:p w14:paraId="4CC12B51">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（二）建设内容</w:t>
      </w:r>
    </w:p>
    <w:p w14:paraId="2EDAB8D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地面集控室配置一台高性能研华工控机，安装煤仓安全管控软件、AI智能视频展示软件，对煤仓甲烷、一氧化碳、煤仓煤位等运行工况进行监测。检测来料皮带大块煤矸、异物识别与预警等功能。利用矿方已有可以接入到原有硬盘录像机，实现煤仓相关智能视频的数据存储。</w:t>
      </w:r>
    </w:p>
    <w:p w14:paraId="297DE1F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1.环境监测部分：井下2处煤仓附近部署各1台矿用一氧化碳传感器、1台矿用甲烷传感器、1台物位传感器。实现对煤仓周边的环境监测和告警提示功能。</w:t>
      </w:r>
    </w:p>
    <w:p w14:paraId="2CB2EF7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人员接近防护部分：井下2处煤仓附近各部署1台矿用本安型读卡器，利用人员精确定位及摄像仪电子围栏，实现对煤仓周边的虚拟防护电子围栏的建立，同时配置1台声光告警器实现对人员接近危险区的本地声光告警提醒功能。</w:t>
      </w:r>
    </w:p>
    <w:p w14:paraId="3C78231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3.煤仓高精度成像部分：井下2处煤仓合适位置各部署1台矿用热成像仪，实现对煤仓更全面的越界防护。</w:t>
      </w:r>
    </w:p>
    <w:p w14:paraId="381F05A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七、系统主要设备功能</w:t>
      </w:r>
    </w:p>
    <w:p w14:paraId="4713364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（一）系统架构及功能</w:t>
      </w:r>
      <w:bookmarkEnd w:id="50"/>
    </w:p>
    <w:p w14:paraId="26708DF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51" w:name="_Toc5351"/>
      <w:r>
        <w:rPr>
          <w:rFonts w:hint="eastAsia" w:ascii="宋体" w:hAnsi="宋体" w:eastAsia="宋体" w:cs="宋体"/>
          <w:kern w:val="2"/>
          <w:sz w:val="32"/>
          <w:szCs w:val="32"/>
          <w:lang w:val="en-US" w:eastAsia="zh-CN" w:bidi="ar-SA"/>
        </w:rPr>
        <w:t>1. 煤仓煤位监测</w:t>
      </w:r>
      <w:bookmarkEnd w:id="51"/>
    </w:p>
    <w:p w14:paraId="5E27495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设置雷达物位传感器，实现煤仓煤位监测功能。</w:t>
      </w:r>
    </w:p>
    <w:p w14:paraId="2308F97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52" w:name="_Toc15057"/>
      <w:r>
        <w:rPr>
          <w:rFonts w:hint="eastAsia" w:ascii="宋体" w:hAnsi="宋体" w:eastAsia="宋体" w:cs="宋体"/>
          <w:kern w:val="2"/>
          <w:sz w:val="32"/>
          <w:szCs w:val="32"/>
          <w:lang w:val="en-US" w:eastAsia="zh-CN" w:bidi="ar-SA"/>
        </w:rPr>
        <w:t>2. 煤仓危险气体参数监测功能</w:t>
      </w:r>
      <w:bookmarkEnd w:id="52"/>
    </w:p>
    <w:p w14:paraId="4EF88FA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配置CO传感器、CH4传感器，实现煤仓一氧化碳、甲烷监测功能。</w:t>
      </w:r>
    </w:p>
    <w:p w14:paraId="1EA1A7D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53" w:name="_Toc9933"/>
      <w:r>
        <w:rPr>
          <w:rFonts w:hint="eastAsia" w:ascii="宋体" w:hAnsi="宋体" w:eastAsia="宋体" w:cs="宋体"/>
          <w:kern w:val="2"/>
          <w:sz w:val="32"/>
          <w:szCs w:val="32"/>
          <w:lang w:val="en-US" w:eastAsia="zh-CN" w:bidi="ar-SA"/>
        </w:rPr>
        <w:t>3. 煤流异物、水煤监测功能</w:t>
      </w:r>
      <w:bookmarkEnd w:id="53"/>
    </w:p>
    <w:p w14:paraId="26CCC25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对上游皮带来煤和煤仓放煤口的异物、大块、水煤等异常工况进行监测，当监测到放煤口煤量过大、过小时进行预警。</w:t>
      </w:r>
    </w:p>
    <w:p w14:paraId="390631B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54" w:name="_Toc24735"/>
      <w:r>
        <w:rPr>
          <w:rFonts w:hint="eastAsia" w:ascii="宋体" w:hAnsi="宋体" w:eastAsia="宋体" w:cs="宋体"/>
          <w:kern w:val="2"/>
          <w:sz w:val="32"/>
          <w:szCs w:val="32"/>
          <w:lang w:val="en-US" w:eastAsia="zh-CN" w:bidi="ar-SA"/>
        </w:rPr>
        <w:t>4. 危险区域人员监测预警功能</w:t>
      </w:r>
      <w:bookmarkEnd w:id="54"/>
    </w:p>
    <w:p w14:paraId="39571F85">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bookmarkStart w:id="55" w:name="_Toc13578"/>
      <w:r>
        <w:rPr>
          <w:rFonts w:hint="eastAsia" w:ascii="宋体" w:hAnsi="宋体" w:eastAsia="宋体" w:cs="宋体"/>
          <w:kern w:val="2"/>
          <w:sz w:val="32"/>
          <w:szCs w:val="32"/>
          <w:lang w:val="en-US" w:eastAsia="zh-CN" w:bidi="ar-SA"/>
        </w:rPr>
        <w:t>基于现有人员定位系统，布设UWB本安型读卡器，实现区域人员预警功能。</w:t>
      </w:r>
    </w:p>
    <w:bookmarkEnd w:id="55"/>
    <w:p w14:paraId="762148F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56" w:name="_Toc2662"/>
      <w:bookmarkStart w:id="57" w:name="_Toc150"/>
      <w:bookmarkStart w:id="58" w:name="_Toc4771"/>
      <w:r>
        <w:rPr>
          <w:rFonts w:hint="eastAsia" w:ascii="宋体" w:hAnsi="宋体" w:eastAsia="宋体" w:cs="宋体"/>
          <w:kern w:val="2"/>
          <w:sz w:val="32"/>
          <w:szCs w:val="32"/>
          <w:lang w:val="en-US" w:eastAsia="zh-CN" w:bidi="ar-SA"/>
        </w:rPr>
        <w:t>5.图文显示功能</w:t>
      </w:r>
      <w:bookmarkEnd w:id="56"/>
      <w:bookmarkEnd w:id="57"/>
      <w:bookmarkEnd w:id="58"/>
    </w:p>
    <w:p w14:paraId="46C69E9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系统具有模拟动画显示功能，可显示井下胶带机、给煤机模拟图、相应设备开停状态、相应模拟量数值等。</w:t>
      </w:r>
    </w:p>
    <w:p w14:paraId="5E896BA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系统具有模拟量、开关量显示功能。模拟量显示内容包括：监测值、单位、报警及解除报警状态时刻等信息，开关量显示内容包括：状态、报警及解除报警状态时刻等信息。</w:t>
      </w:r>
    </w:p>
    <w:p w14:paraId="36C4DDD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59" w:name="_Toc6202"/>
      <w:r>
        <w:rPr>
          <w:rFonts w:hint="eastAsia" w:ascii="宋体" w:hAnsi="宋体" w:eastAsia="宋体" w:cs="宋体"/>
          <w:kern w:val="2"/>
          <w:sz w:val="32"/>
          <w:szCs w:val="32"/>
          <w:lang w:val="en-US" w:eastAsia="zh-CN" w:bidi="ar-SA"/>
        </w:rPr>
        <w:t>6. 存储和查询功能</w:t>
      </w:r>
      <w:bookmarkEnd w:id="59"/>
    </w:p>
    <w:p w14:paraId="6103F6B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用户可通过记录查询界面查看报警记录列表、播放证据图像/视频。</w:t>
      </w:r>
    </w:p>
    <w:p w14:paraId="7622067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八、系统主要设备参数</w:t>
      </w:r>
    </w:p>
    <w:p w14:paraId="6472E07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60" w:name="_Toc16252"/>
      <w:bookmarkStart w:id="61" w:name="_Toc5493"/>
      <w:bookmarkStart w:id="62" w:name="_Toc14962"/>
      <w:bookmarkStart w:id="63" w:name="_Toc8472"/>
      <w:bookmarkStart w:id="64" w:name="_Toc31241"/>
      <w:bookmarkStart w:id="65" w:name="_Toc19969"/>
      <w:bookmarkStart w:id="66" w:name="_Toc22044"/>
      <w:bookmarkStart w:id="67" w:name="_Toc3091"/>
      <w:bookmarkStart w:id="68" w:name="_Hlk46673177"/>
      <w:bookmarkStart w:id="69" w:name="_Toc11375"/>
      <w:bookmarkStart w:id="70" w:name="_Toc21525"/>
      <w:bookmarkStart w:id="71" w:name="_Toc31814"/>
      <w:bookmarkStart w:id="72" w:name="_Toc23923"/>
      <w:bookmarkStart w:id="73" w:name="_Toc7312"/>
      <w:bookmarkStart w:id="74" w:name="_Toc9029"/>
      <w:r>
        <w:rPr>
          <w:rFonts w:hint="eastAsia" w:ascii="宋体" w:hAnsi="宋体" w:eastAsia="宋体" w:cs="宋体"/>
          <w:kern w:val="2"/>
          <w:sz w:val="32"/>
          <w:szCs w:val="32"/>
          <w:lang w:val="en-US" w:eastAsia="zh-CN" w:bidi="ar-SA"/>
        </w:rPr>
        <w:t>1. 矿用本安型可编程控制器</w:t>
      </w:r>
      <w:bookmarkEnd w:id="60"/>
      <w:bookmarkEnd w:id="61"/>
      <w:bookmarkEnd w:id="62"/>
      <w:bookmarkEnd w:id="63"/>
      <w:bookmarkEnd w:id="64"/>
      <w:bookmarkEnd w:id="65"/>
      <w:bookmarkEnd w:id="66"/>
      <w:bookmarkEnd w:id="67"/>
      <w:bookmarkEnd w:id="68"/>
      <w:r>
        <w:rPr>
          <w:rFonts w:hint="eastAsia" w:ascii="宋体" w:hAnsi="宋体" w:eastAsia="宋体" w:cs="宋体"/>
          <w:kern w:val="2"/>
          <w:sz w:val="32"/>
          <w:szCs w:val="32"/>
          <w:lang w:val="en-US" w:eastAsia="zh-CN" w:bidi="ar-SA"/>
        </w:rPr>
        <w:t xml:space="preserve"> </w:t>
      </w:r>
    </w:p>
    <w:p w14:paraId="23EB5BE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矿用本安型可编程控制器,适用于煤矿井下有瓦斯及煤尘爆炸危险的场所。本安控制器具有逻辑控制处理、人机交互及报警功能，也具有通过TCP/IP通讯接口传输数据功能。</w:t>
      </w:r>
    </w:p>
    <w:p w14:paraId="6CD3050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16 路开关量信号输入（与频率量复用接口）；</w:t>
      </w:r>
    </w:p>
    <w:p w14:paraId="672CD32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（2）16 路开关量信号输出</w:t>
      </w:r>
    </w:p>
    <w:p w14:paraId="3B9A5AF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（3）3 路CAN传输口</w:t>
      </w:r>
    </w:p>
    <w:p w14:paraId="0AE38C7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（4）5 路RS485 传输口</w:t>
      </w:r>
    </w:p>
    <w:p w14:paraId="5D56692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（5）1 路以太网电信号接口</w:t>
      </w:r>
    </w:p>
    <w:p w14:paraId="5F16B3B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（6）2 路以太网光信号接口；</w:t>
      </w:r>
    </w:p>
    <w:p w14:paraId="360BFED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（7）1路扩音电话接口（ 测试模式）</w:t>
      </w:r>
    </w:p>
    <w:p w14:paraId="419AE50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（8）显示：9.7 寸 TFT LCD 彩色液晶显示屏</w:t>
      </w:r>
    </w:p>
    <w:p w14:paraId="7DC50F1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75" w:name="_Toc624"/>
      <w:bookmarkStart w:id="76" w:name="_Toc27861"/>
      <w:bookmarkStart w:id="77" w:name="_Toc16720"/>
      <w:bookmarkStart w:id="78" w:name="_Toc18204"/>
      <w:bookmarkStart w:id="79" w:name="_Toc6814"/>
      <w:bookmarkStart w:id="80" w:name="_Toc29895"/>
      <w:bookmarkStart w:id="81" w:name="_Hlk46673391"/>
      <w:bookmarkStart w:id="82" w:name="_Toc11285"/>
      <w:bookmarkStart w:id="83" w:name="_Toc28146"/>
      <w:r>
        <w:rPr>
          <w:rFonts w:hint="eastAsia" w:ascii="宋体" w:hAnsi="宋体" w:eastAsia="宋体" w:cs="宋体"/>
          <w:kern w:val="2"/>
          <w:sz w:val="32"/>
          <w:szCs w:val="32"/>
          <w:lang w:val="en-US" w:eastAsia="zh-CN" w:bidi="ar-SA"/>
        </w:rPr>
        <w:t xml:space="preserve">2.  </w:t>
      </w:r>
      <w:bookmarkStart w:id="84" w:name="_Hlk46672639"/>
      <w:r>
        <w:rPr>
          <w:rFonts w:hint="eastAsia" w:ascii="宋体" w:hAnsi="宋体" w:eastAsia="宋体" w:cs="宋体"/>
          <w:kern w:val="2"/>
          <w:sz w:val="32"/>
          <w:szCs w:val="32"/>
          <w:lang w:val="en-US" w:eastAsia="zh-CN" w:bidi="ar-SA"/>
        </w:rPr>
        <w:t>矿用隔爆兼本安型多路电源</w:t>
      </w:r>
      <w:bookmarkEnd w:id="75"/>
      <w:bookmarkEnd w:id="76"/>
      <w:bookmarkEnd w:id="77"/>
      <w:bookmarkEnd w:id="78"/>
      <w:bookmarkEnd w:id="79"/>
      <w:bookmarkEnd w:id="80"/>
      <w:bookmarkEnd w:id="81"/>
      <w:bookmarkEnd w:id="82"/>
      <w:bookmarkEnd w:id="83"/>
      <w:bookmarkEnd w:id="84"/>
    </w:p>
    <w:p w14:paraId="2CBABBD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p w14:paraId="15C61AE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（1）输入：额定供电电压：AC660V。电源电压波动范围AC95V～AC726V；</w:t>
      </w:r>
    </w:p>
    <w:p w14:paraId="2086765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（2）输出:电源输出：具有6路独立输出18V直流电源输出，具体参数如表1所示。</w:t>
      </w:r>
    </w:p>
    <w:p w14:paraId="490EF35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表1</w:t>
      </w:r>
    </w:p>
    <w:tbl>
      <w:tblPr>
        <w:tblStyle w:val="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016"/>
        <w:gridCol w:w="1016"/>
        <w:gridCol w:w="1016"/>
        <w:gridCol w:w="856"/>
        <w:gridCol w:w="1016"/>
        <w:gridCol w:w="1016"/>
        <w:gridCol w:w="1176"/>
        <w:gridCol w:w="536"/>
        <w:gridCol w:w="536"/>
        <w:gridCol w:w="536"/>
      </w:tblGrid>
      <w:tr w14:paraId="5B6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noWrap w:val="0"/>
            <w:vAlign w:val="center"/>
          </w:tcPr>
          <w:p w14:paraId="4D9B0F3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路数</w:t>
            </w:r>
          </w:p>
        </w:tc>
        <w:tc>
          <w:tcPr>
            <w:tcW w:w="777" w:type="dxa"/>
            <w:noWrap w:val="0"/>
            <w:vAlign w:val="center"/>
          </w:tcPr>
          <w:p w14:paraId="0D397DC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额定输出电压（V）</w:t>
            </w:r>
          </w:p>
        </w:tc>
        <w:tc>
          <w:tcPr>
            <w:tcW w:w="777" w:type="dxa"/>
            <w:noWrap w:val="0"/>
            <w:vAlign w:val="center"/>
          </w:tcPr>
          <w:p w14:paraId="1B1AA97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额定输出电流（A）</w:t>
            </w:r>
          </w:p>
        </w:tc>
        <w:tc>
          <w:tcPr>
            <w:tcW w:w="883" w:type="dxa"/>
            <w:noWrap w:val="0"/>
            <w:vAlign w:val="center"/>
          </w:tcPr>
          <w:p w14:paraId="5623E9D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开路电压（V）</w:t>
            </w:r>
          </w:p>
        </w:tc>
        <w:tc>
          <w:tcPr>
            <w:tcW w:w="883" w:type="dxa"/>
            <w:noWrap w:val="0"/>
            <w:vAlign w:val="center"/>
          </w:tcPr>
          <w:p w14:paraId="29E4A74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短路电流（A)</w:t>
            </w:r>
          </w:p>
        </w:tc>
        <w:tc>
          <w:tcPr>
            <w:tcW w:w="883" w:type="dxa"/>
            <w:noWrap w:val="0"/>
            <w:vAlign w:val="center"/>
          </w:tcPr>
          <w:p w14:paraId="07C0013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过流保护值（A）</w:t>
            </w:r>
          </w:p>
        </w:tc>
        <w:tc>
          <w:tcPr>
            <w:tcW w:w="884" w:type="dxa"/>
            <w:noWrap w:val="0"/>
            <w:vAlign w:val="center"/>
          </w:tcPr>
          <w:p w14:paraId="7CA95F4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过压保护值（V）</w:t>
            </w:r>
          </w:p>
        </w:tc>
        <w:tc>
          <w:tcPr>
            <w:tcW w:w="992" w:type="dxa"/>
            <w:noWrap w:val="0"/>
            <w:vAlign w:val="center"/>
          </w:tcPr>
          <w:p w14:paraId="559616B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周期与随机偏移峰-峰值（mV）</w:t>
            </w:r>
          </w:p>
        </w:tc>
        <w:tc>
          <w:tcPr>
            <w:tcW w:w="709" w:type="dxa"/>
            <w:noWrap w:val="0"/>
            <w:vAlign w:val="center"/>
          </w:tcPr>
          <w:p w14:paraId="31E2512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源效应</w:t>
            </w:r>
          </w:p>
        </w:tc>
        <w:tc>
          <w:tcPr>
            <w:tcW w:w="709" w:type="dxa"/>
            <w:noWrap w:val="0"/>
            <w:vAlign w:val="center"/>
          </w:tcPr>
          <w:p w14:paraId="7DF24EA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85" w:name="_Toc291439472"/>
            <w:r>
              <w:rPr>
                <w:rFonts w:hint="eastAsia" w:ascii="宋体" w:hAnsi="宋体" w:eastAsia="宋体" w:cs="宋体"/>
                <w:kern w:val="2"/>
                <w:sz w:val="32"/>
                <w:szCs w:val="32"/>
                <w:lang w:val="en-US" w:eastAsia="zh-CN" w:bidi="ar-SA"/>
              </w:rPr>
              <w:t>负载</w:t>
            </w:r>
          </w:p>
          <w:p w14:paraId="0DAE765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效应</w:t>
            </w:r>
            <w:bookmarkEnd w:id="85"/>
          </w:p>
        </w:tc>
        <w:tc>
          <w:tcPr>
            <w:tcW w:w="850" w:type="dxa"/>
            <w:noWrap w:val="0"/>
            <w:vAlign w:val="center"/>
          </w:tcPr>
          <w:p w14:paraId="6D2B6EB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输出电压</w:t>
            </w:r>
          </w:p>
          <w:p w14:paraId="71A1040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偏离值</w:t>
            </w:r>
          </w:p>
        </w:tc>
      </w:tr>
      <w:tr w14:paraId="21D4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noWrap w:val="0"/>
            <w:vAlign w:val="center"/>
          </w:tcPr>
          <w:p w14:paraId="3E7349B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6路</w:t>
            </w:r>
          </w:p>
        </w:tc>
        <w:tc>
          <w:tcPr>
            <w:tcW w:w="777" w:type="dxa"/>
            <w:noWrap w:val="0"/>
            <w:vAlign w:val="center"/>
          </w:tcPr>
          <w:p w14:paraId="6B9E31D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18.0</w:t>
            </w:r>
          </w:p>
        </w:tc>
        <w:tc>
          <w:tcPr>
            <w:tcW w:w="777" w:type="dxa"/>
            <w:noWrap w:val="0"/>
            <w:vAlign w:val="center"/>
          </w:tcPr>
          <w:p w14:paraId="666E115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0.45</w:t>
            </w:r>
          </w:p>
        </w:tc>
        <w:tc>
          <w:tcPr>
            <w:tcW w:w="883" w:type="dxa"/>
            <w:noWrap w:val="0"/>
            <w:vAlign w:val="center"/>
          </w:tcPr>
          <w:p w14:paraId="7B2915C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≤18.5</w:t>
            </w:r>
          </w:p>
        </w:tc>
        <w:tc>
          <w:tcPr>
            <w:tcW w:w="883" w:type="dxa"/>
            <w:noWrap w:val="0"/>
            <w:vAlign w:val="center"/>
          </w:tcPr>
          <w:p w14:paraId="4694655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≤1.2</w:t>
            </w:r>
          </w:p>
        </w:tc>
        <w:tc>
          <w:tcPr>
            <w:tcW w:w="883" w:type="dxa"/>
            <w:noWrap w:val="0"/>
            <w:vAlign w:val="center"/>
          </w:tcPr>
          <w:p w14:paraId="2654277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≤1.2</w:t>
            </w:r>
          </w:p>
        </w:tc>
        <w:tc>
          <w:tcPr>
            <w:tcW w:w="884" w:type="dxa"/>
            <w:noWrap w:val="0"/>
            <w:vAlign w:val="center"/>
          </w:tcPr>
          <w:p w14:paraId="2264FFB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≤18.5</w:t>
            </w:r>
          </w:p>
        </w:tc>
        <w:tc>
          <w:tcPr>
            <w:tcW w:w="992" w:type="dxa"/>
            <w:noWrap w:val="0"/>
            <w:vAlign w:val="center"/>
          </w:tcPr>
          <w:p w14:paraId="0D91B01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≤250</w:t>
            </w:r>
          </w:p>
        </w:tc>
        <w:tc>
          <w:tcPr>
            <w:tcW w:w="709" w:type="dxa"/>
            <w:noWrap w:val="0"/>
            <w:vAlign w:val="center"/>
          </w:tcPr>
          <w:p w14:paraId="6654D51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w:t>
            </w:r>
          </w:p>
        </w:tc>
        <w:tc>
          <w:tcPr>
            <w:tcW w:w="709" w:type="dxa"/>
            <w:noWrap w:val="0"/>
            <w:vAlign w:val="center"/>
          </w:tcPr>
          <w:p w14:paraId="34C87E2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w:t>
            </w:r>
          </w:p>
        </w:tc>
        <w:tc>
          <w:tcPr>
            <w:tcW w:w="850" w:type="dxa"/>
            <w:noWrap w:val="0"/>
            <w:vAlign w:val="center"/>
          </w:tcPr>
          <w:p w14:paraId="5F075BA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w:t>
            </w:r>
          </w:p>
        </w:tc>
      </w:tr>
    </w:tbl>
    <w:p w14:paraId="70113E1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86" w:name="_Toc5189"/>
      <w:r>
        <w:rPr>
          <w:rFonts w:hint="eastAsia" w:ascii="宋体" w:hAnsi="宋体" w:eastAsia="宋体" w:cs="宋体"/>
          <w:kern w:val="2"/>
          <w:sz w:val="32"/>
          <w:szCs w:val="32"/>
          <w:lang w:val="en-US" w:eastAsia="zh-CN" w:bidi="ar-SA"/>
        </w:rPr>
        <w:t>物位传感器</w:t>
      </w:r>
      <w:bookmarkEnd w:id="69"/>
      <w:bookmarkEnd w:id="70"/>
      <w:bookmarkEnd w:id="71"/>
      <w:bookmarkEnd w:id="72"/>
      <w:bookmarkEnd w:id="73"/>
      <w:bookmarkEnd w:id="74"/>
      <w:bookmarkEnd w:id="86"/>
    </w:p>
    <w:p w14:paraId="18CC167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GUL60物位传感器是矿用本质安全型产品，采用雷达测距原理，适用于煤矿井下测量煤仓的物料高度。</w:t>
      </w:r>
    </w:p>
    <w:p w14:paraId="303D54E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主要技术指标：</w:t>
      </w:r>
    </w:p>
    <w:p w14:paraId="1EBF7BF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（1）供电电源：DC12~19V/80mA，,额定工作DC18V；</w:t>
      </w:r>
    </w:p>
    <w:p w14:paraId="1607A57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（2）测量范围：2~60m（≤2%）；</w:t>
      </w:r>
    </w:p>
    <w:p w14:paraId="53D21FB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（3）输出信号：</w:t>
      </w:r>
    </w:p>
    <w:p w14:paraId="0456EEE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1路200~1000Hz频率/RS485信号；</w:t>
      </w:r>
    </w:p>
    <w:p w14:paraId="53B77C3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1路4~20mA电流信号。</w:t>
      </w:r>
    </w:p>
    <w:p w14:paraId="372FD90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87" w:name="_Toc2907"/>
      <w:r>
        <w:rPr>
          <w:rFonts w:hint="eastAsia" w:ascii="宋体" w:hAnsi="宋体" w:eastAsia="宋体" w:cs="宋体"/>
          <w:kern w:val="2"/>
          <w:sz w:val="32"/>
          <w:szCs w:val="32"/>
          <w:lang w:val="en-US" w:eastAsia="zh-CN" w:bidi="ar-SA"/>
        </w:rPr>
        <w:t>矿用本安型报警摄像仪</w:t>
      </w:r>
      <w:bookmarkEnd w:id="87"/>
    </w:p>
    <w:p w14:paraId="2877F68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（1）供电电源：DC12V±25%，功耗：10W；</w:t>
      </w:r>
    </w:p>
    <w:p w14:paraId="64DB702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（2）摄像机：200 万，星光级 1/2.7”，2.7～8mm变焦，25 fps；</w:t>
      </w:r>
    </w:p>
    <w:p w14:paraId="0B328EF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（3）最低照度:彩色:0.01Lux@(F1.2,AGC ON)；</w:t>
      </w:r>
    </w:p>
    <w:p w14:paraId="3F29C7E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（4）功能：皮带跑偏识别、人员违规穿越皮带识别、烟火识别、4个干节点输入输出、语音报警提示、双向语音对讲；</w:t>
      </w:r>
    </w:p>
    <w:p w14:paraId="0FBE962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（5）识别率：大于95%；人员越界识别；</w:t>
      </w:r>
    </w:p>
    <w:p w14:paraId="03A21C8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（6）网络：百兆电口2路，百兆光纤2路，双绞线2路、WIFI；</w:t>
      </w:r>
    </w:p>
    <w:p w14:paraId="168A083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（7）工作温度和湿度：-30℃～60℃,湿度小于95%(无凝结)；</w:t>
      </w:r>
    </w:p>
    <w:p w14:paraId="732D140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（8）补光距离：30m；</w:t>
      </w:r>
    </w:p>
    <w:p w14:paraId="4EA6D07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（9）防护等级：IP65；</w:t>
      </w:r>
    </w:p>
    <w:p w14:paraId="0897F86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（10）防爆等级：Ex[ib]I Mb；</w:t>
      </w:r>
    </w:p>
    <w:p w14:paraId="1E0E176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88" w:name="_Toc7749"/>
      <w:bookmarkStart w:id="89" w:name="_Toc4562"/>
      <w:bookmarkStart w:id="90" w:name="_Toc299354304"/>
      <w:bookmarkStart w:id="91" w:name="_Toc7231"/>
      <w:bookmarkStart w:id="92" w:name="_Toc508613434"/>
      <w:bookmarkStart w:id="93" w:name="_Toc401260749"/>
      <w:r>
        <w:rPr>
          <w:rFonts w:hint="eastAsia" w:ascii="宋体" w:hAnsi="宋体" w:eastAsia="宋体" w:cs="宋体"/>
          <w:kern w:val="2"/>
          <w:sz w:val="32"/>
          <w:szCs w:val="32"/>
          <w:lang w:val="en-US" w:eastAsia="zh-CN" w:bidi="ar-SA"/>
        </w:rPr>
        <w:t>5. 矿用本安型声光报警器</w:t>
      </w:r>
      <w:bookmarkEnd w:id="88"/>
      <w:bookmarkEnd w:id="89"/>
    </w:p>
    <w:p w14:paraId="691860D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（1）供电电源：DC18V/500mA；</w:t>
      </w:r>
    </w:p>
    <w:p w14:paraId="1DEE7A4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（2）2 路高低电平型开关量信号；</w:t>
      </w:r>
    </w:p>
    <w:p w14:paraId="14C6CF7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（3）1路RS485 通讯信号；</w:t>
      </w:r>
    </w:p>
    <w:p w14:paraId="06E8049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（4）报警信号：</w:t>
      </w:r>
    </w:p>
    <w:p w14:paraId="751BF20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 声信号采用喇叭输出语音，音响响度不小于 85dB；</w:t>
      </w:r>
    </w:p>
    <w:p w14:paraId="59D2195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（6）光信号可见距离：不小于 20m（黑暗中） </w:t>
      </w:r>
    </w:p>
    <w:p w14:paraId="5058A54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（7）声光报警器具有声音预置功能，通过喇叭输出语音，声报警强度可通过遥控器进行调节，也可通过上位机软件进行调节。</w:t>
      </w:r>
    </w:p>
    <w:p w14:paraId="3E1DC88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94" w:name="_Toc5048"/>
      <w:bookmarkStart w:id="95" w:name="_Toc98939062"/>
      <w:r>
        <w:rPr>
          <w:rFonts w:hint="eastAsia" w:ascii="宋体" w:hAnsi="宋体" w:eastAsia="宋体" w:cs="宋体"/>
          <w:kern w:val="2"/>
          <w:sz w:val="32"/>
          <w:szCs w:val="32"/>
          <w:lang w:val="en-US" w:eastAsia="zh-CN" w:bidi="ar-SA"/>
        </w:rPr>
        <w:t>6. 矿用一氧化碳传感器</w:t>
      </w:r>
      <w:bookmarkEnd w:id="94"/>
      <w:bookmarkEnd w:id="95"/>
    </w:p>
    <w:p w14:paraId="695380E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（1）测量范围：（0～1000）×10-6CO</w:t>
      </w:r>
    </w:p>
    <w:p w14:paraId="1BECE79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（2）工作电压：DC（9～24.5）V</w:t>
      </w:r>
    </w:p>
    <w:p w14:paraId="7BE1D27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（3）工作电流：≤30mA DC18V</w:t>
      </w:r>
    </w:p>
    <w:p w14:paraId="3FCFFF2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（4）输出信号：RS485信号、频率</w:t>
      </w:r>
    </w:p>
    <w:p w14:paraId="0A2B93A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（5）防护等级：IP65 </w:t>
      </w:r>
    </w:p>
    <w:p w14:paraId="2DF2DC5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（6）变送器型号：CARI-BSQ-CO-D</w:t>
      </w:r>
    </w:p>
    <w:p w14:paraId="522E956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96" w:name="_Toc98939061"/>
      <w:bookmarkStart w:id="97" w:name="_Toc8295"/>
      <w:r>
        <w:rPr>
          <w:rFonts w:hint="eastAsia" w:ascii="宋体" w:hAnsi="宋体" w:eastAsia="宋体" w:cs="宋体"/>
          <w:kern w:val="2"/>
          <w:sz w:val="32"/>
          <w:szCs w:val="32"/>
          <w:lang w:val="en-US" w:eastAsia="zh-CN" w:bidi="ar-SA"/>
        </w:rPr>
        <w:t>7. 矿用甲烷传感器</w:t>
      </w:r>
      <w:bookmarkEnd w:id="96"/>
      <w:bookmarkEnd w:id="97"/>
    </w:p>
    <w:p w14:paraId="7C9E3BA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（1）测量范围：（0～4）%CH4</w:t>
      </w:r>
    </w:p>
    <w:p w14:paraId="2DE4428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（2）工作电压：DC（9～24.5）V</w:t>
      </w:r>
    </w:p>
    <w:p w14:paraId="31AD2A0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（3）工作电流：≤50mA DC18V</w:t>
      </w:r>
    </w:p>
    <w:p w14:paraId="44DA96D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（4）输出信号：RS485信号、频率信号</w:t>
      </w:r>
    </w:p>
    <w:p w14:paraId="1CCDE18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（5）防护等级：IP65 </w:t>
      </w:r>
    </w:p>
    <w:bookmarkEnd w:id="90"/>
    <w:bookmarkEnd w:id="91"/>
    <w:bookmarkEnd w:id="92"/>
    <w:bookmarkEnd w:id="93"/>
    <w:p w14:paraId="0C57972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bookmarkStart w:id="98" w:name="_Toc16458"/>
      <w:r>
        <w:rPr>
          <w:rFonts w:hint="eastAsia" w:ascii="宋体" w:hAnsi="宋体" w:eastAsia="宋体" w:cs="宋体"/>
          <w:kern w:val="2"/>
          <w:sz w:val="32"/>
          <w:szCs w:val="32"/>
          <w:lang w:val="en-US" w:eastAsia="zh-CN" w:bidi="ar-SA"/>
        </w:rPr>
        <w:t>8. 本安型双光热像仪</w:t>
      </w:r>
      <w:bookmarkEnd w:id="98"/>
    </w:p>
    <w:p w14:paraId="36CEA7B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（1）摄像机像素：可见光：400万；热成像：不小于640×512</w:t>
      </w:r>
    </w:p>
    <w:p w14:paraId="2B2891D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（2）测温范围： 0~550度</w:t>
      </w:r>
    </w:p>
    <w:p w14:paraId="77E708E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（3）产品防护等级：IP67</w:t>
      </w:r>
    </w:p>
    <w:p w14:paraId="26EE4EB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（4）供电：供电电压范围DC12-19V</w:t>
      </w:r>
    </w:p>
    <w:p w14:paraId="291843F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（5）工作电流：不大于900mA</w:t>
      </w:r>
    </w:p>
    <w:p w14:paraId="27DD9C5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（6）接口：2路以太网光口（千兆）、1路以太网电口（千兆/百兆自适应）、1路开关量输入口、1路开关量输出口、1路RS485口</w:t>
      </w:r>
    </w:p>
    <w:p w14:paraId="156B555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（7）应用场景：设备测温、火点检测、温度异常告警</w:t>
      </w:r>
    </w:p>
    <w:p w14:paraId="4B22127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九、供货范围</w:t>
      </w:r>
    </w:p>
    <w:p w14:paraId="5B1E61E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以下清单仅包含系统主要设备，附件设备由投标方根据实际需要配置，但必须实现以上所有功能要求。</w:t>
      </w:r>
    </w:p>
    <w:tbl>
      <w:tblPr>
        <w:tblStyle w:val="8"/>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662"/>
        <w:gridCol w:w="3483"/>
        <w:gridCol w:w="633"/>
        <w:gridCol w:w="734"/>
        <w:gridCol w:w="1240"/>
      </w:tblGrid>
      <w:tr w14:paraId="403B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6" w:type="dxa"/>
            <w:noWrap w:val="0"/>
            <w:vAlign w:val="center"/>
          </w:tcPr>
          <w:p w14:paraId="449EAC4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序号</w:t>
            </w:r>
          </w:p>
        </w:tc>
        <w:tc>
          <w:tcPr>
            <w:tcW w:w="2662" w:type="dxa"/>
            <w:noWrap w:val="0"/>
            <w:vAlign w:val="center"/>
          </w:tcPr>
          <w:p w14:paraId="38BDA64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设备名称</w:t>
            </w:r>
          </w:p>
        </w:tc>
        <w:tc>
          <w:tcPr>
            <w:tcW w:w="3483" w:type="dxa"/>
            <w:noWrap w:val="0"/>
            <w:vAlign w:val="center"/>
          </w:tcPr>
          <w:p w14:paraId="6D5AA66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设备型号</w:t>
            </w:r>
          </w:p>
        </w:tc>
        <w:tc>
          <w:tcPr>
            <w:tcW w:w="633" w:type="dxa"/>
            <w:noWrap w:val="0"/>
            <w:vAlign w:val="center"/>
          </w:tcPr>
          <w:p w14:paraId="367A0FF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单位</w:t>
            </w:r>
          </w:p>
        </w:tc>
        <w:tc>
          <w:tcPr>
            <w:tcW w:w="734" w:type="dxa"/>
            <w:noWrap w:val="0"/>
            <w:vAlign w:val="center"/>
          </w:tcPr>
          <w:p w14:paraId="58F7200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数量</w:t>
            </w:r>
          </w:p>
        </w:tc>
        <w:tc>
          <w:tcPr>
            <w:tcW w:w="1240" w:type="dxa"/>
            <w:noWrap w:val="0"/>
            <w:vAlign w:val="center"/>
          </w:tcPr>
          <w:p w14:paraId="09E209F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备注</w:t>
            </w:r>
          </w:p>
        </w:tc>
      </w:tr>
      <w:tr w14:paraId="1D89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6" w:type="dxa"/>
            <w:noWrap w:val="0"/>
            <w:vAlign w:val="center"/>
          </w:tcPr>
          <w:p w14:paraId="2CF636F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一</w:t>
            </w:r>
          </w:p>
        </w:tc>
        <w:tc>
          <w:tcPr>
            <w:tcW w:w="2662" w:type="dxa"/>
            <w:noWrap w:val="0"/>
            <w:vAlign w:val="center"/>
          </w:tcPr>
          <w:p w14:paraId="409FE9C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地面监控中心</w:t>
            </w:r>
          </w:p>
        </w:tc>
        <w:tc>
          <w:tcPr>
            <w:tcW w:w="3483" w:type="dxa"/>
            <w:noWrap w:val="0"/>
            <w:vAlign w:val="center"/>
          </w:tcPr>
          <w:p w14:paraId="4E2B8A0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6CE0763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734" w:type="dxa"/>
            <w:noWrap w:val="0"/>
            <w:vAlign w:val="center"/>
          </w:tcPr>
          <w:p w14:paraId="2139DBE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1240" w:type="dxa"/>
            <w:noWrap w:val="0"/>
            <w:vAlign w:val="center"/>
          </w:tcPr>
          <w:p w14:paraId="4A95E68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1E21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6" w:type="dxa"/>
            <w:noWrap w:val="0"/>
            <w:vAlign w:val="center"/>
          </w:tcPr>
          <w:p w14:paraId="7CD8F84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2662" w:type="dxa"/>
            <w:noWrap w:val="0"/>
            <w:vAlign w:val="center"/>
          </w:tcPr>
          <w:p w14:paraId="48FF8C5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煤仓综合管控软件V1.0</w:t>
            </w:r>
          </w:p>
        </w:tc>
        <w:tc>
          <w:tcPr>
            <w:tcW w:w="3483" w:type="dxa"/>
            <w:noWrap w:val="0"/>
            <w:vAlign w:val="center"/>
          </w:tcPr>
          <w:p w14:paraId="3BD1C5A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7E8697C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681C8D4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1240" w:type="dxa"/>
            <w:noWrap w:val="0"/>
            <w:vAlign w:val="center"/>
          </w:tcPr>
          <w:p w14:paraId="256DC70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69E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6" w:type="dxa"/>
            <w:shd w:val="clear" w:color="auto" w:fill="auto"/>
            <w:noWrap w:val="0"/>
            <w:vAlign w:val="center"/>
          </w:tcPr>
          <w:p w14:paraId="4AC50AB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2662" w:type="dxa"/>
            <w:shd w:val="clear" w:color="auto" w:fill="FFFFFF"/>
            <w:noWrap w:val="0"/>
            <w:vAlign w:val="center"/>
          </w:tcPr>
          <w:p w14:paraId="5F4E253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主煤流AI智能管理平台客户端软件V1.0</w:t>
            </w:r>
          </w:p>
        </w:tc>
        <w:tc>
          <w:tcPr>
            <w:tcW w:w="3483" w:type="dxa"/>
            <w:shd w:val="clear" w:color="auto" w:fill="FFFFFF"/>
            <w:noWrap w:val="0"/>
            <w:vAlign w:val="center"/>
          </w:tcPr>
          <w:p w14:paraId="06306E7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39D7E0C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6A86CB9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1240" w:type="dxa"/>
            <w:noWrap w:val="0"/>
            <w:vAlign w:val="center"/>
          </w:tcPr>
          <w:p w14:paraId="517A02C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6B86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46" w:type="dxa"/>
            <w:shd w:val="clear" w:color="auto" w:fill="auto"/>
            <w:noWrap w:val="0"/>
            <w:vAlign w:val="center"/>
          </w:tcPr>
          <w:p w14:paraId="50B47DD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w:t>
            </w:r>
          </w:p>
        </w:tc>
        <w:tc>
          <w:tcPr>
            <w:tcW w:w="2662" w:type="dxa"/>
            <w:shd w:val="clear" w:color="auto" w:fill="FFFFFF"/>
            <w:noWrap w:val="0"/>
            <w:vAlign w:val="center"/>
          </w:tcPr>
          <w:p w14:paraId="0ED4DC9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研华工控机</w:t>
            </w:r>
          </w:p>
        </w:tc>
        <w:tc>
          <w:tcPr>
            <w:tcW w:w="3483" w:type="dxa"/>
            <w:shd w:val="clear" w:color="auto" w:fill="FFFFFF"/>
            <w:noWrap w:val="0"/>
            <w:vAlign w:val="center"/>
          </w:tcPr>
          <w:p w14:paraId="6F06471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IPC-510；750VG，I7-12700E，16G，1T，512SSD，2G独显，声卡</w:t>
            </w:r>
          </w:p>
        </w:tc>
        <w:tc>
          <w:tcPr>
            <w:tcW w:w="633" w:type="dxa"/>
            <w:noWrap w:val="0"/>
            <w:vAlign w:val="center"/>
          </w:tcPr>
          <w:p w14:paraId="4786FAC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3B54C9F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1240" w:type="dxa"/>
            <w:noWrap w:val="0"/>
            <w:vAlign w:val="center"/>
          </w:tcPr>
          <w:p w14:paraId="0354164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6660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646" w:type="dxa"/>
            <w:noWrap w:val="0"/>
            <w:vAlign w:val="center"/>
          </w:tcPr>
          <w:p w14:paraId="391CC55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p>
        </w:tc>
        <w:tc>
          <w:tcPr>
            <w:tcW w:w="2662" w:type="dxa"/>
            <w:noWrap w:val="0"/>
            <w:vAlign w:val="center"/>
          </w:tcPr>
          <w:p w14:paraId="2B6DF1E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微软操作系统</w:t>
            </w:r>
          </w:p>
        </w:tc>
        <w:tc>
          <w:tcPr>
            <w:tcW w:w="3483" w:type="dxa"/>
            <w:noWrap w:val="0"/>
            <w:vAlign w:val="center"/>
          </w:tcPr>
          <w:p w14:paraId="4344CC9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Microsoft Windows 10 64位简体中文专业版</w:t>
            </w:r>
          </w:p>
        </w:tc>
        <w:tc>
          <w:tcPr>
            <w:tcW w:w="633" w:type="dxa"/>
            <w:noWrap w:val="0"/>
            <w:vAlign w:val="center"/>
          </w:tcPr>
          <w:p w14:paraId="3BE4807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376B852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1240" w:type="dxa"/>
            <w:noWrap w:val="0"/>
            <w:vAlign w:val="center"/>
          </w:tcPr>
          <w:p w14:paraId="539CFF9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1A24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646" w:type="dxa"/>
            <w:noWrap w:val="0"/>
            <w:vAlign w:val="center"/>
          </w:tcPr>
          <w:p w14:paraId="240509A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w:t>
            </w:r>
          </w:p>
        </w:tc>
        <w:tc>
          <w:tcPr>
            <w:tcW w:w="2662" w:type="dxa"/>
            <w:noWrap w:val="0"/>
            <w:vAlign w:val="center"/>
          </w:tcPr>
          <w:p w14:paraId="53CD485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三星24寸显示器</w:t>
            </w:r>
          </w:p>
        </w:tc>
        <w:tc>
          <w:tcPr>
            <w:tcW w:w="3483" w:type="dxa"/>
            <w:noWrap w:val="0"/>
            <w:vAlign w:val="center"/>
          </w:tcPr>
          <w:p w14:paraId="3B164C8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S24R350FZC</w:t>
            </w:r>
          </w:p>
        </w:tc>
        <w:tc>
          <w:tcPr>
            <w:tcW w:w="633" w:type="dxa"/>
            <w:noWrap w:val="0"/>
            <w:vAlign w:val="center"/>
          </w:tcPr>
          <w:p w14:paraId="3F32B0C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套</w:t>
            </w:r>
          </w:p>
        </w:tc>
        <w:tc>
          <w:tcPr>
            <w:tcW w:w="734" w:type="dxa"/>
            <w:noWrap w:val="0"/>
            <w:vAlign w:val="center"/>
          </w:tcPr>
          <w:p w14:paraId="4DF466B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1240" w:type="dxa"/>
            <w:noWrap w:val="0"/>
            <w:vAlign w:val="center"/>
          </w:tcPr>
          <w:p w14:paraId="18AAFA3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78B2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46" w:type="dxa"/>
            <w:noWrap w:val="0"/>
            <w:vAlign w:val="center"/>
          </w:tcPr>
          <w:p w14:paraId="30A0B47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w:t>
            </w:r>
          </w:p>
        </w:tc>
        <w:tc>
          <w:tcPr>
            <w:tcW w:w="2662" w:type="dxa"/>
            <w:noWrap w:val="0"/>
            <w:vAlign w:val="center"/>
          </w:tcPr>
          <w:p w14:paraId="7C87F07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罗技无线键鼠</w:t>
            </w:r>
          </w:p>
        </w:tc>
        <w:tc>
          <w:tcPr>
            <w:tcW w:w="3483" w:type="dxa"/>
            <w:noWrap w:val="0"/>
            <w:vAlign w:val="center"/>
          </w:tcPr>
          <w:p w14:paraId="66C2FBE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MK540</w:t>
            </w:r>
          </w:p>
        </w:tc>
        <w:tc>
          <w:tcPr>
            <w:tcW w:w="633" w:type="dxa"/>
            <w:noWrap w:val="0"/>
            <w:vAlign w:val="center"/>
          </w:tcPr>
          <w:p w14:paraId="1955244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套</w:t>
            </w:r>
          </w:p>
        </w:tc>
        <w:tc>
          <w:tcPr>
            <w:tcW w:w="734" w:type="dxa"/>
            <w:noWrap w:val="0"/>
            <w:vAlign w:val="center"/>
          </w:tcPr>
          <w:p w14:paraId="5425E32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1240" w:type="dxa"/>
            <w:noWrap w:val="0"/>
            <w:vAlign w:val="center"/>
          </w:tcPr>
          <w:p w14:paraId="42961C3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25BD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646" w:type="dxa"/>
            <w:noWrap w:val="0"/>
            <w:vAlign w:val="center"/>
          </w:tcPr>
          <w:p w14:paraId="2854355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w:t>
            </w:r>
          </w:p>
        </w:tc>
        <w:tc>
          <w:tcPr>
            <w:tcW w:w="2662" w:type="dxa"/>
            <w:noWrap w:val="0"/>
            <w:vAlign w:val="center"/>
          </w:tcPr>
          <w:p w14:paraId="1383B2A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有线智能麦克风音箱</w:t>
            </w:r>
          </w:p>
        </w:tc>
        <w:tc>
          <w:tcPr>
            <w:tcW w:w="3483" w:type="dxa"/>
            <w:noWrap w:val="0"/>
            <w:vAlign w:val="center"/>
          </w:tcPr>
          <w:p w14:paraId="1F098E6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DS-VS2U</w:t>
            </w:r>
          </w:p>
        </w:tc>
        <w:tc>
          <w:tcPr>
            <w:tcW w:w="633" w:type="dxa"/>
            <w:noWrap w:val="0"/>
            <w:vAlign w:val="center"/>
          </w:tcPr>
          <w:p w14:paraId="403D547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套</w:t>
            </w:r>
          </w:p>
        </w:tc>
        <w:tc>
          <w:tcPr>
            <w:tcW w:w="734" w:type="dxa"/>
            <w:noWrap w:val="0"/>
            <w:vAlign w:val="center"/>
          </w:tcPr>
          <w:p w14:paraId="06A9D53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1240" w:type="dxa"/>
            <w:noWrap w:val="0"/>
            <w:vAlign w:val="center"/>
          </w:tcPr>
          <w:p w14:paraId="755AD17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1891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646" w:type="dxa"/>
            <w:noWrap w:val="0"/>
            <w:vAlign w:val="center"/>
          </w:tcPr>
          <w:p w14:paraId="01A2274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二</w:t>
            </w:r>
          </w:p>
        </w:tc>
        <w:tc>
          <w:tcPr>
            <w:tcW w:w="2662" w:type="dxa"/>
            <w:noWrap w:val="0"/>
            <w:vAlign w:val="center"/>
          </w:tcPr>
          <w:p w14:paraId="7D04034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煤仓环境监测</w:t>
            </w:r>
          </w:p>
        </w:tc>
        <w:tc>
          <w:tcPr>
            <w:tcW w:w="3483" w:type="dxa"/>
            <w:noWrap w:val="0"/>
            <w:vAlign w:val="center"/>
          </w:tcPr>
          <w:p w14:paraId="4BF7757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1A541C3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734" w:type="dxa"/>
            <w:noWrap w:val="0"/>
            <w:vAlign w:val="center"/>
          </w:tcPr>
          <w:p w14:paraId="21E5D5A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1240" w:type="dxa"/>
            <w:noWrap w:val="0"/>
            <w:vAlign w:val="center"/>
          </w:tcPr>
          <w:p w14:paraId="208B766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1502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6" w:type="dxa"/>
            <w:noWrap w:val="0"/>
            <w:vAlign w:val="center"/>
          </w:tcPr>
          <w:p w14:paraId="386899F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2662" w:type="dxa"/>
            <w:noWrap w:val="0"/>
            <w:vAlign w:val="center"/>
          </w:tcPr>
          <w:p w14:paraId="2E88EBA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矿用本安型可编程控制器</w:t>
            </w:r>
          </w:p>
        </w:tc>
        <w:tc>
          <w:tcPr>
            <w:tcW w:w="3483" w:type="dxa"/>
            <w:noWrap w:val="0"/>
            <w:vAlign w:val="center"/>
          </w:tcPr>
          <w:p w14:paraId="0B821D6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73DD41B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0EC0EA1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1240" w:type="dxa"/>
            <w:noWrap w:val="0"/>
            <w:vAlign w:val="center"/>
          </w:tcPr>
          <w:p w14:paraId="6355FE4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50DA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6" w:type="dxa"/>
            <w:noWrap w:val="0"/>
            <w:vAlign w:val="center"/>
          </w:tcPr>
          <w:p w14:paraId="5002B41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2662" w:type="dxa"/>
            <w:noWrap w:val="0"/>
            <w:vAlign w:val="center"/>
          </w:tcPr>
          <w:p w14:paraId="503CFAB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矿用隔爆兼本安型多路电源</w:t>
            </w:r>
          </w:p>
        </w:tc>
        <w:tc>
          <w:tcPr>
            <w:tcW w:w="3483" w:type="dxa"/>
            <w:noWrap w:val="0"/>
            <w:vAlign w:val="center"/>
          </w:tcPr>
          <w:p w14:paraId="02266BD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75B27CA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7CF7418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1240" w:type="dxa"/>
            <w:noWrap w:val="0"/>
            <w:vAlign w:val="center"/>
          </w:tcPr>
          <w:p w14:paraId="4CBA22E9">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选配</w:t>
            </w:r>
          </w:p>
        </w:tc>
      </w:tr>
      <w:tr w14:paraId="3691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6" w:type="dxa"/>
            <w:noWrap w:val="0"/>
            <w:vAlign w:val="center"/>
          </w:tcPr>
          <w:p w14:paraId="2969ADB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w:t>
            </w:r>
          </w:p>
        </w:tc>
        <w:tc>
          <w:tcPr>
            <w:tcW w:w="2662" w:type="dxa"/>
            <w:noWrap w:val="0"/>
            <w:vAlign w:val="center"/>
          </w:tcPr>
          <w:p w14:paraId="7921524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矿用一氧化碳传感器</w:t>
            </w:r>
          </w:p>
        </w:tc>
        <w:tc>
          <w:tcPr>
            <w:tcW w:w="3483" w:type="dxa"/>
            <w:noWrap w:val="0"/>
            <w:vAlign w:val="center"/>
          </w:tcPr>
          <w:p w14:paraId="2E24AC3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58EB13B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376848D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1240" w:type="dxa"/>
            <w:noWrap w:val="0"/>
            <w:vAlign w:val="center"/>
          </w:tcPr>
          <w:p w14:paraId="13526316">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选配</w:t>
            </w:r>
          </w:p>
        </w:tc>
      </w:tr>
      <w:tr w14:paraId="5250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6" w:type="dxa"/>
            <w:noWrap w:val="0"/>
            <w:vAlign w:val="center"/>
          </w:tcPr>
          <w:p w14:paraId="446CA0D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p>
        </w:tc>
        <w:tc>
          <w:tcPr>
            <w:tcW w:w="2662" w:type="dxa"/>
            <w:noWrap w:val="0"/>
            <w:vAlign w:val="center"/>
          </w:tcPr>
          <w:p w14:paraId="77E86F3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矿用低浓度甲烷传感器</w:t>
            </w:r>
          </w:p>
        </w:tc>
        <w:tc>
          <w:tcPr>
            <w:tcW w:w="3483" w:type="dxa"/>
            <w:noWrap w:val="0"/>
            <w:vAlign w:val="center"/>
          </w:tcPr>
          <w:p w14:paraId="5351F0C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231AE6E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49704CB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1240" w:type="dxa"/>
            <w:noWrap w:val="0"/>
            <w:vAlign w:val="center"/>
          </w:tcPr>
          <w:p w14:paraId="06C42B4E">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选配</w:t>
            </w:r>
          </w:p>
        </w:tc>
      </w:tr>
      <w:tr w14:paraId="1F0D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6" w:type="dxa"/>
            <w:noWrap w:val="0"/>
            <w:vAlign w:val="center"/>
          </w:tcPr>
          <w:p w14:paraId="33F7095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w:t>
            </w:r>
          </w:p>
        </w:tc>
        <w:tc>
          <w:tcPr>
            <w:tcW w:w="2662" w:type="dxa"/>
            <w:noWrap w:val="0"/>
            <w:vAlign w:val="center"/>
          </w:tcPr>
          <w:p w14:paraId="55FDF75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物位传感器</w:t>
            </w:r>
          </w:p>
        </w:tc>
        <w:tc>
          <w:tcPr>
            <w:tcW w:w="3483" w:type="dxa"/>
            <w:noWrap w:val="0"/>
            <w:vAlign w:val="center"/>
          </w:tcPr>
          <w:p w14:paraId="1A8598D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1FE73E8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4116D50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1240" w:type="dxa"/>
            <w:noWrap w:val="0"/>
            <w:vAlign w:val="center"/>
          </w:tcPr>
          <w:p w14:paraId="23B58D8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4F44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46" w:type="dxa"/>
            <w:noWrap w:val="0"/>
            <w:vAlign w:val="center"/>
          </w:tcPr>
          <w:p w14:paraId="515680F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w:t>
            </w:r>
          </w:p>
        </w:tc>
        <w:tc>
          <w:tcPr>
            <w:tcW w:w="2662" w:type="dxa"/>
            <w:noWrap w:val="0"/>
            <w:vAlign w:val="center"/>
          </w:tcPr>
          <w:p w14:paraId="0845B70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矿用本安型声光报警器</w:t>
            </w:r>
          </w:p>
        </w:tc>
        <w:tc>
          <w:tcPr>
            <w:tcW w:w="3483" w:type="dxa"/>
            <w:noWrap w:val="0"/>
            <w:vAlign w:val="center"/>
          </w:tcPr>
          <w:p w14:paraId="4B587B9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6759FA5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44A0FAB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1240" w:type="dxa"/>
            <w:noWrap w:val="0"/>
            <w:vAlign w:val="center"/>
          </w:tcPr>
          <w:p w14:paraId="015999F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1CDB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6" w:type="dxa"/>
            <w:noWrap w:val="0"/>
            <w:vAlign w:val="center"/>
          </w:tcPr>
          <w:p w14:paraId="352171D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三</w:t>
            </w:r>
          </w:p>
        </w:tc>
        <w:tc>
          <w:tcPr>
            <w:tcW w:w="2662" w:type="dxa"/>
            <w:noWrap w:val="0"/>
            <w:vAlign w:val="center"/>
          </w:tcPr>
          <w:p w14:paraId="66D2F45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人员接近防护</w:t>
            </w:r>
          </w:p>
        </w:tc>
        <w:tc>
          <w:tcPr>
            <w:tcW w:w="3483" w:type="dxa"/>
            <w:noWrap w:val="0"/>
            <w:vAlign w:val="center"/>
          </w:tcPr>
          <w:p w14:paraId="7074E52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69B6183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734" w:type="dxa"/>
            <w:noWrap w:val="0"/>
            <w:vAlign w:val="center"/>
          </w:tcPr>
          <w:p w14:paraId="6EF6954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1240" w:type="dxa"/>
            <w:noWrap w:val="0"/>
            <w:vAlign w:val="center"/>
          </w:tcPr>
          <w:p w14:paraId="13D0C74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7B9C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6" w:type="dxa"/>
            <w:noWrap w:val="0"/>
            <w:vAlign w:val="center"/>
          </w:tcPr>
          <w:p w14:paraId="58E088B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2662" w:type="dxa"/>
            <w:noWrap w:val="0"/>
            <w:vAlign w:val="center"/>
          </w:tcPr>
          <w:p w14:paraId="08F639E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矿用隔爆兼本安型不间断电源箱</w:t>
            </w:r>
          </w:p>
        </w:tc>
        <w:tc>
          <w:tcPr>
            <w:tcW w:w="3483" w:type="dxa"/>
            <w:noWrap w:val="0"/>
            <w:vAlign w:val="center"/>
          </w:tcPr>
          <w:p w14:paraId="1716121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0AE2994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1E2C0E0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p>
        </w:tc>
        <w:tc>
          <w:tcPr>
            <w:tcW w:w="1240" w:type="dxa"/>
            <w:noWrap w:val="0"/>
            <w:vAlign w:val="center"/>
          </w:tcPr>
          <w:p w14:paraId="6BEFA3C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26E3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46" w:type="dxa"/>
            <w:noWrap w:val="0"/>
            <w:vAlign w:val="center"/>
          </w:tcPr>
          <w:p w14:paraId="76CCA52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2662" w:type="dxa"/>
            <w:noWrap w:val="0"/>
            <w:vAlign w:val="center"/>
          </w:tcPr>
          <w:p w14:paraId="55807F4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矿用本安型读卡器（含UWB软件V1.0）</w:t>
            </w:r>
          </w:p>
        </w:tc>
        <w:tc>
          <w:tcPr>
            <w:tcW w:w="3483" w:type="dxa"/>
            <w:noWrap w:val="0"/>
            <w:vAlign w:val="center"/>
          </w:tcPr>
          <w:p w14:paraId="695C33B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26334DD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7708E72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p>
        </w:tc>
        <w:tc>
          <w:tcPr>
            <w:tcW w:w="1240" w:type="dxa"/>
            <w:noWrap w:val="0"/>
            <w:vAlign w:val="center"/>
          </w:tcPr>
          <w:p w14:paraId="6169DA9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3A8E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6" w:type="dxa"/>
            <w:noWrap w:val="0"/>
            <w:vAlign w:val="center"/>
          </w:tcPr>
          <w:p w14:paraId="7BEAC72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w:t>
            </w:r>
          </w:p>
        </w:tc>
        <w:tc>
          <w:tcPr>
            <w:tcW w:w="2662" w:type="dxa"/>
            <w:noWrap w:val="0"/>
            <w:vAlign w:val="center"/>
          </w:tcPr>
          <w:p w14:paraId="3F4D38C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线缆（带航插）</w:t>
            </w:r>
          </w:p>
        </w:tc>
        <w:tc>
          <w:tcPr>
            <w:tcW w:w="3483" w:type="dxa"/>
            <w:noWrap w:val="0"/>
            <w:vAlign w:val="center"/>
          </w:tcPr>
          <w:p w14:paraId="5F7E4E7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1F8920E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4F6D0D4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1240" w:type="dxa"/>
            <w:noWrap w:val="0"/>
            <w:vAlign w:val="center"/>
          </w:tcPr>
          <w:p w14:paraId="5592B19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5A4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646" w:type="dxa"/>
            <w:noWrap w:val="0"/>
            <w:vAlign w:val="center"/>
          </w:tcPr>
          <w:p w14:paraId="2071EB6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2662" w:type="dxa"/>
            <w:noWrap w:val="0"/>
            <w:vAlign w:val="center"/>
          </w:tcPr>
          <w:p w14:paraId="66F3FB9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矿用本安型热成像摄像仪</w:t>
            </w:r>
          </w:p>
        </w:tc>
        <w:tc>
          <w:tcPr>
            <w:tcW w:w="3483" w:type="dxa"/>
            <w:noWrap w:val="0"/>
            <w:vAlign w:val="center"/>
          </w:tcPr>
          <w:p w14:paraId="0F7FDDE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354922C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24A3623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p>
        </w:tc>
        <w:tc>
          <w:tcPr>
            <w:tcW w:w="1240" w:type="dxa"/>
            <w:noWrap w:val="0"/>
            <w:vAlign w:val="center"/>
          </w:tcPr>
          <w:p w14:paraId="0FCE594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369A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646" w:type="dxa"/>
            <w:noWrap w:val="0"/>
            <w:vAlign w:val="center"/>
          </w:tcPr>
          <w:p w14:paraId="033D7DFE">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2662" w:type="dxa"/>
            <w:noWrap w:val="0"/>
            <w:vAlign w:val="center"/>
          </w:tcPr>
          <w:p w14:paraId="3913E67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矿用浇封兼本质安全型稳压电源</w:t>
            </w:r>
          </w:p>
        </w:tc>
        <w:tc>
          <w:tcPr>
            <w:tcW w:w="3483" w:type="dxa"/>
            <w:noWrap w:val="0"/>
            <w:vAlign w:val="center"/>
          </w:tcPr>
          <w:p w14:paraId="2F56EA7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433C3C2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套</w:t>
            </w:r>
          </w:p>
        </w:tc>
        <w:tc>
          <w:tcPr>
            <w:tcW w:w="734" w:type="dxa"/>
            <w:noWrap w:val="0"/>
            <w:vAlign w:val="center"/>
          </w:tcPr>
          <w:p w14:paraId="389CF63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p>
        </w:tc>
        <w:tc>
          <w:tcPr>
            <w:tcW w:w="1240" w:type="dxa"/>
            <w:noWrap w:val="0"/>
            <w:vAlign w:val="center"/>
          </w:tcPr>
          <w:p w14:paraId="2C3DADE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3960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6" w:type="dxa"/>
            <w:noWrap w:val="0"/>
            <w:vAlign w:val="center"/>
          </w:tcPr>
          <w:p w14:paraId="1F57261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四</w:t>
            </w:r>
          </w:p>
        </w:tc>
        <w:tc>
          <w:tcPr>
            <w:tcW w:w="2662" w:type="dxa"/>
            <w:noWrap w:val="0"/>
            <w:vAlign w:val="center"/>
          </w:tcPr>
          <w:p w14:paraId="3AF474E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线缆及辅材</w:t>
            </w:r>
          </w:p>
        </w:tc>
        <w:tc>
          <w:tcPr>
            <w:tcW w:w="3483" w:type="dxa"/>
            <w:noWrap w:val="0"/>
            <w:vAlign w:val="center"/>
          </w:tcPr>
          <w:p w14:paraId="2A8B421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633" w:type="dxa"/>
            <w:noWrap w:val="0"/>
            <w:vAlign w:val="center"/>
          </w:tcPr>
          <w:p w14:paraId="2910889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734" w:type="dxa"/>
            <w:noWrap w:val="0"/>
            <w:vAlign w:val="center"/>
          </w:tcPr>
          <w:p w14:paraId="4648D6A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c>
          <w:tcPr>
            <w:tcW w:w="1240" w:type="dxa"/>
            <w:noWrap w:val="0"/>
            <w:vAlign w:val="center"/>
          </w:tcPr>
          <w:p w14:paraId="7A78ABE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40B5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646" w:type="dxa"/>
            <w:noWrap w:val="0"/>
            <w:vAlign w:val="center"/>
          </w:tcPr>
          <w:p w14:paraId="26C3996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2662" w:type="dxa"/>
            <w:noWrap w:val="0"/>
            <w:vAlign w:val="center"/>
          </w:tcPr>
          <w:p w14:paraId="0E85154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矿用电源电缆</w:t>
            </w:r>
          </w:p>
        </w:tc>
        <w:tc>
          <w:tcPr>
            <w:tcW w:w="3483" w:type="dxa"/>
            <w:noWrap w:val="0"/>
            <w:vAlign w:val="center"/>
          </w:tcPr>
          <w:p w14:paraId="2375A0D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MVV 3×1.5mm2</w:t>
            </w:r>
          </w:p>
        </w:tc>
        <w:tc>
          <w:tcPr>
            <w:tcW w:w="633" w:type="dxa"/>
            <w:noWrap w:val="0"/>
            <w:vAlign w:val="center"/>
          </w:tcPr>
          <w:p w14:paraId="7180858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米</w:t>
            </w:r>
          </w:p>
        </w:tc>
        <w:tc>
          <w:tcPr>
            <w:tcW w:w="734" w:type="dxa"/>
            <w:noWrap w:val="0"/>
            <w:vAlign w:val="center"/>
          </w:tcPr>
          <w:p w14:paraId="7A7D1AD9">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200</w:t>
            </w:r>
          </w:p>
        </w:tc>
        <w:tc>
          <w:tcPr>
            <w:tcW w:w="1240" w:type="dxa"/>
            <w:noWrap w:val="0"/>
            <w:vAlign w:val="center"/>
          </w:tcPr>
          <w:p w14:paraId="061DDC46">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选配</w:t>
            </w:r>
          </w:p>
        </w:tc>
      </w:tr>
      <w:tr w14:paraId="064C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646" w:type="dxa"/>
            <w:noWrap w:val="0"/>
            <w:vAlign w:val="center"/>
          </w:tcPr>
          <w:p w14:paraId="6C3CD60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p>
        </w:tc>
        <w:tc>
          <w:tcPr>
            <w:tcW w:w="2662" w:type="dxa"/>
            <w:noWrap w:val="0"/>
            <w:vAlign w:val="center"/>
          </w:tcPr>
          <w:p w14:paraId="44631FF8">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矿用通信电缆</w:t>
            </w:r>
          </w:p>
        </w:tc>
        <w:tc>
          <w:tcPr>
            <w:tcW w:w="3483" w:type="dxa"/>
            <w:noWrap w:val="0"/>
            <w:vAlign w:val="center"/>
          </w:tcPr>
          <w:p w14:paraId="37F967D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MHYVP(2×2×7/0.43)</w:t>
            </w:r>
          </w:p>
        </w:tc>
        <w:tc>
          <w:tcPr>
            <w:tcW w:w="633" w:type="dxa"/>
            <w:noWrap w:val="0"/>
            <w:vAlign w:val="center"/>
          </w:tcPr>
          <w:p w14:paraId="1C98D36C">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米</w:t>
            </w:r>
          </w:p>
        </w:tc>
        <w:tc>
          <w:tcPr>
            <w:tcW w:w="734" w:type="dxa"/>
            <w:noWrap w:val="0"/>
            <w:vAlign w:val="center"/>
          </w:tcPr>
          <w:p w14:paraId="57F9E4D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300</w:t>
            </w:r>
          </w:p>
        </w:tc>
        <w:tc>
          <w:tcPr>
            <w:tcW w:w="1240" w:type="dxa"/>
            <w:noWrap w:val="0"/>
            <w:vAlign w:val="center"/>
          </w:tcPr>
          <w:p w14:paraId="6360032A">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6E7C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646" w:type="dxa"/>
            <w:noWrap w:val="0"/>
            <w:vAlign w:val="center"/>
          </w:tcPr>
          <w:p w14:paraId="52C9F46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w:t>
            </w:r>
          </w:p>
        </w:tc>
        <w:tc>
          <w:tcPr>
            <w:tcW w:w="2662" w:type="dxa"/>
            <w:noWrap w:val="0"/>
            <w:vAlign w:val="center"/>
          </w:tcPr>
          <w:p w14:paraId="694459A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煤矿用通信电缆</w:t>
            </w:r>
          </w:p>
        </w:tc>
        <w:tc>
          <w:tcPr>
            <w:tcW w:w="3483" w:type="dxa"/>
            <w:noWrap w:val="0"/>
            <w:vAlign w:val="center"/>
          </w:tcPr>
          <w:p w14:paraId="4884998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MHSYV-5 4×2×0.5</w:t>
            </w:r>
          </w:p>
        </w:tc>
        <w:tc>
          <w:tcPr>
            <w:tcW w:w="633" w:type="dxa"/>
            <w:noWrap w:val="0"/>
            <w:vAlign w:val="center"/>
          </w:tcPr>
          <w:p w14:paraId="200EE62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米</w:t>
            </w:r>
          </w:p>
        </w:tc>
        <w:tc>
          <w:tcPr>
            <w:tcW w:w="734" w:type="dxa"/>
            <w:noWrap w:val="0"/>
            <w:vAlign w:val="center"/>
          </w:tcPr>
          <w:p w14:paraId="40B933C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200</w:t>
            </w:r>
          </w:p>
        </w:tc>
        <w:tc>
          <w:tcPr>
            <w:tcW w:w="1240" w:type="dxa"/>
            <w:noWrap w:val="0"/>
            <w:vAlign w:val="center"/>
          </w:tcPr>
          <w:p w14:paraId="330D485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6EDC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646" w:type="dxa"/>
            <w:noWrap w:val="0"/>
            <w:vAlign w:val="center"/>
          </w:tcPr>
          <w:p w14:paraId="1E158B0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p>
        </w:tc>
        <w:tc>
          <w:tcPr>
            <w:tcW w:w="2662" w:type="dxa"/>
            <w:noWrap w:val="0"/>
            <w:vAlign w:val="center"/>
          </w:tcPr>
          <w:p w14:paraId="53BF0AD3">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本安电路用接线盒</w:t>
            </w:r>
          </w:p>
        </w:tc>
        <w:tc>
          <w:tcPr>
            <w:tcW w:w="3483" w:type="dxa"/>
            <w:noWrap w:val="0"/>
            <w:vAlign w:val="center"/>
          </w:tcPr>
          <w:p w14:paraId="7435CED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JHH3</w:t>
            </w:r>
          </w:p>
        </w:tc>
        <w:tc>
          <w:tcPr>
            <w:tcW w:w="633" w:type="dxa"/>
            <w:noWrap w:val="0"/>
            <w:vAlign w:val="center"/>
          </w:tcPr>
          <w:p w14:paraId="5F6337F1">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台</w:t>
            </w:r>
          </w:p>
        </w:tc>
        <w:tc>
          <w:tcPr>
            <w:tcW w:w="734" w:type="dxa"/>
            <w:noWrap w:val="0"/>
            <w:vAlign w:val="center"/>
          </w:tcPr>
          <w:p w14:paraId="6140C8B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10</w:t>
            </w:r>
          </w:p>
        </w:tc>
        <w:tc>
          <w:tcPr>
            <w:tcW w:w="1240" w:type="dxa"/>
            <w:noWrap w:val="0"/>
            <w:vAlign w:val="center"/>
          </w:tcPr>
          <w:p w14:paraId="74086907">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r w14:paraId="37A5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646" w:type="dxa"/>
            <w:noWrap w:val="0"/>
            <w:vAlign w:val="center"/>
          </w:tcPr>
          <w:p w14:paraId="521FE2D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w:t>
            </w:r>
          </w:p>
        </w:tc>
        <w:tc>
          <w:tcPr>
            <w:tcW w:w="2662" w:type="dxa"/>
            <w:noWrap w:val="0"/>
            <w:vAlign w:val="center"/>
          </w:tcPr>
          <w:p w14:paraId="0EC9B69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附件</w:t>
            </w:r>
          </w:p>
        </w:tc>
        <w:tc>
          <w:tcPr>
            <w:tcW w:w="3483" w:type="dxa"/>
            <w:noWrap w:val="0"/>
            <w:vAlign w:val="center"/>
          </w:tcPr>
          <w:p w14:paraId="61A8A95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热熔管、终端盒、接续包、光跳线,工具等</w:t>
            </w:r>
          </w:p>
        </w:tc>
        <w:tc>
          <w:tcPr>
            <w:tcW w:w="633" w:type="dxa"/>
            <w:noWrap w:val="0"/>
            <w:vAlign w:val="center"/>
          </w:tcPr>
          <w:p w14:paraId="76ADB9B6">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批</w:t>
            </w:r>
          </w:p>
        </w:tc>
        <w:tc>
          <w:tcPr>
            <w:tcW w:w="734" w:type="dxa"/>
            <w:noWrap w:val="0"/>
            <w:vAlign w:val="center"/>
          </w:tcPr>
          <w:p w14:paraId="0E9BD392">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p>
        </w:tc>
        <w:tc>
          <w:tcPr>
            <w:tcW w:w="1240" w:type="dxa"/>
            <w:noWrap w:val="0"/>
            <w:vAlign w:val="center"/>
          </w:tcPr>
          <w:p w14:paraId="474B04F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p>
        </w:tc>
      </w:tr>
    </w:tbl>
    <w:p w14:paraId="2B3713CF">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十、其它要求</w:t>
      </w:r>
    </w:p>
    <w:p w14:paraId="5AD83534">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1.本技术规格书所提及的要求和供货范围都是最低限度的要求，厂方按相关标准、规程、规范等提供高质量的功能齐全的优质产品及其相应服务。</w:t>
      </w:r>
    </w:p>
    <w:p w14:paraId="1CBC8100">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2.厂方提供设备说明书纸质版及电子版，并提供满足设备安装的缆线及辅材。</w:t>
      </w:r>
    </w:p>
    <w:p w14:paraId="4DAF180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3.本项目所涉及的主要设备必须为同一生产厂家，并提供设备使用安全标志证、试验、检验合格证、防爆合格证等证件。</w:t>
      </w:r>
    </w:p>
    <w:p w14:paraId="08AD9E45">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4.设备到矿后，厂方安排技术人员驻矿进行技术指导服务，负责系统调试及试运行、技术培训等，直至系统稳定运行，矿方人员完全熟练掌握各操作技能，能够独立上岗后方可离开。</w:t>
      </w:r>
    </w:p>
    <w:p w14:paraId="18774A3B">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5.设备保质期为投运后一年，保质期内出现质量问题，必须免费更换、修理，在接到矿方通知后，技术人员能在48小时到矿；保质期外，在接到矿方通知后，技术人员能在72小时到矿。</w:t>
      </w:r>
    </w:p>
    <w:p w14:paraId="3356E3BD">
      <w:pPr>
        <w:pStyle w:val="5"/>
        <w:pageBreakBefore w:val="0"/>
        <w:kinsoku/>
        <w:wordWrap/>
        <w:overflowPunct/>
        <w:topLinePunct w:val="0"/>
        <w:bidi w:val="0"/>
        <w:adjustRightInd/>
        <w:spacing w:line="560" w:lineRule="exac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6.本项目涉及各系统及平台终身免费使用，终身免费升级，如软件有新的性能改进、功能增加或者为适应最新标准所形成的最新版本，及时免费更新使用。</w:t>
      </w:r>
    </w:p>
    <w:p w14:paraId="48023D32">
      <w:pPr>
        <w:pStyle w:val="5"/>
        <w:pageBreakBefore w:val="0"/>
        <w:kinsoku/>
        <w:wordWrap/>
        <w:overflowPunct/>
        <w:topLinePunct w:val="0"/>
        <w:bidi w:val="0"/>
        <w:adjustRightInd/>
        <w:spacing w:line="560" w:lineRule="exact"/>
        <w:textAlignment w:val="auto"/>
        <w:rPr>
          <w:rFonts w:hint="default" w:ascii="宋体" w:hAnsi="宋体" w:eastAsia="宋体" w:cs="宋体"/>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3619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FC90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2FC90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C7A1C"/>
    <w:rsid w:val="362664E5"/>
    <w:rsid w:val="4BF3184B"/>
    <w:rsid w:val="503C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ind w:left="200" w:leftChars="200" w:firstLine="0" w:firstLineChars="0"/>
      <w:outlineLvl w:val="2"/>
    </w:pPr>
    <w:rPr>
      <w:rFonts w:ascii="Times New Roman" w:hAnsi="Times New Roman" w:eastAsia="宋体" w:cs="Times New Roman"/>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autoSpaceDE/>
      <w:autoSpaceDN/>
      <w:spacing w:line="360" w:lineRule="auto"/>
      <w:ind w:firstLine="420"/>
      <w:jc w:val="both"/>
    </w:pPr>
    <w:rPr>
      <w:rFonts w:ascii="Times New Roman" w:hAnsi="Times New Roman" w:cs="Times New Roman"/>
      <w:sz w:val="21"/>
      <w:szCs w:val="20"/>
      <w:lang w:eastAsia="zh-CN"/>
    </w:rPr>
  </w:style>
  <w:style w:type="paragraph" w:styleId="5">
    <w:name w:val="Plain Text"/>
    <w:basedOn w:val="1"/>
    <w:qFormat/>
    <w:uiPriority w:val="99"/>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rPr>
      <w:rFonts w:ascii="Times New Roman" w:hAnsi="Times New Roman" w:eastAsia="宋体" w:cs="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式文本"/>
    <w:basedOn w:val="1"/>
    <w:qFormat/>
    <w:uiPriority w:val="0"/>
    <w:pPr>
      <w:spacing w:line="540" w:lineRule="exact"/>
      <w:ind w:firstLine="200" w:firstLineChars="200"/>
    </w:pPr>
    <w:rPr>
      <w:rFonts w:ascii="宋体" w:hAnsi="Arial Narrow" w:eastAsia="宋体" w:cs="Times New Roman"/>
      <w:sz w:val="28"/>
      <w:szCs w:val="21"/>
    </w:rPr>
  </w:style>
  <w:style w:type="paragraph" w:customStyle="1" w:styleId="12">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5707</Words>
  <Characters>6428</Characters>
  <Lines>0</Lines>
  <Paragraphs>0</Paragraphs>
  <TotalTime>12</TotalTime>
  <ScaleCrop>false</ScaleCrop>
  <LinksUpToDate>false</LinksUpToDate>
  <CharactersWithSpaces>6620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2025-07-28T00:48:00Z</dcterms:created>
  <dc:creator>WPS_1701512848</dc:creator>
  <cp:lastModifiedBy>WPS_1701512848</cp:lastModifiedBy>
  <dcterms:modified xsi:type="dcterms:W3CDTF">2025-07-29T06:23:45Z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782EE27F3D3F4469BF9A25C8DC39CF21_13</vt:lpwstr>
  </property>
  <property fmtid="{D5CDD505-2E9C-101B-9397-08002B2CF9AE}" pid="4" name="KSOTemplateDocerSaveRecord">
    <vt:lpwstr>eyJoZGlkIjoiMDBkNzBiOWNlZTU4MmI2NzVkOWEwZjAzN2JkZWEzZDgiLCJ1c2VySWQiOiIxNTYxOTMwNzU3In0=</vt:lpwstr>
  </property>
</Properties>
</file>