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43975">
      <w:pPr>
        <w:pStyle w:val="12"/>
        <w:ind w:left="0" w:leftChars="0" w:firstLine="0" w:firstLineChars="0"/>
        <w:jc w:val="both"/>
        <w:rPr>
          <w:rFonts w:hint="default" w:ascii="宋体" w:hAnsi="宋体" w:eastAsia="宋体" w:cs="宋体"/>
          <w:b/>
          <w:sz w:val="44"/>
          <w:szCs w:val="18"/>
          <w:highlight w:val="none"/>
          <w:lang w:val="en-US" w:eastAsia="zh-CN"/>
        </w:rPr>
      </w:pPr>
      <w:bookmarkStart w:id="0" w:name="_Toc390078401"/>
      <w:bookmarkStart w:id="1" w:name="_Toc373314696"/>
    </w:p>
    <w:p w14:paraId="2C7B242F">
      <w:pPr>
        <w:pStyle w:val="3"/>
        <w:jc w:val="both"/>
        <w:rPr>
          <w:rFonts w:hint="eastAsia" w:ascii="黑体" w:hAnsi="黑体" w:eastAsia="黑体" w:cs="黑体"/>
          <w:b w:val="0"/>
          <w:bCs/>
          <w:sz w:val="48"/>
          <w:szCs w:val="48"/>
          <w:highlight w:val="none"/>
          <w:lang w:val="en-US" w:eastAsia="zh-CN"/>
        </w:rPr>
      </w:pPr>
    </w:p>
    <w:p w14:paraId="3409E48D">
      <w:pPr>
        <w:keepNext w:val="0"/>
        <w:keepLines w:val="0"/>
        <w:pageBreakBefore w:val="0"/>
        <w:widowControl w:val="0"/>
        <w:kinsoku/>
        <w:wordWrap w:val="0"/>
        <w:overflowPunct/>
        <w:topLinePunct/>
        <w:autoSpaceDE/>
        <w:autoSpaceDN/>
        <w:bidi w:val="0"/>
        <w:adjustRightInd/>
        <w:snapToGrid/>
        <w:ind w:firstLine="1440" w:firstLineChars="300"/>
        <w:textAlignment w:val="auto"/>
        <w:rPr>
          <w:rFonts w:hint="eastAsia" w:ascii="黑体" w:hAnsi="黑体" w:eastAsia="黑体" w:cs="黑体"/>
          <w:b w:val="0"/>
          <w:bCs w:val="0"/>
          <w:sz w:val="48"/>
          <w:szCs w:val="48"/>
        </w:rPr>
      </w:pPr>
      <w:r>
        <w:rPr>
          <w:rFonts w:hint="eastAsia" w:ascii="黑体" w:hAnsi="黑体" w:eastAsia="黑体" w:cs="黑体"/>
          <w:b w:val="0"/>
          <w:bCs w:val="0"/>
          <w:sz w:val="48"/>
          <w:szCs w:val="48"/>
          <w:lang w:val="en-US" w:eastAsia="zh-CN"/>
        </w:rPr>
        <w:t>甘肃医学院附属医院</w:t>
      </w:r>
      <w:bookmarkStart w:id="2" w:name="OLE_LINK1"/>
      <w:r>
        <w:rPr>
          <w:rFonts w:hint="eastAsia" w:ascii="黑体" w:hAnsi="黑体" w:eastAsia="黑体" w:cs="黑体"/>
          <w:b w:val="0"/>
          <w:bCs w:val="0"/>
          <w:sz w:val="48"/>
          <w:szCs w:val="48"/>
        </w:rPr>
        <w:t>后勤物资</w:t>
      </w:r>
    </w:p>
    <w:p w14:paraId="75F37C31">
      <w:pPr>
        <w:keepNext w:val="0"/>
        <w:keepLines w:val="0"/>
        <w:pageBreakBefore w:val="0"/>
        <w:widowControl w:val="0"/>
        <w:kinsoku/>
        <w:wordWrap w:val="0"/>
        <w:overflowPunct/>
        <w:topLinePunct/>
        <w:autoSpaceDE/>
        <w:autoSpaceDN/>
        <w:bidi w:val="0"/>
        <w:adjustRightInd/>
        <w:snapToGrid/>
        <w:ind w:firstLine="2400" w:firstLineChars="500"/>
        <w:textAlignment w:val="auto"/>
        <w:rPr>
          <w:rFonts w:hint="eastAsia" w:ascii="黑体" w:hAnsi="黑体" w:eastAsia="黑体" w:cs="黑体"/>
          <w:b w:val="0"/>
          <w:bCs w:val="0"/>
          <w:sz w:val="48"/>
          <w:szCs w:val="48"/>
          <w:lang w:val="en-US" w:eastAsia="zh-CN"/>
        </w:rPr>
      </w:pPr>
      <w:r>
        <w:rPr>
          <w:rFonts w:hint="eastAsia" w:ascii="黑体" w:hAnsi="黑体" w:eastAsia="黑体" w:cs="黑体"/>
          <w:b w:val="0"/>
          <w:bCs w:val="0"/>
          <w:sz w:val="48"/>
          <w:szCs w:val="48"/>
        </w:rPr>
        <w:t>水暖材料采购项目</w:t>
      </w:r>
    </w:p>
    <w:bookmarkEnd w:id="2"/>
    <w:p w14:paraId="065279CE">
      <w:pPr>
        <w:jc w:val="both"/>
        <w:rPr>
          <w:rFonts w:hint="eastAsia" w:ascii="黑体" w:hAnsi="黑体" w:eastAsia="黑体" w:cs="黑体"/>
          <w:b/>
          <w:sz w:val="48"/>
          <w:szCs w:val="48"/>
          <w:highlight w:val="none"/>
          <w:lang w:eastAsia="zh-CN"/>
        </w:rPr>
      </w:pPr>
    </w:p>
    <w:p w14:paraId="78126339">
      <w:pPr>
        <w:pStyle w:val="3"/>
        <w:spacing w:before="413" w:beforeLines="-2147483648" w:after="120" w:line="240" w:lineRule="auto"/>
        <w:ind w:firstLine="0"/>
        <w:jc w:val="center"/>
        <w:rPr>
          <w:rFonts w:hint="eastAsia" w:ascii="宋体" w:hAnsi="宋体" w:eastAsia="宋体" w:cs="宋体"/>
          <w:sz w:val="72"/>
          <w:szCs w:val="18"/>
          <w:highlight w:val="none"/>
          <w:lang w:eastAsia="zh-CN"/>
        </w:rPr>
      </w:pPr>
      <w:bookmarkStart w:id="3" w:name="_Toc21869"/>
    </w:p>
    <w:p w14:paraId="69722922">
      <w:pPr>
        <w:rPr>
          <w:rFonts w:hint="eastAsia"/>
          <w:lang w:eastAsia="zh-CN"/>
        </w:rPr>
      </w:pPr>
    </w:p>
    <w:p w14:paraId="77C006AB">
      <w:pPr>
        <w:rPr>
          <w:rFonts w:hint="eastAsia"/>
          <w:lang w:eastAsia="zh-CN"/>
        </w:rPr>
      </w:pPr>
    </w:p>
    <w:p w14:paraId="35D42471">
      <w:pPr>
        <w:pStyle w:val="3"/>
        <w:spacing w:before="413" w:beforeLines="-2147483648" w:after="120" w:line="240" w:lineRule="auto"/>
        <w:ind w:firstLine="0"/>
        <w:jc w:val="center"/>
        <w:rPr>
          <w:rFonts w:hint="eastAsia" w:ascii="宋体" w:hAnsi="宋体" w:eastAsia="宋体" w:cs="宋体"/>
          <w:sz w:val="72"/>
          <w:szCs w:val="18"/>
          <w:highlight w:val="none"/>
          <w:lang w:val="en-US" w:eastAsia="zh-CN"/>
        </w:rPr>
      </w:pPr>
      <w:r>
        <w:rPr>
          <w:rFonts w:hint="eastAsia" w:ascii="宋体" w:hAnsi="宋体" w:eastAsia="宋体" w:cs="宋体"/>
          <w:sz w:val="72"/>
          <w:szCs w:val="18"/>
          <w:highlight w:val="none"/>
          <w:lang w:eastAsia="zh-CN"/>
        </w:rPr>
        <w:t>竞争性磋商</w:t>
      </w:r>
      <w:r>
        <w:rPr>
          <w:rFonts w:hint="eastAsia" w:ascii="宋体" w:hAnsi="宋体" w:eastAsia="宋体" w:cs="宋体"/>
          <w:sz w:val="72"/>
          <w:szCs w:val="18"/>
          <w:highlight w:val="none"/>
          <w:lang w:val="en-US" w:eastAsia="zh-CN"/>
        </w:rPr>
        <w:t>文件</w:t>
      </w:r>
      <w:bookmarkEnd w:id="3"/>
    </w:p>
    <w:p w14:paraId="0EB83805">
      <w:pPr>
        <w:pStyle w:val="3"/>
        <w:spacing w:before="413" w:beforeLines="-2147483648" w:after="120" w:line="240" w:lineRule="auto"/>
        <w:ind w:firstLine="0"/>
        <w:jc w:val="center"/>
        <w:rPr>
          <w:rFonts w:hint="default" w:ascii="宋体" w:hAnsi="宋体" w:eastAsia="宋体" w:cs="宋体"/>
          <w:b/>
          <w:sz w:val="32"/>
          <w:szCs w:val="32"/>
          <w:highlight w:val="none"/>
          <w:lang w:val="en-US" w:eastAsia="zh-CN"/>
        </w:rPr>
      </w:pPr>
      <w:bookmarkStart w:id="4" w:name="_Toc2043"/>
      <w:r>
        <w:rPr>
          <w:rFonts w:hint="eastAsia" w:ascii="宋体" w:hAnsi="宋体" w:eastAsia="宋体" w:cs="宋体"/>
          <w:szCs w:val="20"/>
          <w:highlight w:val="none"/>
          <w:lang w:eastAsia="zh-CN"/>
        </w:rPr>
        <w:t>项目编号：</w:t>
      </w:r>
      <w:bookmarkEnd w:id="4"/>
      <w:r>
        <w:rPr>
          <w:rFonts w:hint="eastAsia" w:ascii="宋体" w:hAnsi="宋体" w:cs="宋体"/>
          <w:b/>
          <w:sz w:val="32"/>
          <w:szCs w:val="32"/>
          <w:highlight w:val="none"/>
          <w:lang w:val="en-US" w:eastAsia="zh-CN"/>
        </w:rPr>
        <w:t>CHHK</w:t>
      </w:r>
      <w:r>
        <w:rPr>
          <w:rFonts w:hint="eastAsia" w:ascii="宋体" w:hAnsi="宋体" w:cs="宋体"/>
          <w:b/>
          <w:sz w:val="32"/>
          <w:szCs w:val="32"/>
          <w:highlight w:val="none"/>
        </w:rPr>
        <w:t>-</w:t>
      </w:r>
      <w:r>
        <w:rPr>
          <w:rFonts w:ascii="宋体" w:hAnsi="宋体" w:cs="宋体"/>
          <w:b/>
          <w:sz w:val="32"/>
          <w:szCs w:val="32"/>
          <w:highlight w:val="none"/>
        </w:rPr>
        <w:t>202</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125</w:t>
      </w:r>
    </w:p>
    <w:p w14:paraId="6533E3EE">
      <w:pPr>
        <w:spacing w:before="0" w:line="360" w:lineRule="auto"/>
        <w:ind w:right="0"/>
        <w:jc w:val="left"/>
        <w:rPr>
          <w:rFonts w:hint="eastAsia" w:ascii="宋体" w:hAnsi="宋体" w:eastAsia="宋体" w:cs="宋体"/>
          <w:b/>
          <w:sz w:val="32"/>
          <w:szCs w:val="32"/>
          <w:highlight w:val="none"/>
          <w:lang w:val="en-US" w:eastAsia="zh-CN"/>
        </w:rPr>
      </w:pPr>
    </w:p>
    <w:p w14:paraId="2AB76C0F">
      <w:pPr>
        <w:pStyle w:val="12"/>
        <w:rPr>
          <w:rFonts w:hint="eastAsia" w:ascii="宋体" w:hAnsi="宋体" w:eastAsia="宋体" w:cs="宋体"/>
          <w:lang w:val="en-US" w:eastAsia="zh-CN"/>
        </w:rPr>
      </w:pPr>
    </w:p>
    <w:p w14:paraId="6DF2FC14">
      <w:pPr>
        <w:spacing w:before="0" w:line="360" w:lineRule="auto"/>
        <w:ind w:right="0"/>
        <w:jc w:val="left"/>
        <w:rPr>
          <w:rFonts w:hint="eastAsia" w:ascii="宋体" w:hAnsi="宋体" w:eastAsia="宋体" w:cs="宋体"/>
          <w:b/>
          <w:sz w:val="32"/>
          <w:szCs w:val="32"/>
          <w:highlight w:val="none"/>
          <w:lang w:val="en-US" w:eastAsia="zh-CN"/>
        </w:rPr>
      </w:pPr>
    </w:p>
    <w:p w14:paraId="3A0AA2FD">
      <w:pPr>
        <w:tabs>
          <w:tab w:val="left" w:pos="5233"/>
        </w:tabs>
        <w:spacing w:before="0" w:line="360" w:lineRule="auto"/>
        <w:ind w:right="0"/>
        <w:jc w:val="left"/>
        <w:rPr>
          <w:rFonts w:hint="eastAsia"/>
          <w:lang w:val="en-US" w:eastAsia="zh-CN"/>
        </w:rPr>
      </w:pPr>
      <w:r>
        <w:rPr>
          <w:rFonts w:hint="eastAsia" w:ascii="宋体" w:hAnsi="宋体" w:eastAsia="宋体" w:cs="宋体"/>
          <w:b/>
          <w:sz w:val="32"/>
          <w:szCs w:val="32"/>
          <w:highlight w:val="none"/>
          <w:lang w:val="en-US" w:eastAsia="zh-CN"/>
        </w:rPr>
        <w:tab/>
      </w:r>
    </w:p>
    <w:p w14:paraId="000371D1">
      <w:pPr>
        <w:keepNext w:val="0"/>
        <w:keepLines w:val="0"/>
        <w:pageBreakBefore w:val="0"/>
        <w:widowControl w:val="0"/>
        <w:kinsoku/>
        <w:wordWrap/>
        <w:overflowPunct/>
        <w:topLinePunct w:val="0"/>
        <w:autoSpaceDE/>
        <w:autoSpaceDN/>
        <w:bidi w:val="0"/>
        <w:adjustRightInd/>
        <w:snapToGrid/>
        <w:spacing w:before="0" w:line="360" w:lineRule="auto"/>
        <w:ind w:right="0" w:firstLine="1285" w:firstLineChars="400"/>
        <w:jc w:val="left"/>
        <w:textAlignment w:val="auto"/>
        <w:rPr>
          <w:rFonts w:hint="eastAsia" w:ascii="宋体" w:hAnsi="宋体" w:eastAsia="宋体" w:cs="宋体"/>
          <w:b/>
          <w:sz w:val="32"/>
          <w:szCs w:val="32"/>
          <w:highlight w:val="none"/>
          <w:lang w:val="en-US" w:eastAsia="zh-CN"/>
        </w:rPr>
      </w:pPr>
    </w:p>
    <w:p w14:paraId="5BD4A33F">
      <w:pPr>
        <w:keepNext w:val="0"/>
        <w:keepLines w:val="0"/>
        <w:pageBreakBefore w:val="0"/>
        <w:widowControl w:val="0"/>
        <w:kinsoku/>
        <w:wordWrap/>
        <w:overflowPunct/>
        <w:topLinePunct w:val="0"/>
        <w:autoSpaceDE/>
        <w:autoSpaceDN/>
        <w:bidi w:val="0"/>
        <w:adjustRightInd/>
        <w:snapToGrid/>
        <w:spacing w:before="0" w:line="360" w:lineRule="auto"/>
        <w:ind w:right="0" w:firstLine="1285" w:firstLineChars="400"/>
        <w:jc w:val="left"/>
        <w:textAlignment w:val="auto"/>
        <w:rPr>
          <w:rFonts w:hint="eastAsia" w:ascii="宋体" w:hAnsi="宋体" w:eastAsia="宋体" w:cs="宋体"/>
          <w:b/>
          <w:sz w:val="32"/>
          <w:szCs w:val="32"/>
          <w:highlight w:val="none"/>
          <w:lang w:val="en-US" w:eastAsia="zh-CN"/>
        </w:rPr>
      </w:pPr>
    </w:p>
    <w:p w14:paraId="789D8807">
      <w:pPr>
        <w:keepNext w:val="0"/>
        <w:keepLines w:val="0"/>
        <w:pageBreakBefore w:val="0"/>
        <w:widowControl w:val="0"/>
        <w:kinsoku/>
        <w:wordWrap/>
        <w:overflowPunct/>
        <w:topLinePunct w:val="0"/>
        <w:autoSpaceDE/>
        <w:autoSpaceDN/>
        <w:bidi w:val="0"/>
        <w:adjustRightInd/>
        <w:snapToGrid/>
        <w:spacing w:before="0" w:line="360" w:lineRule="auto"/>
        <w:ind w:right="0" w:firstLine="1285" w:firstLineChars="400"/>
        <w:jc w:val="left"/>
        <w:textAlignment w:val="auto"/>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招</w:t>
      </w: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lang w:val="en-US" w:eastAsia="zh-CN"/>
        </w:rPr>
        <w:t>标</w:t>
      </w: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lang w:val="en-US" w:eastAsia="zh-CN"/>
        </w:rPr>
        <w:t>人：甘肃医学院</w:t>
      </w:r>
      <w:r>
        <w:rPr>
          <w:rFonts w:hint="eastAsia" w:ascii="宋体" w:hAnsi="宋体" w:cs="宋体"/>
          <w:b/>
          <w:sz w:val="32"/>
          <w:szCs w:val="32"/>
          <w:highlight w:val="none"/>
          <w:lang w:val="en-US" w:eastAsia="zh-CN"/>
        </w:rPr>
        <w:t>附属医院</w:t>
      </w:r>
    </w:p>
    <w:p w14:paraId="194943DA">
      <w:pPr>
        <w:keepNext w:val="0"/>
        <w:keepLines w:val="0"/>
        <w:pageBreakBefore w:val="0"/>
        <w:widowControl w:val="0"/>
        <w:kinsoku/>
        <w:wordWrap/>
        <w:overflowPunct/>
        <w:topLinePunct w:val="0"/>
        <w:autoSpaceDE/>
        <w:autoSpaceDN/>
        <w:bidi w:val="0"/>
        <w:adjustRightInd/>
        <w:snapToGrid/>
        <w:spacing w:before="0" w:line="360" w:lineRule="auto"/>
        <w:ind w:right="0" w:firstLine="1285" w:firstLineChars="400"/>
        <w:jc w:val="left"/>
        <w:textAlignment w:val="auto"/>
        <w:rPr>
          <w:rFonts w:hint="eastAsia" w:ascii="宋体" w:hAnsi="宋体" w:eastAsia="宋体" w:cs="宋体"/>
          <w:b/>
          <w:bCs/>
          <w:color w:val="000000"/>
          <w:kern w:val="0"/>
          <w:sz w:val="32"/>
          <w:szCs w:val="32"/>
          <w:lang w:val="en-US" w:eastAsia="zh-CN" w:bidi="ar"/>
        </w:rPr>
      </w:pPr>
      <w:r>
        <w:rPr>
          <w:rFonts w:hint="eastAsia" w:ascii="宋体" w:hAnsi="宋体" w:eastAsia="宋体" w:cs="宋体"/>
          <w:b/>
          <w:sz w:val="32"/>
          <w:szCs w:val="32"/>
          <w:highlight w:val="none"/>
          <w:lang w:val="en-US" w:eastAsia="zh-CN"/>
        </w:rPr>
        <w:t>代理机构：</w:t>
      </w:r>
      <w:r>
        <w:rPr>
          <w:rFonts w:hint="eastAsia" w:ascii="宋体" w:hAnsi="宋体" w:eastAsia="宋体" w:cs="宋体"/>
          <w:b/>
          <w:bCs w:val="0"/>
          <w:sz w:val="32"/>
          <w:szCs w:val="32"/>
          <w:lang w:eastAsia="zh-CN"/>
        </w:rPr>
        <w:t>甘肃创慧惠科建设工程管理有限公司</w:t>
      </w:r>
    </w:p>
    <w:p w14:paraId="67C46F2D">
      <w:pPr>
        <w:pStyle w:val="34"/>
        <w:jc w:val="center"/>
        <w:rPr>
          <w:rFonts w:hint="eastAsia" w:ascii="宋体" w:hAnsi="宋体" w:eastAsia="宋体" w:cs="宋体"/>
          <w:b/>
          <w:sz w:val="40"/>
          <w:szCs w:val="40"/>
          <w:highlight w:val="none"/>
        </w:rPr>
      </w:pPr>
      <w:r>
        <w:rPr>
          <w:rFonts w:hint="eastAsia" w:ascii="宋体" w:hAnsi="宋体" w:cs="宋体"/>
          <w:b/>
          <w:sz w:val="32"/>
          <w:szCs w:val="32"/>
          <w:highlight w:val="none"/>
          <w:lang w:val="en-US" w:eastAsia="zh-CN"/>
        </w:rPr>
        <w:t>二〇二五年八月</w:t>
      </w:r>
    </w:p>
    <w:p w14:paraId="7E03F701">
      <w:pPr>
        <w:ind w:firstLine="3614" w:firstLineChars="900"/>
        <w:rPr>
          <w:rFonts w:hint="eastAsia" w:ascii="宋体" w:hAnsi="宋体" w:eastAsia="宋体" w:cs="宋体"/>
          <w:highlight w:val="none"/>
        </w:rPr>
      </w:pPr>
      <w:r>
        <w:rPr>
          <w:rFonts w:hint="eastAsia" w:ascii="宋体" w:hAnsi="宋体" w:eastAsia="宋体" w:cs="宋体"/>
          <w:b/>
          <w:sz w:val="40"/>
          <w:szCs w:val="40"/>
          <w:highlight w:val="none"/>
        </w:rPr>
        <w:t>目 录</w:t>
      </w:r>
      <w:bookmarkStart w:id="5" w:name="_Toc390084367"/>
      <w:bookmarkStart w:id="6" w:name="_Toc390084907"/>
      <w:bookmarkStart w:id="7" w:name="_Toc390084843"/>
      <w:r>
        <w:rPr>
          <w:rFonts w:hint="eastAsia" w:ascii="宋体" w:hAnsi="宋体" w:eastAsia="宋体" w:cs="宋体"/>
          <w:b w:val="0"/>
          <w:bCs w:val="0"/>
          <w:i w:val="0"/>
          <w:iCs w:val="0"/>
          <w:sz w:val="21"/>
          <w:szCs w:val="21"/>
          <w:highlight w:val="none"/>
        </w:rPr>
        <w:fldChar w:fldCharType="begin"/>
      </w:r>
      <w:r>
        <w:rPr>
          <w:rFonts w:hint="eastAsia" w:ascii="宋体" w:hAnsi="宋体" w:eastAsia="宋体" w:cs="宋体"/>
          <w:b w:val="0"/>
          <w:bCs w:val="0"/>
          <w:i w:val="0"/>
          <w:iCs w:val="0"/>
          <w:sz w:val="21"/>
          <w:szCs w:val="21"/>
          <w:highlight w:val="none"/>
        </w:rPr>
        <w:instrText xml:space="preserve"> TOC \o "1-3" \h \z \u </w:instrText>
      </w:r>
      <w:r>
        <w:rPr>
          <w:rFonts w:hint="eastAsia" w:ascii="宋体" w:hAnsi="宋体" w:eastAsia="宋体" w:cs="宋体"/>
          <w:b w:val="0"/>
          <w:bCs w:val="0"/>
          <w:i w:val="0"/>
          <w:iCs w:val="0"/>
          <w:sz w:val="21"/>
          <w:szCs w:val="21"/>
          <w:highlight w:val="none"/>
        </w:rPr>
        <w:fldChar w:fldCharType="separate"/>
      </w:r>
    </w:p>
    <w:p w14:paraId="52821CF4">
      <w:pPr>
        <w:pStyle w:val="27"/>
        <w:keepNext w:val="0"/>
        <w:keepLines w:val="0"/>
        <w:pageBreakBefore w:val="0"/>
        <w:widowControl w:val="0"/>
        <w:tabs>
          <w:tab w:val="right" w:leader="dot" w:pos="8693"/>
        </w:tabs>
        <w:kinsoku/>
        <w:wordWrap/>
        <w:overflowPunct/>
        <w:topLinePunct w:val="0"/>
        <w:autoSpaceDE/>
        <w:autoSpaceDN/>
        <w:bidi w:val="0"/>
        <w:adjustRightInd/>
        <w:snapToGrid w:val="0"/>
        <w:spacing w:line="440" w:lineRule="exact"/>
        <w:textAlignment w:val="auto"/>
        <w:rPr>
          <w:rFonts w:hint="eastAsia" w:ascii="宋体" w:hAnsi="宋体" w:eastAsia="宋体" w:cs="宋体"/>
          <w:b w:val="0"/>
          <w:bCs/>
          <w:i w:val="0"/>
          <w:iCs w:val="0"/>
          <w:sz w:val="24"/>
          <w:szCs w:val="24"/>
          <w:highlight w:val="none"/>
        </w:rPr>
      </w:pPr>
      <w:r>
        <w:rPr>
          <w:rFonts w:hint="eastAsia" w:ascii="宋体" w:hAnsi="宋体" w:eastAsia="宋体" w:cs="宋体"/>
          <w:b w:val="0"/>
          <w:bCs/>
          <w:i w:val="0"/>
          <w:iCs w:val="0"/>
          <w:sz w:val="24"/>
          <w:szCs w:val="24"/>
          <w:highlight w:val="none"/>
        </w:rPr>
        <w:fldChar w:fldCharType="begin"/>
      </w:r>
      <w:r>
        <w:rPr>
          <w:rFonts w:hint="eastAsia" w:ascii="宋体" w:hAnsi="宋体" w:eastAsia="宋体" w:cs="宋体"/>
          <w:b w:val="0"/>
          <w:bCs/>
          <w:i w:val="0"/>
          <w:iCs w:val="0"/>
          <w:sz w:val="24"/>
          <w:szCs w:val="24"/>
          <w:highlight w:val="none"/>
        </w:rPr>
        <w:instrText xml:space="preserve"> HYPERLINK \l _Toc20844 </w:instrText>
      </w:r>
      <w:r>
        <w:rPr>
          <w:rFonts w:hint="eastAsia" w:ascii="宋体" w:hAnsi="宋体" w:eastAsia="宋体" w:cs="宋体"/>
          <w:b w:val="0"/>
          <w:bCs/>
          <w:i w:val="0"/>
          <w:iCs w:val="0"/>
          <w:sz w:val="24"/>
          <w:szCs w:val="24"/>
          <w:highlight w:val="none"/>
        </w:rPr>
        <w:fldChar w:fldCharType="separate"/>
      </w:r>
      <w:r>
        <w:rPr>
          <w:rFonts w:hint="eastAsia" w:ascii="宋体" w:hAnsi="宋体" w:eastAsia="宋体" w:cs="宋体"/>
          <w:b w:val="0"/>
          <w:bCs/>
          <w:i w:val="0"/>
          <w:iCs w:val="0"/>
          <w:sz w:val="24"/>
          <w:szCs w:val="24"/>
          <w:highlight w:val="none"/>
        </w:rPr>
        <w:t>第一章  竞争性磋商公告</w:t>
      </w:r>
      <w:r>
        <w:rPr>
          <w:rFonts w:hint="eastAsia" w:ascii="宋体" w:hAnsi="宋体" w:eastAsia="宋体" w:cs="宋体"/>
          <w:b w:val="0"/>
          <w:bCs/>
          <w:i w:val="0"/>
          <w:iCs w:val="0"/>
          <w:sz w:val="24"/>
          <w:szCs w:val="24"/>
          <w:highlight w:val="none"/>
        </w:rPr>
        <w:tab/>
      </w:r>
      <w:r>
        <w:rPr>
          <w:rFonts w:hint="eastAsia" w:ascii="宋体" w:hAnsi="宋体" w:cs="宋体"/>
          <w:b w:val="0"/>
          <w:bCs/>
          <w:i w:val="0"/>
          <w:iCs w:val="0"/>
          <w:sz w:val="24"/>
          <w:szCs w:val="24"/>
          <w:highlight w:val="none"/>
          <w:lang w:val="en-US" w:eastAsia="zh-CN"/>
        </w:rPr>
        <w:t>3</w:t>
      </w:r>
      <w:r>
        <w:rPr>
          <w:rFonts w:hint="eastAsia" w:ascii="宋体" w:hAnsi="宋体" w:eastAsia="宋体" w:cs="宋体"/>
          <w:b w:val="0"/>
          <w:bCs/>
          <w:i w:val="0"/>
          <w:iCs w:val="0"/>
          <w:sz w:val="24"/>
          <w:szCs w:val="24"/>
          <w:highlight w:val="none"/>
        </w:rPr>
        <w:fldChar w:fldCharType="end"/>
      </w:r>
    </w:p>
    <w:p w14:paraId="30D1F15C">
      <w:pPr>
        <w:pStyle w:val="27"/>
        <w:keepNext w:val="0"/>
        <w:keepLines w:val="0"/>
        <w:pageBreakBefore w:val="0"/>
        <w:widowControl w:val="0"/>
        <w:tabs>
          <w:tab w:val="right" w:leader="dot" w:pos="8693"/>
        </w:tabs>
        <w:kinsoku/>
        <w:wordWrap/>
        <w:overflowPunct/>
        <w:topLinePunct w:val="0"/>
        <w:autoSpaceDE/>
        <w:autoSpaceDN/>
        <w:bidi w:val="0"/>
        <w:adjustRightInd/>
        <w:snapToGrid w:val="0"/>
        <w:spacing w:line="440" w:lineRule="exact"/>
        <w:textAlignment w:val="auto"/>
        <w:rPr>
          <w:rFonts w:hint="eastAsia" w:ascii="宋体" w:hAnsi="宋体" w:eastAsia="宋体" w:cs="宋体"/>
          <w:b w:val="0"/>
          <w:bCs/>
          <w:i w:val="0"/>
          <w:iCs w:val="0"/>
          <w:sz w:val="24"/>
          <w:szCs w:val="24"/>
          <w:highlight w:val="none"/>
        </w:rPr>
      </w:pPr>
      <w:r>
        <w:rPr>
          <w:rFonts w:hint="eastAsia" w:ascii="宋体" w:hAnsi="宋体" w:eastAsia="宋体" w:cs="宋体"/>
          <w:b w:val="0"/>
          <w:bCs/>
          <w:i w:val="0"/>
          <w:iCs w:val="0"/>
          <w:sz w:val="24"/>
          <w:szCs w:val="24"/>
          <w:highlight w:val="none"/>
        </w:rPr>
        <w:fldChar w:fldCharType="begin"/>
      </w:r>
      <w:r>
        <w:rPr>
          <w:rFonts w:hint="eastAsia" w:ascii="宋体" w:hAnsi="宋体" w:eastAsia="宋体" w:cs="宋体"/>
          <w:b w:val="0"/>
          <w:bCs/>
          <w:i w:val="0"/>
          <w:iCs w:val="0"/>
          <w:sz w:val="24"/>
          <w:szCs w:val="24"/>
          <w:highlight w:val="none"/>
        </w:rPr>
        <w:instrText xml:space="preserve"> HYPERLINK \l _Toc12151 </w:instrText>
      </w:r>
      <w:r>
        <w:rPr>
          <w:rFonts w:hint="eastAsia" w:ascii="宋体" w:hAnsi="宋体" w:eastAsia="宋体" w:cs="宋体"/>
          <w:b w:val="0"/>
          <w:bCs/>
          <w:i w:val="0"/>
          <w:iCs w:val="0"/>
          <w:sz w:val="24"/>
          <w:szCs w:val="24"/>
          <w:highlight w:val="none"/>
        </w:rPr>
        <w:fldChar w:fldCharType="separate"/>
      </w:r>
      <w:r>
        <w:rPr>
          <w:rFonts w:hint="eastAsia" w:ascii="宋体" w:hAnsi="宋体" w:eastAsia="宋体" w:cs="宋体"/>
          <w:b w:val="0"/>
          <w:bCs/>
          <w:i w:val="0"/>
          <w:iCs w:val="0"/>
          <w:sz w:val="24"/>
          <w:szCs w:val="24"/>
          <w:highlight w:val="none"/>
        </w:rPr>
        <w:t>第二章  供应商须知及前附表</w:t>
      </w:r>
      <w:r>
        <w:rPr>
          <w:rFonts w:hint="eastAsia" w:ascii="宋体" w:hAnsi="宋体" w:eastAsia="宋体" w:cs="宋体"/>
          <w:b w:val="0"/>
          <w:bCs/>
          <w:i w:val="0"/>
          <w:iCs w:val="0"/>
          <w:sz w:val="24"/>
          <w:szCs w:val="24"/>
          <w:highlight w:val="none"/>
        </w:rPr>
        <w:tab/>
      </w:r>
      <w:r>
        <w:rPr>
          <w:rFonts w:hint="eastAsia" w:ascii="宋体" w:hAnsi="宋体" w:cs="宋体"/>
          <w:b w:val="0"/>
          <w:bCs/>
          <w:i w:val="0"/>
          <w:iCs w:val="0"/>
          <w:sz w:val="24"/>
          <w:szCs w:val="24"/>
          <w:highlight w:val="none"/>
          <w:lang w:val="en-US" w:eastAsia="zh-CN"/>
        </w:rPr>
        <w:t>7</w:t>
      </w:r>
      <w:r>
        <w:rPr>
          <w:rFonts w:hint="eastAsia" w:ascii="宋体" w:hAnsi="宋体" w:eastAsia="宋体" w:cs="宋体"/>
          <w:b w:val="0"/>
          <w:bCs/>
          <w:i w:val="0"/>
          <w:iCs w:val="0"/>
          <w:sz w:val="24"/>
          <w:szCs w:val="24"/>
          <w:highlight w:val="none"/>
        </w:rPr>
        <w:fldChar w:fldCharType="end"/>
      </w:r>
    </w:p>
    <w:p w14:paraId="261CD325">
      <w:pPr>
        <w:pStyle w:val="27"/>
        <w:keepNext w:val="0"/>
        <w:keepLines w:val="0"/>
        <w:pageBreakBefore w:val="0"/>
        <w:widowControl w:val="0"/>
        <w:tabs>
          <w:tab w:val="right" w:leader="dot" w:pos="8693"/>
        </w:tabs>
        <w:kinsoku/>
        <w:wordWrap/>
        <w:overflowPunct/>
        <w:topLinePunct w:val="0"/>
        <w:autoSpaceDE/>
        <w:autoSpaceDN/>
        <w:bidi w:val="0"/>
        <w:adjustRightInd/>
        <w:snapToGrid w:val="0"/>
        <w:spacing w:line="440" w:lineRule="exact"/>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rPr>
        <w:fldChar w:fldCharType="begin"/>
      </w:r>
      <w:r>
        <w:rPr>
          <w:rFonts w:hint="eastAsia" w:ascii="宋体" w:hAnsi="宋体" w:eastAsia="宋体" w:cs="宋体"/>
          <w:b w:val="0"/>
          <w:bCs/>
          <w:i w:val="0"/>
          <w:iCs w:val="0"/>
          <w:sz w:val="24"/>
          <w:szCs w:val="24"/>
          <w:highlight w:val="none"/>
        </w:rPr>
        <w:instrText xml:space="preserve"> HYPERLINK \l _Toc7771 </w:instrText>
      </w:r>
      <w:r>
        <w:rPr>
          <w:rFonts w:hint="eastAsia" w:ascii="宋体" w:hAnsi="宋体" w:eastAsia="宋体" w:cs="宋体"/>
          <w:b w:val="0"/>
          <w:bCs/>
          <w:i w:val="0"/>
          <w:iCs w:val="0"/>
          <w:sz w:val="24"/>
          <w:szCs w:val="24"/>
          <w:highlight w:val="none"/>
        </w:rPr>
        <w:fldChar w:fldCharType="separate"/>
      </w:r>
      <w:r>
        <w:rPr>
          <w:rFonts w:hint="eastAsia" w:ascii="宋体" w:hAnsi="宋体" w:eastAsia="宋体" w:cs="宋体"/>
          <w:b w:val="0"/>
          <w:bCs/>
          <w:i w:val="0"/>
          <w:iCs w:val="0"/>
          <w:sz w:val="24"/>
          <w:szCs w:val="24"/>
          <w:highlight w:val="none"/>
        </w:rPr>
        <w:t xml:space="preserve">第三章  </w:t>
      </w:r>
      <w:r>
        <w:rPr>
          <w:rFonts w:hint="eastAsia" w:ascii="宋体" w:hAnsi="宋体" w:eastAsia="宋体" w:cs="宋体"/>
          <w:b w:val="0"/>
          <w:bCs/>
          <w:i w:val="0"/>
          <w:iCs w:val="0"/>
          <w:sz w:val="24"/>
          <w:szCs w:val="24"/>
          <w:highlight w:val="none"/>
          <w:lang w:eastAsia="zh-CN"/>
        </w:rPr>
        <w:t>招标</w:t>
      </w:r>
      <w:r>
        <w:rPr>
          <w:rFonts w:hint="eastAsia" w:ascii="宋体" w:hAnsi="宋体" w:eastAsia="宋体" w:cs="宋体"/>
          <w:b w:val="0"/>
          <w:bCs/>
          <w:i w:val="0"/>
          <w:iCs w:val="0"/>
          <w:sz w:val="24"/>
          <w:szCs w:val="24"/>
          <w:highlight w:val="none"/>
        </w:rPr>
        <w:t>内容</w:t>
      </w:r>
      <w:r>
        <w:rPr>
          <w:rFonts w:hint="eastAsia" w:ascii="宋体" w:hAnsi="宋体" w:eastAsia="宋体" w:cs="宋体"/>
          <w:b w:val="0"/>
          <w:bCs/>
          <w:i w:val="0"/>
          <w:iCs w:val="0"/>
          <w:sz w:val="24"/>
          <w:szCs w:val="24"/>
          <w:highlight w:val="none"/>
        </w:rPr>
        <w:tab/>
      </w:r>
      <w:r>
        <w:rPr>
          <w:rFonts w:hint="eastAsia" w:ascii="宋体" w:hAnsi="宋体" w:cs="宋体"/>
          <w:b w:val="0"/>
          <w:bCs/>
          <w:i w:val="0"/>
          <w:iCs w:val="0"/>
          <w:sz w:val="24"/>
          <w:szCs w:val="24"/>
          <w:highlight w:val="none"/>
          <w:lang w:val="en-US" w:eastAsia="zh-CN"/>
        </w:rPr>
        <w:t>3</w:t>
      </w:r>
      <w:r>
        <w:rPr>
          <w:rFonts w:hint="eastAsia" w:ascii="宋体" w:hAnsi="宋体" w:eastAsia="宋体" w:cs="宋体"/>
          <w:b w:val="0"/>
          <w:bCs/>
          <w:i w:val="0"/>
          <w:iCs w:val="0"/>
          <w:sz w:val="24"/>
          <w:szCs w:val="24"/>
          <w:highlight w:val="none"/>
        </w:rPr>
        <w:fldChar w:fldCharType="end"/>
      </w:r>
      <w:r>
        <w:rPr>
          <w:rFonts w:hint="eastAsia" w:ascii="宋体" w:hAnsi="宋体" w:cs="宋体"/>
          <w:b w:val="0"/>
          <w:bCs/>
          <w:i w:val="0"/>
          <w:iCs w:val="0"/>
          <w:sz w:val="24"/>
          <w:szCs w:val="24"/>
          <w:highlight w:val="none"/>
          <w:lang w:val="en-US" w:eastAsia="zh-CN"/>
        </w:rPr>
        <w:t>3</w:t>
      </w:r>
    </w:p>
    <w:p w14:paraId="2C624045">
      <w:pPr>
        <w:pStyle w:val="27"/>
        <w:keepNext w:val="0"/>
        <w:keepLines w:val="0"/>
        <w:pageBreakBefore w:val="0"/>
        <w:widowControl w:val="0"/>
        <w:tabs>
          <w:tab w:val="right" w:leader="dot" w:pos="8693"/>
        </w:tabs>
        <w:kinsoku/>
        <w:wordWrap/>
        <w:overflowPunct/>
        <w:topLinePunct w:val="0"/>
        <w:autoSpaceDE/>
        <w:autoSpaceDN/>
        <w:bidi w:val="0"/>
        <w:adjustRightInd/>
        <w:snapToGrid w:val="0"/>
        <w:spacing w:line="440" w:lineRule="exact"/>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rPr>
        <w:fldChar w:fldCharType="begin"/>
      </w:r>
      <w:r>
        <w:rPr>
          <w:rFonts w:hint="eastAsia" w:ascii="宋体" w:hAnsi="宋体" w:eastAsia="宋体" w:cs="宋体"/>
          <w:b w:val="0"/>
          <w:bCs/>
          <w:i w:val="0"/>
          <w:iCs w:val="0"/>
          <w:sz w:val="24"/>
          <w:szCs w:val="24"/>
          <w:highlight w:val="none"/>
        </w:rPr>
        <w:instrText xml:space="preserve"> HYPERLINK \l _Toc29406 </w:instrText>
      </w:r>
      <w:r>
        <w:rPr>
          <w:rFonts w:hint="eastAsia" w:ascii="宋体" w:hAnsi="宋体" w:eastAsia="宋体" w:cs="宋体"/>
          <w:b w:val="0"/>
          <w:bCs/>
          <w:i w:val="0"/>
          <w:iCs w:val="0"/>
          <w:sz w:val="24"/>
          <w:szCs w:val="24"/>
          <w:highlight w:val="none"/>
        </w:rPr>
        <w:fldChar w:fldCharType="separate"/>
      </w:r>
      <w:r>
        <w:rPr>
          <w:rFonts w:hint="eastAsia" w:ascii="宋体" w:hAnsi="宋体" w:eastAsia="宋体" w:cs="宋体"/>
          <w:b w:val="0"/>
          <w:bCs/>
          <w:i w:val="0"/>
          <w:iCs w:val="0"/>
          <w:sz w:val="24"/>
          <w:szCs w:val="24"/>
          <w:highlight w:val="none"/>
        </w:rPr>
        <w:t>第四章  合同条款及合同格式</w:t>
      </w:r>
      <w:r>
        <w:rPr>
          <w:rFonts w:hint="eastAsia" w:ascii="宋体" w:hAnsi="宋体" w:eastAsia="宋体" w:cs="宋体"/>
          <w:b w:val="0"/>
          <w:bCs/>
          <w:i w:val="0"/>
          <w:iCs w:val="0"/>
          <w:sz w:val="24"/>
          <w:szCs w:val="24"/>
          <w:highlight w:val="none"/>
        </w:rPr>
        <w:tab/>
      </w:r>
      <w:r>
        <w:rPr>
          <w:rFonts w:hint="eastAsia" w:ascii="宋体" w:hAnsi="宋体" w:cs="宋体"/>
          <w:b w:val="0"/>
          <w:bCs/>
          <w:i w:val="0"/>
          <w:iCs w:val="0"/>
          <w:sz w:val="24"/>
          <w:szCs w:val="24"/>
          <w:highlight w:val="none"/>
          <w:lang w:val="en-US" w:eastAsia="zh-CN"/>
        </w:rPr>
        <w:t>3</w:t>
      </w:r>
      <w:r>
        <w:rPr>
          <w:rFonts w:hint="eastAsia" w:ascii="宋体" w:hAnsi="宋体" w:eastAsia="宋体" w:cs="宋体"/>
          <w:b w:val="0"/>
          <w:bCs/>
          <w:i w:val="0"/>
          <w:iCs w:val="0"/>
          <w:sz w:val="24"/>
          <w:szCs w:val="24"/>
          <w:highlight w:val="none"/>
        </w:rPr>
        <w:fldChar w:fldCharType="end"/>
      </w:r>
      <w:r>
        <w:rPr>
          <w:rFonts w:hint="eastAsia" w:ascii="宋体" w:hAnsi="宋体" w:cs="宋体"/>
          <w:b w:val="0"/>
          <w:bCs/>
          <w:i w:val="0"/>
          <w:iCs w:val="0"/>
          <w:sz w:val="24"/>
          <w:szCs w:val="24"/>
          <w:highlight w:val="none"/>
          <w:lang w:val="en-US" w:eastAsia="zh-CN"/>
        </w:rPr>
        <w:t>7</w:t>
      </w:r>
    </w:p>
    <w:p w14:paraId="57084D6D">
      <w:pPr>
        <w:pStyle w:val="27"/>
        <w:keepNext w:val="0"/>
        <w:keepLines w:val="0"/>
        <w:pageBreakBefore w:val="0"/>
        <w:widowControl w:val="0"/>
        <w:tabs>
          <w:tab w:val="right" w:leader="dot" w:pos="8693"/>
        </w:tabs>
        <w:kinsoku/>
        <w:wordWrap/>
        <w:overflowPunct/>
        <w:topLinePunct w:val="0"/>
        <w:autoSpaceDE/>
        <w:autoSpaceDN/>
        <w:bidi w:val="0"/>
        <w:adjustRightInd/>
        <w:snapToGrid w:val="0"/>
        <w:spacing w:line="440" w:lineRule="exact"/>
        <w:textAlignment w:val="auto"/>
        <w:rPr>
          <w:rFonts w:hint="eastAsia" w:ascii="宋体" w:hAnsi="宋体" w:eastAsia="宋体" w:cs="宋体"/>
          <w:b w:val="0"/>
          <w:bCs/>
          <w:i w:val="0"/>
          <w:iCs w:val="0"/>
          <w:sz w:val="24"/>
          <w:szCs w:val="24"/>
          <w:highlight w:val="none"/>
        </w:rPr>
      </w:pPr>
      <w:r>
        <w:rPr>
          <w:rFonts w:hint="eastAsia" w:ascii="宋体" w:hAnsi="宋体" w:eastAsia="宋体" w:cs="宋体"/>
          <w:b w:val="0"/>
          <w:bCs/>
          <w:i w:val="0"/>
          <w:iCs w:val="0"/>
          <w:sz w:val="24"/>
          <w:szCs w:val="24"/>
          <w:highlight w:val="none"/>
        </w:rPr>
        <w:fldChar w:fldCharType="begin"/>
      </w:r>
      <w:r>
        <w:rPr>
          <w:rFonts w:hint="eastAsia" w:ascii="宋体" w:hAnsi="宋体" w:eastAsia="宋体" w:cs="宋体"/>
          <w:b w:val="0"/>
          <w:bCs/>
          <w:i w:val="0"/>
          <w:iCs w:val="0"/>
          <w:sz w:val="24"/>
          <w:szCs w:val="24"/>
          <w:highlight w:val="none"/>
        </w:rPr>
        <w:instrText xml:space="preserve"> HYPERLINK \l _Toc17232 </w:instrText>
      </w:r>
      <w:r>
        <w:rPr>
          <w:rFonts w:hint="eastAsia" w:ascii="宋体" w:hAnsi="宋体" w:eastAsia="宋体" w:cs="宋体"/>
          <w:b w:val="0"/>
          <w:bCs/>
          <w:i w:val="0"/>
          <w:iCs w:val="0"/>
          <w:sz w:val="24"/>
          <w:szCs w:val="24"/>
          <w:highlight w:val="none"/>
        </w:rPr>
        <w:fldChar w:fldCharType="separate"/>
      </w:r>
      <w:r>
        <w:rPr>
          <w:rFonts w:hint="eastAsia" w:ascii="宋体" w:hAnsi="宋体" w:eastAsia="宋体" w:cs="宋体"/>
          <w:b w:val="0"/>
          <w:bCs/>
          <w:i w:val="0"/>
          <w:iCs w:val="0"/>
          <w:sz w:val="24"/>
          <w:szCs w:val="24"/>
          <w:highlight w:val="none"/>
        </w:rPr>
        <w:t>第五章  磋商响应性文件格式</w:t>
      </w:r>
      <w:r>
        <w:rPr>
          <w:rFonts w:hint="eastAsia" w:ascii="宋体" w:hAnsi="宋体" w:eastAsia="宋体" w:cs="宋体"/>
          <w:b w:val="0"/>
          <w:bCs/>
          <w:i w:val="0"/>
          <w:iCs w:val="0"/>
          <w:sz w:val="24"/>
          <w:szCs w:val="24"/>
          <w:highlight w:val="none"/>
        </w:rPr>
        <w:tab/>
      </w:r>
      <w:r>
        <w:rPr>
          <w:rFonts w:hint="eastAsia" w:ascii="宋体" w:hAnsi="宋体" w:eastAsia="宋体" w:cs="宋体"/>
          <w:b w:val="0"/>
          <w:bCs/>
          <w:i w:val="0"/>
          <w:iCs w:val="0"/>
          <w:sz w:val="24"/>
          <w:szCs w:val="24"/>
          <w:highlight w:val="none"/>
        </w:rPr>
        <w:fldChar w:fldCharType="begin"/>
      </w:r>
      <w:r>
        <w:rPr>
          <w:rFonts w:hint="eastAsia" w:ascii="宋体" w:hAnsi="宋体" w:eastAsia="宋体" w:cs="宋体"/>
          <w:b w:val="0"/>
          <w:bCs/>
          <w:i w:val="0"/>
          <w:iCs w:val="0"/>
          <w:sz w:val="24"/>
          <w:szCs w:val="24"/>
          <w:highlight w:val="none"/>
        </w:rPr>
        <w:instrText xml:space="preserve"> PAGEREF _Toc17232 \h </w:instrText>
      </w:r>
      <w:r>
        <w:rPr>
          <w:rFonts w:hint="eastAsia" w:ascii="宋体" w:hAnsi="宋体" w:eastAsia="宋体" w:cs="宋体"/>
          <w:b w:val="0"/>
          <w:bCs/>
          <w:i w:val="0"/>
          <w:iCs w:val="0"/>
          <w:sz w:val="24"/>
          <w:szCs w:val="24"/>
          <w:highlight w:val="none"/>
        </w:rPr>
        <w:fldChar w:fldCharType="separate"/>
      </w:r>
      <w:r>
        <w:rPr>
          <w:rFonts w:hint="eastAsia" w:ascii="宋体" w:hAnsi="宋体" w:eastAsia="宋体" w:cs="宋体"/>
          <w:b w:val="0"/>
          <w:bCs/>
          <w:i w:val="0"/>
          <w:iCs w:val="0"/>
          <w:sz w:val="24"/>
          <w:szCs w:val="24"/>
          <w:highlight w:val="none"/>
        </w:rPr>
        <w:t>43</w:t>
      </w:r>
      <w:r>
        <w:rPr>
          <w:rFonts w:hint="eastAsia" w:ascii="宋体" w:hAnsi="宋体" w:eastAsia="宋体" w:cs="宋体"/>
          <w:b w:val="0"/>
          <w:bCs/>
          <w:i w:val="0"/>
          <w:iCs w:val="0"/>
          <w:sz w:val="24"/>
          <w:szCs w:val="24"/>
          <w:highlight w:val="none"/>
        </w:rPr>
        <w:fldChar w:fldCharType="end"/>
      </w:r>
      <w:r>
        <w:rPr>
          <w:rFonts w:hint="eastAsia" w:ascii="宋体" w:hAnsi="宋体" w:eastAsia="宋体" w:cs="宋体"/>
          <w:b w:val="0"/>
          <w:bCs/>
          <w:i w:val="0"/>
          <w:iCs w:val="0"/>
          <w:sz w:val="24"/>
          <w:szCs w:val="24"/>
          <w:highlight w:val="none"/>
        </w:rPr>
        <w:fldChar w:fldCharType="end"/>
      </w:r>
    </w:p>
    <w:p w14:paraId="05D379A4">
      <w:pPr>
        <w:pStyle w:val="32"/>
        <w:keepNext w:val="0"/>
        <w:keepLines w:val="0"/>
        <w:pageBreakBefore w:val="0"/>
        <w:widowControl w:val="0"/>
        <w:tabs>
          <w:tab w:val="right" w:leader="dot" w:pos="8693"/>
        </w:tabs>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Cs w:val="0"/>
          <w:i w:val="0"/>
          <w:iCs w:val="0"/>
          <w:szCs w:val="21"/>
          <w:highlight w:val="none"/>
        </w:rPr>
      </w:pPr>
      <w:r>
        <w:rPr>
          <w:rFonts w:hint="eastAsia" w:ascii="宋体" w:hAnsi="宋体" w:eastAsia="宋体" w:cs="宋体"/>
          <w:bCs w:val="0"/>
          <w:i w:val="0"/>
          <w:iCs w:val="0"/>
          <w:szCs w:val="21"/>
          <w:highlight w:val="none"/>
        </w:rPr>
        <w:fldChar w:fldCharType="end"/>
      </w:r>
      <w:bookmarkStart w:id="8" w:name="_Toc20844"/>
    </w:p>
    <w:p w14:paraId="5C326622">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55C051CE">
      <w:pPr>
        <w:jc w:val="center"/>
        <w:rPr>
          <w:rStyle w:val="69"/>
          <w:rFonts w:hint="eastAsia" w:ascii="宋体" w:hAnsi="宋体" w:eastAsia="宋体" w:cs="宋体"/>
          <w:sz w:val="44"/>
          <w:szCs w:val="44"/>
          <w:highlight w:val="none"/>
        </w:rPr>
      </w:pPr>
      <w:r>
        <w:rPr>
          <w:rStyle w:val="69"/>
          <w:rFonts w:hint="eastAsia" w:ascii="宋体" w:hAnsi="宋体" w:eastAsia="宋体" w:cs="宋体"/>
          <w:sz w:val="44"/>
          <w:szCs w:val="44"/>
          <w:highlight w:val="none"/>
        </w:rPr>
        <w:t>第一章  竞争性磋商公告</w:t>
      </w:r>
      <w:bookmarkEnd w:id="0"/>
      <w:bookmarkEnd w:id="5"/>
      <w:bookmarkEnd w:id="6"/>
      <w:bookmarkEnd w:id="7"/>
      <w:bookmarkEnd w:id="8"/>
      <w:bookmarkStart w:id="9" w:name="_Toc28359001"/>
      <w:bookmarkStart w:id="10" w:name="_Toc35393789"/>
      <w:bookmarkStart w:id="11" w:name="_Toc390084844"/>
      <w:bookmarkStart w:id="12" w:name="_Toc390078402"/>
      <w:bookmarkStart w:id="13" w:name="_Toc389731516"/>
      <w:bookmarkStart w:id="14" w:name="_Toc390084908"/>
      <w:bookmarkStart w:id="15" w:name="_Toc390084368"/>
    </w:p>
    <w:bookmarkEnd w:id="9"/>
    <w:bookmarkEnd w:id="10"/>
    <w:p w14:paraId="58266487">
      <w:pPr>
        <w:spacing w:line="560" w:lineRule="exact"/>
        <w:jc w:val="center"/>
        <w:rPr>
          <w:rFonts w:hint="eastAsia" w:ascii="黑体" w:hAnsi="黑体" w:eastAsia="黑体" w:cs="黑体"/>
          <w:sz w:val="32"/>
          <w:szCs w:val="32"/>
          <w:lang w:val="en-US" w:eastAsia="zh-CN"/>
        </w:rPr>
      </w:pPr>
      <w:bookmarkStart w:id="16" w:name="_Toc35393621"/>
      <w:bookmarkStart w:id="17" w:name="_Toc28359002"/>
      <w:bookmarkStart w:id="18" w:name="_Toc28359079"/>
      <w:bookmarkStart w:id="19" w:name="_Toc35393790"/>
      <w:bookmarkStart w:id="20" w:name="_Toc12151"/>
      <w:r>
        <w:rPr>
          <w:rFonts w:hint="eastAsia" w:ascii="黑体" w:hAnsi="黑体" w:eastAsia="黑体" w:cs="黑体"/>
          <w:sz w:val="32"/>
          <w:szCs w:val="32"/>
          <w:lang w:val="en-US" w:eastAsia="zh-CN"/>
        </w:rPr>
        <w:t>甘肃医学院附属医院</w:t>
      </w:r>
      <w:r>
        <w:rPr>
          <w:rFonts w:hint="eastAsia" w:ascii="黑体" w:hAnsi="黑体" w:eastAsia="黑体" w:cs="黑体"/>
          <w:sz w:val="32"/>
          <w:szCs w:val="32"/>
        </w:rPr>
        <w:t>后勤物资水暖材料采购项目</w:t>
      </w:r>
    </w:p>
    <w:p w14:paraId="6B9565B2">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竞争性磋商公告</w:t>
      </w:r>
    </w:p>
    <w:p w14:paraId="15400763">
      <w:pPr>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甘肃医学院附属医院后勤物资水暖材料采购项目的潜在供应商应在甘肃创慧惠科建设工程管理有限公司获取采购文件，并于202</w:t>
      </w:r>
      <w:r>
        <w:rPr>
          <w:rFonts w:hint="eastAsia" w:ascii="宋体" w:hAnsi="宋体" w:cs="宋体"/>
          <w:color w:val="auto"/>
          <w:kern w:val="2"/>
          <w:sz w:val="24"/>
          <w:szCs w:val="24"/>
          <w:highlight w:val="none"/>
          <w:u w:val="none"/>
          <w:lang w:val="en-US" w:eastAsia="zh-CN" w:bidi="ar-SA"/>
        </w:rPr>
        <w:t>5</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cs="宋体"/>
          <w:color w:val="auto"/>
          <w:kern w:val="2"/>
          <w:sz w:val="24"/>
          <w:szCs w:val="24"/>
          <w:highlight w:val="none"/>
          <w:u w:val="none"/>
          <w:lang w:val="en-US" w:eastAsia="zh-CN" w:bidi="ar-SA"/>
        </w:rPr>
        <w:t>8</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cs="宋体"/>
          <w:color w:val="auto"/>
          <w:kern w:val="2"/>
          <w:sz w:val="24"/>
          <w:szCs w:val="24"/>
          <w:highlight w:val="none"/>
          <w:u w:val="none"/>
          <w:lang w:val="en-US" w:eastAsia="zh-CN" w:bidi="ar-SA"/>
        </w:rPr>
        <w:t>15</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cs="宋体"/>
          <w:color w:val="auto"/>
          <w:kern w:val="2"/>
          <w:sz w:val="24"/>
          <w:szCs w:val="24"/>
          <w:highlight w:val="none"/>
          <w:u w:val="none"/>
          <w:lang w:val="en-US" w:eastAsia="zh-CN" w:bidi="ar-SA"/>
        </w:rPr>
        <w:t>9</w:t>
      </w:r>
      <w:r>
        <w:rPr>
          <w:rFonts w:hint="eastAsia" w:ascii="宋体" w:hAnsi="宋体" w:eastAsia="宋体" w:cs="宋体"/>
          <w:color w:val="auto"/>
          <w:kern w:val="2"/>
          <w:sz w:val="24"/>
          <w:szCs w:val="24"/>
          <w:highlight w:val="none"/>
          <w:u w:val="none"/>
          <w:lang w:val="en-US" w:eastAsia="zh-CN" w:bidi="ar-SA"/>
        </w:rPr>
        <w:t>点</w:t>
      </w:r>
      <w:r>
        <w:rPr>
          <w:rFonts w:hint="eastAsia" w:ascii="宋体" w:hAnsi="宋体" w:cs="宋体"/>
          <w:color w:val="auto"/>
          <w:kern w:val="2"/>
          <w:sz w:val="24"/>
          <w:szCs w:val="24"/>
          <w:highlight w:val="none"/>
          <w:u w:val="none"/>
          <w:lang w:val="en-US" w:eastAsia="zh-CN" w:bidi="ar-SA"/>
        </w:rPr>
        <w:t>10</w:t>
      </w:r>
      <w:r>
        <w:rPr>
          <w:rFonts w:hint="eastAsia" w:ascii="宋体" w:hAnsi="宋体" w:eastAsia="宋体" w:cs="宋体"/>
          <w:color w:val="auto"/>
          <w:kern w:val="2"/>
          <w:sz w:val="24"/>
          <w:szCs w:val="24"/>
          <w:highlight w:val="none"/>
          <w:u w:val="none"/>
          <w:lang w:val="en-US" w:eastAsia="zh-CN" w:bidi="ar-SA"/>
        </w:rPr>
        <w:t>分（北京时间）前提交响应文件。</w:t>
      </w:r>
    </w:p>
    <w:p w14:paraId="1430930F">
      <w:pPr>
        <w:numPr>
          <w:ilvl w:val="0"/>
          <w:numId w:val="2"/>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项目基本情况</w:t>
      </w:r>
      <w:bookmarkEnd w:id="16"/>
      <w:bookmarkEnd w:id="17"/>
      <w:bookmarkEnd w:id="18"/>
      <w:bookmarkEnd w:id="19"/>
    </w:p>
    <w:p w14:paraId="61950730">
      <w:pPr>
        <w:spacing w:line="560" w:lineRule="exact"/>
        <w:ind w:firstLine="480" w:firstLineChars="200"/>
        <w:rPr>
          <w:rFonts w:hint="default" w:ascii="宋体" w:hAnsi="宋体" w:cs="宋体"/>
          <w:bCs/>
          <w:kern w:val="0"/>
          <w:sz w:val="24"/>
          <w:szCs w:val="24"/>
          <w:highlight w:val="yellow"/>
          <w:shd w:val="clear" w:color="auto" w:fill="FFFFFF"/>
          <w:lang w:val="en-US" w:eastAsia="zh-CN" w:bidi="ar"/>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CHHK</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cs="宋体"/>
          <w:sz w:val="24"/>
          <w:szCs w:val="24"/>
          <w:lang w:val="en-US" w:eastAsia="zh-CN"/>
        </w:rPr>
        <w:t>5</w:t>
      </w:r>
    </w:p>
    <w:p w14:paraId="1CC505A7">
      <w:pPr>
        <w:pStyle w:val="109"/>
        <w:spacing w:line="560" w:lineRule="exact"/>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甘肃医学院附属医院</w:t>
      </w:r>
      <w:r>
        <w:rPr>
          <w:rFonts w:hint="eastAsia" w:ascii="宋体" w:hAnsi="宋体" w:eastAsia="宋体" w:cs="宋体"/>
          <w:sz w:val="24"/>
          <w:szCs w:val="24"/>
        </w:rPr>
        <w:t>后勤物资水暖材料采购项目</w:t>
      </w:r>
    </w:p>
    <w:p w14:paraId="700CF57E">
      <w:pPr>
        <w:pStyle w:val="109"/>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采购方式：□竞争性谈判 </w:t>
      </w:r>
      <w:r>
        <w:rPr>
          <w:rFonts w:hint="eastAsia" w:ascii="宋体" w:hAnsi="宋体" w:eastAsia="宋体" w:cs="宋体"/>
          <w:sz w:val="24"/>
          <w:szCs w:val="24"/>
          <w:lang w:eastAsia="zh-CN"/>
        </w:rPr>
        <w:t>☑</w:t>
      </w:r>
      <w:r>
        <w:rPr>
          <w:rFonts w:hint="eastAsia" w:ascii="宋体" w:hAnsi="宋体" w:eastAsia="宋体" w:cs="宋体"/>
          <w:sz w:val="24"/>
          <w:szCs w:val="24"/>
        </w:rPr>
        <w:t>竞争性磋商 □询价</w:t>
      </w:r>
    </w:p>
    <w:p w14:paraId="5A61EB2B">
      <w:pPr>
        <w:pStyle w:val="109"/>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预算金额：</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万元</w:t>
      </w:r>
    </w:p>
    <w:p w14:paraId="29D2071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最高限价：</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万元（投标人报价不得高于此限价，否则视为无效投标）。</w:t>
      </w:r>
    </w:p>
    <w:p w14:paraId="77E14A1D">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内容</w:t>
      </w:r>
      <w:r>
        <w:rPr>
          <w:rFonts w:hint="eastAsia" w:ascii="宋体" w:hAnsi="宋体" w:cs="宋体"/>
          <w:sz w:val="24"/>
          <w:szCs w:val="24"/>
          <w:lang w:val="en-US" w:eastAsia="zh-CN"/>
        </w:rPr>
        <w:t>：</w:t>
      </w:r>
    </w:p>
    <w:p w14:paraId="1644AEF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后勤物资水暖材料采购</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具体内容</w:t>
      </w:r>
      <w:r>
        <w:rPr>
          <w:rFonts w:hint="eastAsia" w:ascii="宋体" w:hAnsi="宋体" w:eastAsia="宋体" w:cs="宋体"/>
          <w:kern w:val="2"/>
          <w:sz w:val="24"/>
          <w:szCs w:val="24"/>
          <w:lang w:val="en-US" w:eastAsia="zh-CN" w:bidi="ar-SA"/>
        </w:rPr>
        <w:t>详见磋商文件第三章）</w:t>
      </w:r>
    </w:p>
    <w:p w14:paraId="722C343A">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合同履行期限：供货期1年，自合同签订之日起计算。</w:t>
      </w:r>
    </w:p>
    <w:p w14:paraId="650547F3">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二、申请人的资格要求：</w:t>
      </w:r>
    </w:p>
    <w:p w14:paraId="3CFAC167">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4A6930FA">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（1）具有独立承担民事责任的能力（须提供有效的营业执照、组织机构代码证、税务登记证（三证合一只需提供营业执照副本）；</w:t>
      </w:r>
    </w:p>
    <w:p w14:paraId="5F631B99">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须提供近18个月内完整的财务审计报告或开户银行出具的资信证明文件，注册不足1年的以营业执照实际成立期限为准，并按实际成立期限之日起提供财务报表）；</w:t>
      </w:r>
    </w:p>
    <w:p w14:paraId="3CDB1283">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（3）具有履行合同所必需的设备和专业技术能力（需提交企业声明函原件）；</w:t>
      </w:r>
    </w:p>
    <w:p w14:paraId="18F2D147">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（4）有依法缴纳税收和社会保障资金的良好记录（须提供近6个月内任意1个月的纳税凭证和缴纳社会保险凭证的证明资料</w:t>
      </w:r>
      <w:r>
        <w:rPr>
          <w:rFonts w:hint="eastAsia" w:ascii="宋体" w:hAnsi="宋体" w:cs="宋体"/>
          <w:sz w:val="24"/>
          <w:szCs w:val="24"/>
          <w:lang w:val="en-US" w:eastAsia="zh-CN"/>
        </w:rPr>
        <w:t>，</w:t>
      </w:r>
      <w:r>
        <w:rPr>
          <w:rFonts w:hint="eastAsia" w:ascii="宋体" w:hAnsi="宋体" w:eastAsia="宋体" w:cs="宋体"/>
          <w:sz w:val="24"/>
          <w:szCs w:val="24"/>
          <w:highlight w:val="none"/>
          <w:lang w:val="en-US" w:eastAsia="zh-CN"/>
        </w:rPr>
        <w:t>未达到起征点的需提供相关证明材料）；</w:t>
      </w:r>
    </w:p>
    <w:p w14:paraId="2FA0DBF5">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（5）参加本次政府采购活动前三年内，在经营活动中没有重大违法记录（需提交企业声明函原件）。</w:t>
      </w:r>
    </w:p>
    <w:p w14:paraId="68CA140D">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2E7A7AC6">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2.本项目的特定资格要求：</w:t>
      </w:r>
    </w:p>
    <w:p w14:paraId="01698F2A">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（1）提供法定代表人资格证明、法人身份证复印件（法定代表人参与投标时提供）；或法人授权函、被授权人身份证复印件（非法定代表人参与投标时提供）；</w:t>
      </w:r>
    </w:p>
    <w:p w14:paraId="0BC03CBA">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未被列入“信用中国”网站记录失信被执行人或重大税收违法案件当事人名单或政府采购严重违法失信行为记录名单（须提供“信用中国”网站查询结果截图）；供应商不处于中国政府采购网政府采购严重违法失信行为信息记录中的禁止参加政府采购活动执行期（须提供“中国政府采购网”企业查询结果截图）查询结果（以招标公告发布之日起至递交投标文件截止时间前在“信用中国”网站、中国政府采购网查询结果为准，如相关记录已失效，供应商需提供相关证明资料）。</w:t>
      </w:r>
    </w:p>
    <w:p w14:paraId="468F323C">
      <w:pPr>
        <w:pStyle w:val="109"/>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3.本项目（是/否）接受联合体：否（成交单位不允许以任何形式进行分包或转包，需提供声明函</w:t>
      </w:r>
      <w:r>
        <w:rPr>
          <w:rFonts w:hint="eastAsia" w:ascii="宋体" w:hAnsi="宋体" w:cs="宋体"/>
          <w:sz w:val="24"/>
          <w:szCs w:val="24"/>
          <w:lang w:val="en-US" w:eastAsia="zh-CN"/>
        </w:rPr>
        <w:t>原件</w:t>
      </w:r>
      <w:r>
        <w:rPr>
          <w:rFonts w:hint="eastAsia" w:ascii="宋体" w:hAnsi="宋体" w:eastAsia="宋体" w:cs="宋体"/>
          <w:sz w:val="24"/>
          <w:szCs w:val="24"/>
          <w:lang w:val="en-US" w:eastAsia="zh-CN"/>
        </w:rPr>
        <w:t>）。</w:t>
      </w:r>
    </w:p>
    <w:p w14:paraId="0BF90C6A">
      <w:pPr>
        <w:spacing w:line="560" w:lineRule="exact"/>
        <w:ind w:firstLine="560" w:firstLineChars="200"/>
        <w:rPr>
          <w:rFonts w:hint="eastAsia" w:ascii="黑体" w:hAnsi="黑体" w:eastAsia="黑体" w:cs="黑体"/>
          <w:bCs/>
          <w:kern w:val="0"/>
          <w:sz w:val="28"/>
          <w:szCs w:val="28"/>
          <w:shd w:val="clear" w:color="auto" w:fill="FFFFFF"/>
          <w:lang w:val="en-US" w:eastAsia="zh-CN" w:bidi="ar"/>
        </w:rPr>
      </w:pPr>
      <w:r>
        <w:rPr>
          <w:rFonts w:hint="eastAsia" w:ascii="黑体" w:hAnsi="黑体" w:eastAsia="黑体" w:cs="黑体"/>
          <w:bCs/>
          <w:kern w:val="0"/>
          <w:sz w:val="28"/>
          <w:szCs w:val="28"/>
          <w:shd w:val="clear" w:color="auto" w:fill="FFFFFF"/>
          <w:lang w:val="en-US" w:eastAsia="zh-CN" w:bidi="ar"/>
        </w:rPr>
        <w:t>三、获取采购文件</w:t>
      </w:r>
    </w:p>
    <w:p w14:paraId="30CC43E5">
      <w:pPr>
        <w:pStyle w:val="109"/>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分00秒至</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日23时59分59秒（</w:t>
      </w:r>
      <w:r>
        <w:rPr>
          <w:rFonts w:hint="eastAsia" w:ascii="宋体" w:hAnsi="宋体" w:cs="宋体"/>
          <w:sz w:val="24"/>
          <w:szCs w:val="24"/>
          <w:highlight w:val="none"/>
          <w:lang w:val="en-US" w:eastAsia="zh-CN"/>
        </w:rPr>
        <w:t>不</w:t>
      </w:r>
      <w:r>
        <w:rPr>
          <w:rFonts w:hint="eastAsia" w:ascii="宋体" w:hAnsi="宋体" w:eastAsia="宋体" w:cs="宋体"/>
          <w:sz w:val="24"/>
          <w:szCs w:val="24"/>
          <w:highlight w:val="none"/>
          <w:lang w:val="en-US" w:eastAsia="zh-CN"/>
        </w:rPr>
        <w:t>含</w:t>
      </w:r>
      <w:r>
        <w:rPr>
          <w:rFonts w:hint="eastAsia" w:ascii="宋体" w:hAnsi="宋体" w:eastAsia="宋体" w:cs="宋体"/>
          <w:sz w:val="24"/>
          <w:szCs w:val="24"/>
          <w:highlight w:val="none"/>
        </w:rPr>
        <w:t>法定节假日）。</w:t>
      </w:r>
    </w:p>
    <w:p w14:paraId="51A60600">
      <w:pPr>
        <w:pStyle w:val="109"/>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甘肃创慧惠科建设工程管理有限公司</w:t>
      </w:r>
      <w:r>
        <w:rPr>
          <w:rFonts w:hint="eastAsia" w:ascii="宋体" w:hAnsi="宋体" w:eastAsia="宋体" w:cs="宋体"/>
          <w:sz w:val="24"/>
          <w:szCs w:val="24"/>
        </w:rPr>
        <w:t>。</w:t>
      </w:r>
    </w:p>
    <w:p w14:paraId="2DE37A30">
      <w:pPr>
        <w:pStyle w:val="109"/>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凡有意参加招标者，将报名信息（格式自拟但必须包含参与投标项目名称、企业名称、联系人、联系电话、邮箱）并提供营业执照、法定代表人身份证明或法定代表人授权委托书及被授权人身份证明等资料复印件并加盖公章（wold版、PDF格式）发送到邮箱312574647@qq.com投标登记获取招标文件。" </w:instrText>
      </w:r>
      <w:r>
        <w:rPr>
          <w:rFonts w:hint="eastAsia" w:ascii="宋体" w:hAnsi="宋体" w:eastAsia="宋体" w:cs="宋体"/>
          <w:sz w:val="24"/>
          <w:szCs w:val="24"/>
        </w:rPr>
        <w:fldChar w:fldCharType="separate"/>
      </w:r>
      <w:r>
        <w:rPr>
          <w:rFonts w:hint="eastAsia" w:ascii="宋体" w:hAnsi="宋体" w:eastAsia="宋体" w:cs="宋体"/>
          <w:sz w:val="24"/>
          <w:szCs w:val="24"/>
        </w:rPr>
        <w:t>凡有意参加招标者，将报名信息（格式自拟但必须包含参与投标项目名称、企业名称、联系人、联系电话、邮箱）并提供营业执照、法定代表人身份证明或法定代表人授权委托书及被授权人身份证明等资料复印件并加盖公章（</w:t>
      </w:r>
      <w:r>
        <w:rPr>
          <w:rFonts w:hint="eastAsia" w:ascii="宋体" w:hAnsi="宋体" w:eastAsia="宋体" w:cs="宋体"/>
          <w:sz w:val="24"/>
          <w:szCs w:val="24"/>
          <w:lang w:val="en-US" w:eastAsia="zh-CN"/>
        </w:rPr>
        <w:t>wold版、</w:t>
      </w:r>
      <w:r>
        <w:rPr>
          <w:rFonts w:hint="eastAsia" w:ascii="宋体" w:hAnsi="宋体" w:eastAsia="宋体" w:cs="宋体"/>
          <w:sz w:val="24"/>
          <w:szCs w:val="24"/>
        </w:rPr>
        <w:t>PDF格式）发送到邮箱</w:t>
      </w:r>
      <w:r>
        <w:rPr>
          <w:rFonts w:hint="eastAsia" w:ascii="宋体" w:hAnsi="宋体" w:eastAsia="宋体" w:cs="宋体"/>
          <w:sz w:val="24"/>
          <w:szCs w:val="24"/>
          <w:highlight w:val="none"/>
        </w:rPr>
        <w:t>1078156915@qq.com</w:t>
      </w:r>
      <w:r>
        <w:rPr>
          <w:rFonts w:hint="eastAsia" w:ascii="宋体" w:hAnsi="宋体" w:eastAsia="宋体" w:cs="宋体"/>
          <w:sz w:val="24"/>
          <w:szCs w:val="24"/>
        </w:rPr>
        <w:t>投标登记</w:t>
      </w:r>
      <w:r>
        <w:rPr>
          <w:rFonts w:hint="eastAsia" w:ascii="宋体" w:hAnsi="宋体" w:cs="宋体"/>
          <w:sz w:val="24"/>
          <w:szCs w:val="24"/>
          <w:lang w:eastAsia="zh-CN"/>
        </w:rPr>
        <w:t>，</w:t>
      </w:r>
      <w:r>
        <w:rPr>
          <w:rFonts w:hint="eastAsia" w:ascii="宋体" w:hAnsi="宋体" w:cs="宋体"/>
          <w:sz w:val="24"/>
          <w:szCs w:val="24"/>
          <w:lang w:val="en-US" w:eastAsia="zh-CN"/>
        </w:rPr>
        <w:t>自行下载</w:t>
      </w:r>
      <w:r>
        <w:rPr>
          <w:rFonts w:hint="eastAsia" w:ascii="宋体" w:hAnsi="宋体" w:eastAsia="宋体" w:cs="宋体"/>
          <w:sz w:val="24"/>
          <w:szCs w:val="24"/>
        </w:rPr>
        <w:t>获取招标文件。</w:t>
      </w:r>
      <w:r>
        <w:rPr>
          <w:rFonts w:hint="eastAsia" w:ascii="宋体" w:hAnsi="宋体" w:eastAsia="宋体" w:cs="宋体"/>
          <w:sz w:val="24"/>
          <w:szCs w:val="24"/>
        </w:rPr>
        <w:fldChar w:fldCharType="end"/>
      </w:r>
    </w:p>
    <w:p w14:paraId="5ADF90D3">
      <w:pPr>
        <w:pStyle w:val="109"/>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售价：0元</w:t>
      </w:r>
    </w:p>
    <w:p w14:paraId="18161A6C">
      <w:pPr>
        <w:spacing w:line="560" w:lineRule="exact"/>
        <w:ind w:firstLine="560" w:firstLineChars="200"/>
        <w:rPr>
          <w:rFonts w:hint="eastAsia" w:ascii="黑体" w:hAnsi="黑体" w:eastAsia="黑体" w:cs="黑体"/>
          <w:bCs/>
          <w:kern w:val="0"/>
          <w:sz w:val="28"/>
          <w:szCs w:val="28"/>
          <w:shd w:val="clear" w:color="auto" w:fill="FFFFFF"/>
          <w:lang w:val="en-US" w:eastAsia="zh-CN" w:bidi="ar"/>
        </w:rPr>
      </w:pPr>
      <w:bookmarkStart w:id="21" w:name="_Toc35393801"/>
      <w:bookmarkStart w:id="22" w:name="_Toc28359015"/>
      <w:bookmarkStart w:id="23" w:name="_Toc28359092"/>
      <w:bookmarkStart w:id="24" w:name="_Toc35393632"/>
      <w:r>
        <w:rPr>
          <w:rFonts w:hint="eastAsia" w:ascii="黑体" w:hAnsi="黑体" w:eastAsia="黑体" w:cs="黑体"/>
          <w:bCs/>
          <w:kern w:val="0"/>
          <w:sz w:val="28"/>
          <w:szCs w:val="28"/>
          <w:shd w:val="clear" w:color="auto" w:fill="FFFFFF"/>
          <w:lang w:val="en-US" w:eastAsia="zh-CN" w:bidi="ar"/>
        </w:rPr>
        <w:t>四、响应文件提交</w:t>
      </w:r>
      <w:bookmarkEnd w:id="21"/>
      <w:bookmarkEnd w:id="22"/>
      <w:bookmarkEnd w:id="23"/>
      <w:bookmarkEnd w:id="24"/>
    </w:p>
    <w:p w14:paraId="74540374">
      <w:pPr>
        <w:spacing w:line="56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1.截止时间：202</w:t>
      </w: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年</w:t>
      </w:r>
      <w:r>
        <w:rPr>
          <w:rFonts w:hint="eastAsia" w:ascii="宋体" w:hAnsi="宋体" w:cs="宋体"/>
          <w:kern w:val="0"/>
          <w:sz w:val="24"/>
          <w:szCs w:val="24"/>
          <w:highlight w:val="none"/>
          <w:lang w:val="en-US" w:eastAsia="zh-CN" w:bidi="ar-SA"/>
        </w:rPr>
        <w:t>8</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15</w:t>
      </w:r>
      <w:r>
        <w:rPr>
          <w:rFonts w:hint="eastAsia" w:ascii="宋体" w:hAnsi="宋体" w:eastAsia="宋体" w:cs="宋体"/>
          <w:kern w:val="0"/>
          <w:sz w:val="24"/>
          <w:szCs w:val="24"/>
          <w:highlight w:val="none"/>
          <w:lang w:val="en-US" w:eastAsia="zh-CN" w:bidi="ar-SA"/>
        </w:rPr>
        <w:t>日</w:t>
      </w: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点</w:t>
      </w:r>
      <w:r>
        <w:rPr>
          <w:rFonts w:hint="eastAsia" w:ascii="宋体" w:hAnsi="宋体" w:cs="宋体"/>
          <w:kern w:val="0"/>
          <w:sz w:val="24"/>
          <w:szCs w:val="24"/>
          <w:highlight w:val="none"/>
          <w:lang w:val="en-US" w:eastAsia="zh-CN" w:bidi="ar-SA"/>
        </w:rPr>
        <w:t>10</w:t>
      </w:r>
      <w:r>
        <w:rPr>
          <w:rFonts w:hint="eastAsia" w:ascii="宋体" w:hAnsi="宋体" w:eastAsia="宋体" w:cs="宋体"/>
          <w:kern w:val="0"/>
          <w:sz w:val="24"/>
          <w:szCs w:val="24"/>
          <w:highlight w:val="none"/>
          <w:lang w:val="en-US" w:eastAsia="zh-CN" w:bidi="ar-SA"/>
        </w:rPr>
        <w:t>分（北京时间）</w:t>
      </w:r>
    </w:p>
    <w:p w14:paraId="3E87BCC4">
      <w:pPr>
        <w:spacing w:line="560" w:lineRule="exact"/>
        <w:ind w:firstLine="480" w:firstLineChars="200"/>
        <w:rPr>
          <w:rFonts w:hint="eastAsia" w:ascii="仿宋" w:hAnsi="仿宋" w:eastAsia="仿宋" w:cs="仿宋"/>
          <w:kern w:val="0"/>
          <w:sz w:val="28"/>
          <w:szCs w:val="28"/>
          <w:highlight w:val="none"/>
          <w:lang w:val="en-US" w:eastAsia="zh-CN" w:bidi="ar-SA"/>
        </w:rPr>
      </w:pPr>
      <w:r>
        <w:rPr>
          <w:rFonts w:hint="eastAsia" w:ascii="宋体" w:hAnsi="宋体" w:eastAsia="宋体" w:cs="宋体"/>
          <w:kern w:val="0"/>
          <w:sz w:val="24"/>
          <w:szCs w:val="24"/>
          <w:highlight w:val="none"/>
          <w:lang w:val="en-US" w:eastAsia="zh-CN" w:bidi="ar-SA"/>
        </w:rPr>
        <w:t>2.地点：甘肃创慧惠科建设工程管理有限公司</w:t>
      </w:r>
      <w:r>
        <w:rPr>
          <w:rFonts w:hint="eastAsia" w:ascii="宋体" w:hAnsi="宋体" w:cs="宋体"/>
          <w:kern w:val="0"/>
          <w:sz w:val="24"/>
          <w:szCs w:val="24"/>
          <w:highlight w:val="none"/>
          <w:lang w:val="en-US" w:eastAsia="zh-CN" w:bidi="ar-SA"/>
        </w:rPr>
        <w:t>开标室</w:t>
      </w:r>
    </w:p>
    <w:p w14:paraId="20815C5D">
      <w:pPr>
        <w:spacing w:line="560" w:lineRule="exact"/>
        <w:ind w:firstLine="560" w:firstLineChars="200"/>
        <w:rPr>
          <w:rFonts w:hint="eastAsia" w:ascii="黑体" w:hAnsi="黑体" w:eastAsia="黑体" w:cs="黑体"/>
          <w:bCs/>
          <w:kern w:val="0"/>
          <w:sz w:val="28"/>
          <w:szCs w:val="28"/>
          <w:highlight w:val="none"/>
          <w:shd w:val="clear" w:color="auto" w:fill="FFFFFF"/>
          <w:lang w:val="en-US" w:eastAsia="zh-CN" w:bidi="ar"/>
        </w:rPr>
      </w:pPr>
      <w:bookmarkStart w:id="25" w:name="_Toc35393802"/>
      <w:bookmarkStart w:id="26" w:name="_Toc28359016"/>
      <w:bookmarkStart w:id="27" w:name="_Toc28359093"/>
      <w:bookmarkStart w:id="28" w:name="_Toc35393633"/>
      <w:r>
        <w:rPr>
          <w:rFonts w:hint="eastAsia" w:ascii="黑体" w:hAnsi="黑体" w:eastAsia="黑体" w:cs="黑体"/>
          <w:bCs/>
          <w:kern w:val="0"/>
          <w:sz w:val="28"/>
          <w:szCs w:val="28"/>
          <w:highlight w:val="none"/>
          <w:shd w:val="clear" w:color="auto" w:fill="FFFFFF"/>
          <w:lang w:val="en-US" w:eastAsia="zh-CN" w:bidi="ar"/>
        </w:rPr>
        <w:t>五、开启</w:t>
      </w:r>
      <w:bookmarkEnd w:id="25"/>
      <w:bookmarkEnd w:id="26"/>
      <w:bookmarkEnd w:id="27"/>
      <w:bookmarkEnd w:id="28"/>
    </w:p>
    <w:p w14:paraId="7AE3D042">
      <w:pPr>
        <w:spacing w:line="560" w:lineRule="exact"/>
        <w:ind w:firstLine="480" w:firstLineChars="200"/>
        <w:rPr>
          <w:rFonts w:hint="eastAsia" w:ascii="宋体" w:hAnsi="宋体" w:eastAsia="宋体" w:cs="宋体"/>
          <w:kern w:val="0"/>
          <w:sz w:val="24"/>
          <w:szCs w:val="24"/>
          <w:highlight w:val="none"/>
          <w:lang w:val="en-US" w:eastAsia="zh-CN" w:bidi="ar-SA"/>
        </w:rPr>
      </w:pPr>
      <w:bookmarkStart w:id="29" w:name="_Toc28359094"/>
      <w:bookmarkStart w:id="30" w:name="_Toc35393803"/>
      <w:bookmarkStart w:id="31" w:name="_Toc35393634"/>
      <w:bookmarkStart w:id="32" w:name="_Toc28359017"/>
      <w:r>
        <w:rPr>
          <w:rFonts w:hint="eastAsia" w:ascii="宋体" w:hAnsi="宋体" w:eastAsia="宋体" w:cs="宋体"/>
          <w:kern w:val="0"/>
          <w:sz w:val="24"/>
          <w:szCs w:val="24"/>
          <w:highlight w:val="none"/>
          <w:lang w:val="en-US" w:eastAsia="zh-CN" w:bidi="ar-SA"/>
        </w:rPr>
        <w:t>时间：</w:t>
      </w:r>
      <w:r>
        <w:rPr>
          <w:rFonts w:hint="eastAsia" w:ascii="宋体" w:hAnsi="宋体" w:cs="宋体"/>
          <w:kern w:val="0"/>
          <w:sz w:val="24"/>
          <w:szCs w:val="24"/>
          <w:highlight w:val="none"/>
          <w:lang w:val="en-US" w:eastAsia="zh-CN" w:bidi="ar-SA"/>
        </w:rPr>
        <w:t>2025</w:t>
      </w:r>
      <w:r>
        <w:rPr>
          <w:rFonts w:hint="eastAsia" w:ascii="宋体" w:hAnsi="宋体" w:eastAsia="宋体" w:cs="宋体"/>
          <w:kern w:val="0"/>
          <w:sz w:val="24"/>
          <w:szCs w:val="24"/>
          <w:highlight w:val="none"/>
          <w:lang w:val="en-US" w:eastAsia="zh-CN" w:bidi="ar-SA"/>
        </w:rPr>
        <w:t>年</w:t>
      </w:r>
      <w:r>
        <w:rPr>
          <w:rFonts w:hint="eastAsia" w:ascii="宋体" w:hAnsi="宋体" w:cs="宋体"/>
          <w:kern w:val="0"/>
          <w:sz w:val="24"/>
          <w:szCs w:val="24"/>
          <w:highlight w:val="none"/>
          <w:lang w:val="en-US" w:eastAsia="zh-CN" w:bidi="ar-SA"/>
        </w:rPr>
        <w:t>8</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15</w:t>
      </w:r>
      <w:r>
        <w:rPr>
          <w:rFonts w:hint="eastAsia" w:ascii="宋体" w:hAnsi="宋体" w:eastAsia="宋体" w:cs="宋体"/>
          <w:kern w:val="0"/>
          <w:sz w:val="24"/>
          <w:szCs w:val="24"/>
          <w:highlight w:val="none"/>
          <w:lang w:val="en-US" w:eastAsia="zh-CN" w:bidi="ar-SA"/>
        </w:rPr>
        <w:t>日</w:t>
      </w: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点</w:t>
      </w:r>
      <w:r>
        <w:rPr>
          <w:rFonts w:hint="eastAsia" w:ascii="宋体" w:hAnsi="宋体" w:cs="宋体"/>
          <w:kern w:val="0"/>
          <w:sz w:val="24"/>
          <w:szCs w:val="24"/>
          <w:highlight w:val="none"/>
          <w:lang w:val="en-US" w:eastAsia="zh-CN" w:bidi="ar-SA"/>
        </w:rPr>
        <w:t>10</w:t>
      </w:r>
      <w:r>
        <w:rPr>
          <w:rFonts w:hint="eastAsia" w:ascii="宋体" w:hAnsi="宋体" w:eastAsia="宋体" w:cs="宋体"/>
          <w:kern w:val="0"/>
          <w:sz w:val="24"/>
          <w:szCs w:val="24"/>
          <w:highlight w:val="none"/>
          <w:lang w:val="en-US" w:eastAsia="zh-CN" w:bidi="ar-SA"/>
        </w:rPr>
        <w:t xml:space="preserve">分（北京时间） </w:t>
      </w:r>
    </w:p>
    <w:p w14:paraId="6AE41822">
      <w:pPr>
        <w:spacing w:line="560" w:lineRule="exact"/>
        <w:ind w:firstLine="480" w:firstLineChars="200"/>
        <w:rPr>
          <w:rFonts w:hint="eastAsia" w:ascii="仿宋" w:hAnsi="仿宋" w:eastAsia="仿宋" w:cs="仿宋"/>
          <w:kern w:val="0"/>
          <w:sz w:val="28"/>
          <w:szCs w:val="28"/>
          <w:lang w:val="en-US" w:eastAsia="zh-CN" w:bidi="ar-SA"/>
        </w:rPr>
      </w:pPr>
      <w:r>
        <w:rPr>
          <w:rFonts w:hint="eastAsia" w:ascii="宋体" w:hAnsi="宋体" w:eastAsia="宋体" w:cs="宋体"/>
          <w:kern w:val="0"/>
          <w:sz w:val="24"/>
          <w:szCs w:val="24"/>
          <w:lang w:val="en-US" w:eastAsia="zh-CN" w:bidi="ar-SA"/>
        </w:rPr>
        <w:t>地点：甘肃创慧惠科建设工程管理有限公司</w:t>
      </w:r>
      <w:r>
        <w:rPr>
          <w:rFonts w:hint="eastAsia" w:ascii="宋体" w:hAnsi="宋体" w:cs="宋体"/>
          <w:kern w:val="0"/>
          <w:sz w:val="24"/>
          <w:szCs w:val="24"/>
          <w:lang w:val="en-US" w:eastAsia="zh-CN" w:bidi="ar-SA"/>
        </w:rPr>
        <w:t>开标室</w:t>
      </w:r>
      <w:r>
        <w:rPr>
          <w:rFonts w:hint="eastAsia" w:ascii="宋体" w:hAnsi="宋体" w:eastAsia="宋体" w:cs="宋体"/>
          <w:kern w:val="0"/>
          <w:sz w:val="24"/>
          <w:szCs w:val="24"/>
          <w:lang w:val="en-US" w:eastAsia="zh-CN" w:bidi="ar-SA"/>
        </w:rPr>
        <w:t>，本项目为网上开标，各投标人于开标截止时间前，将投标文件发送至邮箱（邮箱：</w:t>
      </w:r>
      <w:r>
        <w:rPr>
          <w:rFonts w:hint="eastAsia" w:ascii="宋体" w:hAnsi="宋体" w:eastAsia="宋体" w:cs="宋体"/>
          <w:kern w:val="0"/>
          <w:sz w:val="24"/>
          <w:szCs w:val="24"/>
          <w:highlight w:val="none"/>
          <w:lang w:val="en-US" w:eastAsia="zh-CN" w:bidi="ar-SA"/>
        </w:rPr>
        <w:t>1078156915@qq.com</w:t>
      </w:r>
      <w:r>
        <w:rPr>
          <w:rFonts w:hint="eastAsia" w:ascii="宋体" w:hAnsi="宋体" w:eastAsia="宋体" w:cs="宋体"/>
          <w:kern w:val="0"/>
          <w:sz w:val="24"/>
          <w:szCs w:val="24"/>
          <w:lang w:val="en-US" w:eastAsia="zh-CN" w:bidi="ar-SA"/>
        </w:rPr>
        <w:t>）。</w:t>
      </w:r>
    </w:p>
    <w:p w14:paraId="12DED26E">
      <w:pPr>
        <w:spacing w:line="560" w:lineRule="exact"/>
        <w:ind w:firstLine="560" w:firstLineChars="200"/>
        <w:rPr>
          <w:rFonts w:hint="eastAsia" w:ascii="黑体" w:hAnsi="黑体" w:eastAsia="黑体" w:cs="黑体"/>
          <w:bCs/>
          <w:kern w:val="0"/>
          <w:sz w:val="28"/>
          <w:szCs w:val="28"/>
          <w:shd w:val="clear" w:color="auto" w:fill="FFFFFF"/>
          <w:lang w:val="en-US" w:eastAsia="zh-CN" w:bidi="ar"/>
        </w:rPr>
      </w:pPr>
      <w:r>
        <w:rPr>
          <w:rFonts w:hint="eastAsia" w:ascii="黑体" w:hAnsi="黑体" w:eastAsia="黑体" w:cs="黑体"/>
          <w:bCs/>
          <w:kern w:val="0"/>
          <w:sz w:val="28"/>
          <w:szCs w:val="28"/>
          <w:shd w:val="clear" w:color="auto" w:fill="FFFFFF"/>
          <w:lang w:val="en-US" w:eastAsia="zh-CN" w:bidi="ar"/>
        </w:rPr>
        <w:t>六、公告期限</w:t>
      </w:r>
      <w:bookmarkEnd w:id="29"/>
      <w:bookmarkEnd w:id="30"/>
      <w:bookmarkEnd w:id="31"/>
      <w:bookmarkEnd w:id="32"/>
    </w:p>
    <w:p w14:paraId="6DA8427B">
      <w:pPr>
        <w:spacing w:line="56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自本公告发布之日起</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个工作日。</w:t>
      </w:r>
      <w:bookmarkStart w:id="33" w:name="_Toc35393635"/>
      <w:bookmarkStart w:id="34" w:name="_Toc35393804"/>
    </w:p>
    <w:p w14:paraId="4790D86B">
      <w:pPr>
        <w:spacing w:line="560" w:lineRule="exact"/>
        <w:ind w:firstLine="560" w:firstLineChars="200"/>
        <w:rPr>
          <w:rFonts w:hint="eastAsia" w:ascii="黑体" w:hAnsi="黑体" w:eastAsia="黑体" w:cs="黑体"/>
          <w:bCs/>
          <w:kern w:val="0"/>
          <w:sz w:val="28"/>
          <w:szCs w:val="28"/>
          <w:shd w:val="clear" w:color="auto" w:fill="FFFFFF"/>
          <w:lang w:val="en-US" w:eastAsia="zh-CN" w:bidi="ar"/>
        </w:rPr>
      </w:pPr>
      <w:r>
        <w:rPr>
          <w:rFonts w:hint="eastAsia" w:ascii="黑体" w:hAnsi="黑体" w:eastAsia="黑体" w:cs="黑体"/>
          <w:bCs/>
          <w:kern w:val="0"/>
          <w:sz w:val="28"/>
          <w:szCs w:val="28"/>
          <w:shd w:val="clear" w:color="auto" w:fill="FFFFFF"/>
          <w:lang w:val="en-US" w:eastAsia="zh-CN" w:bidi="ar"/>
        </w:rPr>
        <w:t>七、其他补充事宜</w:t>
      </w:r>
      <w:bookmarkEnd w:id="33"/>
      <w:bookmarkEnd w:id="34"/>
    </w:p>
    <w:p w14:paraId="51FD6E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kern w:val="0"/>
          <w:sz w:val="28"/>
          <w:szCs w:val="28"/>
          <w:lang w:val="en-US" w:eastAsia="zh-CN" w:bidi="ar-SA"/>
        </w:rPr>
      </w:pPr>
      <w:r>
        <w:rPr>
          <w:rFonts w:hint="eastAsia" w:ascii="宋体" w:hAnsi="宋体" w:eastAsia="宋体" w:cs="宋体"/>
          <w:kern w:val="0"/>
          <w:sz w:val="24"/>
          <w:szCs w:val="24"/>
          <w:lang w:val="en-US" w:eastAsia="zh-CN" w:bidi="ar-SA"/>
        </w:rPr>
        <w:t>发布公告的媒介：本招标公告在甘肃经济信息网上发布。对于因其他网站转载并发布的非完整版或修改版公告，而导致误投标或无效投标的情形，采购人及采购代理机构不予承担责任。</w:t>
      </w:r>
    </w:p>
    <w:p w14:paraId="525C24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黑体"/>
          <w:b/>
          <w:kern w:val="0"/>
          <w:sz w:val="28"/>
          <w:szCs w:val="28"/>
          <w:shd w:val="clear" w:color="auto" w:fill="FFFFFF"/>
          <w:lang w:bidi="ar"/>
        </w:rPr>
      </w:pPr>
      <w:r>
        <w:rPr>
          <w:rFonts w:hint="eastAsia" w:ascii="黑体" w:hAnsi="黑体" w:eastAsia="黑体" w:cs="黑体"/>
          <w:bCs/>
          <w:kern w:val="0"/>
          <w:sz w:val="28"/>
          <w:szCs w:val="28"/>
          <w:shd w:val="clear" w:color="auto" w:fill="FFFFFF"/>
          <w:lang w:eastAsia="zh-CN" w:bidi="ar"/>
        </w:rPr>
        <w:t>八</w:t>
      </w:r>
      <w:r>
        <w:rPr>
          <w:rFonts w:hint="eastAsia" w:ascii="黑体" w:hAnsi="黑体" w:eastAsia="黑体" w:cs="黑体"/>
          <w:bCs/>
          <w:kern w:val="0"/>
          <w:sz w:val="28"/>
          <w:szCs w:val="28"/>
          <w:shd w:val="clear" w:color="auto" w:fill="FFFFFF"/>
          <w:lang w:bidi="ar"/>
        </w:rPr>
        <w:t>、联系方式</w:t>
      </w:r>
      <w:r>
        <w:rPr>
          <w:rFonts w:hint="eastAsia" w:ascii="黑体" w:hAnsi="黑体" w:eastAsia="黑体" w:cs="黑体"/>
          <w:b/>
          <w:kern w:val="0"/>
          <w:sz w:val="28"/>
          <w:szCs w:val="28"/>
          <w:shd w:val="clear" w:color="auto" w:fill="FFFFFF"/>
          <w:lang w:bidi="ar"/>
        </w:rPr>
        <w:t xml:space="preserve"> </w:t>
      </w:r>
    </w:p>
    <w:p w14:paraId="6C7AC6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1.采购人信息</w:t>
      </w:r>
    </w:p>
    <w:p w14:paraId="02F519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    称：甘肃医学院附属医院</w:t>
      </w:r>
    </w:p>
    <w:p w14:paraId="0F0EBA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    址：甘肃省平凉市崆峒区崆峒东路296号</w:t>
      </w:r>
    </w:p>
    <w:p w14:paraId="466365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联系方式：0933-8601405</w:t>
      </w:r>
    </w:p>
    <w:p w14:paraId="3A1849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2.采购代理机构信息</w:t>
      </w:r>
    </w:p>
    <w:p w14:paraId="5352A5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    称：甘肃创慧惠科建设工程管理有限公司</w:t>
      </w:r>
    </w:p>
    <w:p w14:paraId="60CB40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    址：甘肃省平凉市崆峒区北门什字创慧中心　　</w:t>
      </w:r>
    </w:p>
    <w:p w14:paraId="61DF9E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联系方式：</w:t>
      </w:r>
      <w:r>
        <w:rPr>
          <w:rFonts w:hint="eastAsia" w:ascii="宋体" w:hAnsi="宋体" w:cs="宋体"/>
          <w:kern w:val="0"/>
          <w:sz w:val="24"/>
          <w:szCs w:val="24"/>
          <w:lang w:val="en-US" w:eastAsia="zh-CN" w:bidi="ar-SA"/>
        </w:rPr>
        <w:t>18193388857</w:t>
      </w:r>
    </w:p>
    <w:p w14:paraId="005A0F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3.项目联系方式</w:t>
      </w:r>
    </w:p>
    <w:p w14:paraId="42EBE5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项目联系人：成雪铷</w:t>
      </w:r>
    </w:p>
    <w:p w14:paraId="317813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kern w:val="0"/>
          <w:sz w:val="24"/>
          <w:szCs w:val="24"/>
          <w:lang w:val="en-US" w:eastAsia="zh-CN" w:bidi="ar-SA"/>
        </w:rPr>
      </w:pPr>
      <w:r>
        <w:rPr>
          <w:rFonts w:hint="eastAsia" w:ascii="宋体" w:hAnsi="宋体" w:eastAsia="宋体" w:cs="宋体"/>
          <w:kern w:val="0"/>
          <w:sz w:val="24"/>
          <w:szCs w:val="24"/>
          <w:lang w:val="en-US" w:eastAsia="zh-CN" w:bidi="ar-SA"/>
        </w:rPr>
        <w:t>电      话：</w:t>
      </w:r>
      <w:r>
        <w:rPr>
          <w:rFonts w:hint="eastAsia" w:ascii="宋体" w:hAnsi="宋体" w:cs="宋体"/>
          <w:kern w:val="0"/>
          <w:sz w:val="24"/>
          <w:szCs w:val="24"/>
          <w:lang w:val="en-US" w:eastAsia="zh-CN" w:bidi="ar-SA"/>
        </w:rPr>
        <w:t>18193388857</w:t>
      </w:r>
    </w:p>
    <w:p w14:paraId="72FFC4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Style w:val="69"/>
          <w:rFonts w:hint="eastAsia" w:ascii="宋体" w:hAnsi="宋体" w:eastAsia="宋体" w:cs="宋体"/>
          <w:sz w:val="44"/>
          <w:szCs w:val="44"/>
          <w:highlight w:val="none"/>
        </w:rPr>
      </w:pPr>
      <w:r>
        <w:rPr>
          <w:rFonts w:hint="eastAsia" w:ascii="宋体" w:hAnsi="宋体" w:eastAsia="宋体" w:cs="宋体"/>
          <w:kern w:val="0"/>
          <w:sz w:val="24"/>
          <w:szCs w:val="24"/>
          <w:lang w:val="en-US" w:eastAsia="zh-CN" w:bidi="ar-SA"/>
        </w:rPr>
        <w:t>　</w:t>
      </w:r>
      <w:r>
        <w:rPr>
          <w:rStyle w:val="69"/>
          <w:rFonts w:hint="eastAsia" w:ascii="宋体" w:hAnsi="宋体" w:eastAsia="宋体" w:cs="宋体"/>
          <w:sz w:val="44"/>
          <w:szCs w:val="44"/>
          <w:highlight w:val="none"/>
        </w:rPr>
        <w:br w:type="page"/>
      </w:r>
    </w:p>
    <w:p w14:paraId="2298E81D">
      <w:pPr>
        <w:ind w:firstLine="1325" w:firstLineChars="300"/>
        <w:rPr>
          <w:rStyle w:val="69"/>
          <w:rFonts w:hint="eastAsia" w:ascii="宋体" w:hAnsi="宋体" w:eastAsia="宋体" w:cs="宋体"/>
          <w:sz w:val="44"/>
          <w:szCs w:val="44"/>
          <w:highlight w:val="none"/>
        </w:rPr>
      </w:pPr>
      <w:r>
        <w:rPr>
          <w:rStyle w:val="69"/>
          <w:rFonts w:hint="eastAsia" w:ascii="宋体" w:hAnsi="宋体" w:eastAsia="宋体" w:cs="宋体"/>
          <w:sz w:val="44"/>
          <w:szCs w:val="44"/>
          <w:highlight w:val="none"/>
        </w:rPr>
        <w:t>第二章  供应商须知及前附表</w:t>
      </w:r>
      <w:bookmarkEnd w:id="1"/>
      <w:bookmarkEnd w:id="11"/>
      <w:bookmarkEnd w:id="12"/>
      <w:bookmarkEnd w:id="13"/>
      <w:bookmarkEnd w:id="14"/>
      <w:bookmarkEnd w:id="15"/>
    </w:p>
    <w:bookmarkEnd w:id="20"/>
    <w:p w14:paraId="4838E85F">
      <w:pPr>
        <w:pStyle w:val="3"/>
        <w:spacing w:line="240" w:lineRule="auto"/>
        <w:ind w:firstLine="2409" w:firstLineChars="800"/>
        <w:jc w:val="both"/>
        <w:rPr>
          <w:rFonts w:hint="eastAsia" w:ascii="宋体" w:hAnsi="宋体" w:eastAsia="宋体" w:cs="宋体"/>
          <w:highlight w:val="none"/>
        </w:rPr>
      </w:pPr>
      <w:bookmarkStart w:id="35" w:name="_Toc3375"/>
      <w:r>
        <w:rPr>
          <w:rFonts w:hint="eastAsia" w:ascii="宋体" w:hAnsi="宋体" w:eastAsia="宋体" w:cs="宋体"/>
          <w:highlight w:val="none"/>
        </w:rPr>
        <w:t>一、供应商须知前附表</w:t>
      </w:r>
      <w:bookmarkEnd w:id="35"/>
    </w:p>
    <w:tbl>
      <w:tblPr>
        <w:tblStyle w:val="40"/>
        <w:tblW w:w="0" w:type="auto"/>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450"/>
        <w:gridCol w:w="6551"/>
      </w:tblGrid>
      <w:tr w14:paraId="4B83F6C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9" w:type="dxa"/>
            <w:noWrap w:val="0"/>
            <w:vAlign w:val="center"/>
          </w:tcPr>
          <w:p w14:paraId="1459390E">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b/>
                <w:spacing w:val="10"/>
                <w:sz w:val="24"/>
                <w:szCs w:val="24"/>
                <w:highlight w:val="none"/>
              </w:rPr>
            </w:pPr>
            <w:bookmarkStart w:id="36" w:name="_Toc390084909"/>
            <w:bookmarkStart w:id="37" w:name="_Toc390084369"/>
            <w:bookmarkStart w:id="38" w:name="_Toc389731517"/>
            <w:bookmarkStart w:id="39" w:name="_Toc373309552"/>
            <w:bookmarkStart w:id="40" w:name="_Toc390078403"/>
            <w:bookmarkStart w:id="41" w:name="_Toc373314697"/>
            <w:bookmarkStart w:id="42" w:name="_Toc390084845"/>
            <w:bookmarkStart w:id="43" w:name="_Toc274816735"/>
            <w:r>
              <w:rPr>
                <w:rFonts w:hint="eastAsia" w:ascii="宋体" w:hAnsi="宋体" w:eastAsia="宋体" w:cs="宋体"/>
                <w:b/>
                <w:spacing w:val="10"/>
                <w:sz w:val="24"/>
                <w:szCs w:val="24"/>
                <w:highlight w:val="none"/>
              </w:rPr>
              <w:t>编号</w:t>
            </w:r>
          </w:p>
        </w:tc>
        <w:tc>
          <w:tcPr>
            <w:tcW w:w="1450" w:type="dxa"/>
            <w:noWrap w:val="0"/>
            <w:vAlign w:val="center"/>
          </w:tcPr>
          <w:p w14:paraId="0C71C654">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名称</w:t>
            </w:r>
          </w:p>
        </w:tc>
        <w:tc>
          <w:tcPr>
            <w:tcW w:w="6551" w:type="dxa"/>
            <w:noWrap w:val="0"/>
            <w:vAlign w:val="center"/>
          </w:tcPr>
          <w:p w14:paraId="7D39435E">
            <w:pPr>
              <w:keepNext w:val="0"/>
              <w:keepLines w:val="0"/>
              <w:pageBreakBefore w:val="0"/>
              <w:kinsoku/>
              <w:wordWrap/>
              <w:overflowPunct/>
              <w:topLinePunct w:val="0"/>
              <w:autoSpaceDE/>
              <w:autoSpaceDN/>
              <w:bidi w:val="0"/>
              <w:spacing w:line="440" w:lineRule="exact"/>
              <w:ind w:firstLine="522" w:firstLineChars="20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编  列  内  容</w:t>
            </w:r>
          </w:p>
        </w:tc>
      </w:tr>
      <w:tr w14:paraId="68C2889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49" w:type="dxa"/>
            <w:noWrap w:val="0"/>
            <w:vAlign w:val="center"/>
          </w:tcPr>
          <w:p w14:paraId="59616E61">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p>
        </w:tc>
        <w:tc>
          <w:tcPr>
            <w:tcW w:w="1450" w:type="dxa"/>
            <w:noWrap w:val="0"/>
            <w:vAlign w:val="center"/>
          </w:tcPr>
          <w:p w14:paraId="4FC557F2">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项目信息</w:t>
            </w:r>
          </w:p>
        </w:tc>
        <w:tc>
          <w:tcPr>
            <w:tcW w:w="6551" w:type="dxa"/>
            <w:noWrap w:val="0"/>
            <w:vAlign w:val="center"/>
          </w:tcPr>
          <w:p w14:paraId="4AD23A1F">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color w:val="0D0D0D"/>
                <w:sz w:val="24"/>
                <w:szCs w:val="24"/>
                <w:highlight w:val="none"/>
                <w:lang w:val="en-US" w:eastAsia="zh-CN"/>
              </w:rPr>
            </w:pPr>
            <w:r>
              <w:rPr>
                <w:rFonts w:hint="eastAsia" w:ascii="宋体" w:hAnsi="宋体" w:eastAsia="宋体" w:cs="宋体"/>
                <w:b/>
                <w:color w:val="0D0D0D"/>
                <w:sz w:val="24"/>
                <w:szCs w:val="24"/>
                <w:highlight w:val="none"/>
              </w:rPr>
              <w:t>项目名称：</w:t>
            </w:r>
            <w:r>
              <w:rPr>
                <w:rFonts w:hint="eastAsia" w:ascii="宋体" w:hAnsi="宋体" w:eastAsia="宋体" w:cs="宋体"/>
                <w:b w:val="0"/>
                <w:bCs/>
                <w:color w:val="0D0D0D"/>
                <w:sz w:val="24"/>
                <w:szCs w:val="24"/>
                <w:highlight w:val="none"/>
                <w:lang w:val="en-US" w:eastAsia="zh-CN"/>
              </w:rPr>
              <w:t>甘肃医学院附属医院</w:t>
            </w:r>
            <w:r>
              <w:rPr>
                <w:rFonts w:hint="eastAsia" w:ascii="宋体" w:hAnsi="宋体" w:eastAsia="宋体" w:cs="宋体"/>
                <w:b w:val="0"/>
                <w:bCs/>
                <w:color w:val="0D0D0D"/>
                <w:sz w:val="24"/>
                <w:szCs w:val="24"/>
                <w:highlight w:val="none"/>
              </w:rPr>
              <w:t>后勤物资水暖材料采购项目</w:t>
            </w:r>
          </w:p>
          <w:p w14:paraId="6F2B5A3A">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bCs/>
                <w:kern w:val="0"/>
                <w:sz w:val="24"/>
                <w:szCs w:val="24"/>
                <w:highlight w:val="none"/>
                <w:lang w:val="en-US" w:eastAsia="zh-CN"/>
              </w:rPr>
            </w:pPr>
            <w:r>
              <w:rPr>
                <w:rFonts w:hint="eastAsia" w:ascii="宋体" w:hAnsi="宋体" w:cs="宋体"/>
                <w:b/>
                <w:kern w:val="0"/>
                <w:sz w:val="24"/>
                <w:szCs w:val="24"/>
                <w:highlight w:val="none"/>
                <w:lang w:val="en-US" w:eastAsia="zh-CN"/>
              </w:rPr>
              <w:t>项目</w:t>
            </w:r>
            <w:r>
              <w:rPr>
                <w:rFonts w:hint="eastAsia" w:ascii="宋体" w:hAnsi="宋体" w:eastAsia="宋体" w:cs="宋体"/>
                <w:b/>
                <w:kern w:val="0"/>
                <w:sz w:val="24"/>
                <w:szCs w:val="24"/>
                <w:highlight w:val="none"/>
              </w:rPr>
              <w:t>编号：</w:t>
            </w:r>
            <w:r>
              <w:rPr>
                <w:rFonts w:hint="eastAsia" w:ascii="宋体" w:hAnsi="宋体" w:eastAsia="宋体" w:cs="宋体"/>
                <w:b w:val="0"/>
                <w:bCs/>
                <w:kern w:val="0"/>
                <w:sz w:val="24"/>
                <w:szCs w:val="24"/>
                <w:highlight w:val="none"/>
                <w:lang w:val="en-US" w:eastAsia="zh-CN"/>
              </w:rPr>
              <w:t>CHHK</w:t>
            </w:r>
            <w:r>
              <w:rPr>
                <w:rFonts w:hint="eastAsia" w:ascii="宋体" w:hAnsi="宋体" w:eastAsia="宋体" w:cs="宋体"/>
                <w:b w:val="0"/>
                <w:bCs/>
                <w:kern w:val="0"/>
                <w:sz w:val="24"/>
                <w:szCs w:val="24"/>
                <w:highlight w:val="none"/>
              </w:rPr>
              <w:t>-202</w:t>
            </w:r>
            <w:r>
              <w:rPr>
                <w:rFonts w:hint="eastAsia" w:ascii="宋体" w:hAnsi="宋体" w:eastAsia="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12</w:t>
            </w:r>
            <w:r>
              <w:rPr>
                <w:rFonts w:hint="eastAsia" w:ascii="宋体" w:hAnsi="宋体" w:cs="宋体"/>
                <w:b w:val="0"/>
                <w:bCs/>
                <w:kern w:val="0"/>
                <w:sz w:val="24"/>
                <w:szCs w:val="24"/>
                <w:highlight w:val="none"/>
                <w:lang w:val="en-US" w:eastAsia="zh-CN"/>
              </w:rPr>
              <w:t>5</w:t>
            </w:r>
          </w:p>
        </w:tc>
      </w:tr>
      <w:tr w14:paraId="7443EAE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049" w:type="dxa"/>
            <w:noWrap w:val="0"/>
            <w:vAlign w:val="center"/>
          </w:tcPr>
          <w:p w14:paraId="6AADF38D">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w:t>
            </w:r>
          </w:p>
        </w:tc>
        <w:tc>
          <w:tcPr>
            <w:tcW w:w="1450" w:type="dxa"/>
            <w:noWrap w:val="0"/>
            <w:vAlign w:val="center"/>
          </w:tcPr>
          <w:p w14:paraId="5A958A77">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color w:val="0D0D0D"/>
                <w:sz w:val="24"/>
                <w:szCs w:val="24"/>
                <w:highlight w:val="none"/>
              </w:rPr>
              <w:t>采购人信息</w:t>
            </w:r>
          </w:p>
        </w:tc>
        <w:tc>
          <w:tcPr>
            <w:tcW w:w="6551" w:type="dxa"/>
            <w:noWrap w:val="0"/>
            <w:vAlign w:val="center"/>
          </w:tcPr>
          <w:p w14:paraId="48191854">
            <w:pPr>
              <w:keepNext w:val="0"/>
              <w:keepLines w:val="0"/>
              <w:pageBreakBefore w:val="0"/>
              <w:kinsoku/>
              <w:wordWrap/>
              <w:overflowPunct/>
              <w:topLinePunct w:val="0"/>
              <w:autoSpaceDE/>
              <w:autoSpaceDN/>
              <w:bidi w:val="0"/>
              <w:adjustRightInd w:val="0"/>
              <w:snapToGrid w:val="0"/>
              <w:spacing w:line="440" w:lineRule="exact"/>
              <w:jc w:val="left"/>
              <w:rPr>
                <w:rFonts w:hint="eastAsia" w:ascii="宋体" w:hAnsi="宋体" w:eastAsia="宋体" w:cs="宋体"/>
                <w:sz w:val="24"/>
                <w:szCs w:val="24"/>
                <w:highlight w:val="none"/>
                <w:lang w:eastAsia="zh-CN"/>
              </w:rPr>
            </w:pPr>
            <w:r>
              <w:rPr>
                <w:rFonts w:hint="eastAsia" w:ascii="宋体" w:hAnsi="宋体" w:eastAsia="宋体" w:cs="宋体"/>
                <w:b/>
                <w:color w:val="0D0D0D"/>
                <w:sz w:val="24"/>
                <w:szCs w:val="24"/>
                <w:highlight w:val="none"/>
              </w:rPr>
              <w:t>采购单位</w:t>
            </w:r>
            <w:r>
              <w:rPr>
                <w:rFonts w:hint="eastAsia" w:ascii="宋体" w:hAnsi="宋体" w:cs="宋体"/>
                <w:b/>
                <w:color w:val="0D0D0D"/>
                <w:sz w:val="24"/>
                <w:szCs w:val="24"/>
                <w:highlight w:val="none"/>
                <w:lang w:eastAsia="zh-CN"/>
              </w:rPr>
              <w:t>：</w:t>
            </w:r>
            <w:r>
              <w:rPr>
                <w:rFonts w:hint="eastAsia" w:ascii="宋体" w:hAnsi="宋体" w:eastAsia="宋体" w:cs="宋体"/>
                <w:highlight w:val="none"/>
              </w:rPr>
              <w:t xml:space="preserve"> </w:t>
            </w:r>
            <w:r>
              <w:rPr>
                <w:rFonts w:hint="eastAsia" w:ascii="宋体" w:hAnsi="宋体" w:eastAsia="宋体" w:cs="宋体"/>
                <w:kern w:val="0"/>
                <w:sz w:val="24"/>
                <w:szCs w:val="24"/>
                <w:lang w:val="en-US" w:eastAsia="zh-CN" w:bidi="ar-SA"/>
              </w:rPr>
              <w:t>甘肃医学院附属医院</w:t>
            </w:r>
          </w:p>
          <w:p w14:paraId="5EA69848">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b/>
                <w:color w:val="000000"/>
                <w:sz w:val="24"/>
                <w:szCs w:val="24"/>
                <w:highlight w:val="none"/>
              </w:rPr>
              <w:t>联</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系</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人：</w:t>
            </w:r>
            <w:r>
              <w:rPr>
                <w:rFonts w:hint="eastAsia" w:ascii="宋体" w:hAnsi="宋体" w:cs="宋体"/>
                <w:sz w:val="24"/>
                <w:szCs w:val="24"/>
                <w:highlight w:val="none"/>
                <w:lang w:val="en-US" w:eastAsia="zh-CN"/>
              </w:rPr>
              <w:t>焦</w:t>
            </w:r>
            <w:r>
              <w:rPr>
                <w:rFonts w:hint="eastAsia" w:ascii="宋体" w:hAnsi="宋体" w:eastAsia="宋体" w:cs="宋体"/>
                <w:sz w:val="24"/>
                <w:szCs w:val="24"/>
                <w:highlight w:val="none"/>
                <w:lang w:eastAsia="zh-CN"/>
              </w:rPr>
              <w:t>老师</w:t>
            </w:r>
          </w:p>
          <w:p w14:paraId="1BB78364">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联系电话：</w:t>
            </w:r>
            <w:r>
              <w:rPr>
                <w:rFonts w:hint="eastAsia" w:ascii="宋体" w:hAnsi="宋体" w:eastAsia="宋体" w:cs="宋体"/>
                <w:kern w:val="0"/>
                <w:sz w:val="24"/>
                <w:szCs w:val="24"/>
                <w:lang w:val="en-US" w:eastAsia="zh-CN" w:bidi="ar-SA"/>
              </w:rPr>
              <w:t>0933-8601405</w:t>
            </w:r>
            <w:r>
              <w:rPr>
                <w:rFonts w:hint="eastAsia" w:ascii="宋体" w:hAnsi="宋体" w:eastAsia="宋体" w:cs="宋体"/>
                <w:b w:val="0"/>
                <w:bCs/>
                <w:sz w:val="24"/>
                <w:szCs w:val="24"/>
                <w:highlight w:val="none"/>
              </w:rPr>
              <w:t xml:space="preserve"> </w:t>
            </w:r>
            <w:r>
              <w:rPr>
                <w:rFonts w:hint="eastAsia" w:ascii="宋体" w:hAnsi="宋体" w:eastAsia="宋体" w:cs="宋体"/>
                <w:sz w:val="24"/>
                <w:szCs w:val="24"/>
                <w:highlight w:val="none"/>
              </w:rPr>
              <w:t xml:space="preserve"> </w:t>
            </w:r>
          </w:p>
        </w:tc>
      </w:tr>
      <w:tr w14:paraId="376A7DE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049" w:type="dxa"/>
            <w:noWrap w:val="0"/>
            <w:vAlign w:val="center"/>
          </w:tcPr>
          <w:p w14:paraId="793B7B10">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3</w:t>
            </w:r>
          </w:p>
        </w:tc>
        <w:tc>
          <w:tcPr>
            <w:tcW w:w="1450" w:type="dxa"/>
            <w:noWrap w:val="0"/>
            <w:vAlign w:val="center"/>
          </w:tcPr>
          <w:p w14:paraId="25A5A517">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color w:val="0D0D0D"/>
                <w:sz w:val="24"/>
                <w:szCs w:val="24"/>
                <w:highlight w:val="none"/>
              </w:rPr>
            </w:pPr>
            <w:r>
              <w:rPr>
                <w:rFonts w:hint="eastAsia" w:ascii="宋体" w:hAnsi="宋体" w:eastAsia="宋体" w:cs="宋体"/>
                <w:b/>
                <w:color w:val="0D0D0D"/>
                <w:sz w:val="24"/>
                <w:szCs w:val="24"/>
                <w:highlight w:val="none"/>
              </w:rPr>
              <w:t>招标代理</w:t>
            </w:r>
          </w:p>
          <w:p w14:paraId="260CE1B5">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color w:val="0D0D0D"/>
                <w:sz w:val="24"/>
                <w:szCs w:val="24"/>
                <w:highlight w:val="none"/>
              </w:rPr>
              <w:t>机构信息</w:t>
            </w:r>
          </w:p>
        </w:tc>
        <w:tc>
          <w:tcPr>
            <w:tcW w:w="6551" w:type="dxa"/>
            <w:noWrap w:val="0"/>
            <w:vAlign w:val="center"/>
          </w:tcPr>
          <w:p w14:paraId="475EF7CC">
            <w:pPr>
              <w:keepNext w:val="0"/>
              <w:keepLines w:val="0"/>
              <w:pageBreakBefore w:val="0"/>
              <w:kinsoku/>
              <w:wordWrap/>
              <w:overflowPunct/>
              <w:topLinePunct w:val="0"/>
              <w:autoSpaceDE/>
              <w:autoSpaceDN/>
              <w:bidi w:val="0"/>
              <w:spacing w:line="440" w:lineRule="exact"/>
              <w:jc w:val="left"/>
              <w:textAlignment w:val="baseline"/>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公司名称：</w:t>
            </w:r>
            <w:r>
              <w:rPr>
                <w:rFonts w:hint="eastAsia" w:ascii="宋体" w:hAnsi="宋体" w:eastAsia="宋体" w:cs="宋体"/>
                <w:kern w:val="0"/>
                <w:sz w:val="24"/>
                <w:szCs w:val="24"/>
                <w:lang w:val="en-US" w:eastAsia="zh-CN" w:bidi="ar-SA"/>
              </w:rPr>
              <w:t>甘肃创慧惠科建设工程管理有限公司</w:t>
            </w:r>
          </w:p>
          <w:p w14:paraId="255A5D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公司地址：</w:t>
            </w:r>
            <w:r>
              <w:rPr>
                <w:rFonts w:hint="eastAsia" w:ascii="宋体" w:hAnsi="宋体" w:eastAsia="宋体" w:cs="宋体"/>
                <w:kern w:val="0"/>
                <w:sz w:val="24"/>
                <w:szCs w:val="24"/>
                <w:lang w:val="en-US" w:eastAsia="zh-CN" w:bidi="ar-SA"/>
              </w:rPr>
              <w:t>甘肃省平凉市崆峒区北门什字创慧中心</w:t>
            </w:r>
          </w:p>
          <w:p w14:paraId="1282658A">
            <w:pPr>
              <w:keepNext w:val="0"/>
              <w:keepLines w:val="0"/>
              <w:pageBreakBefore w:val="0"/>
              <w:kinsoku/>
              <w:wordWrap/>
              <w:overflowPunct/>
              <w:topLinePunct w:val="0"/>
              <w:autoSpaceDE/>
              <w:autoSpaceDN/>
              <w:bidi w:val="0"/>
              <w:adjustRightInd w:val="0"/>
              <w:snapToGrid w:val="0"/>
              <w:spacing w:line="440" w:lineRule="exact"/>
              <w:jc w:val="left"/>
              <w:textAlignment w:val="baseline"/>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联</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系</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人：</w:t>
            </w:r>
            <w:r>
              <w:rPr>
                <w:rFonts w:hint="eastAsia" w:ascii="宋体" w:hAnsi="宋体" w:eastAsia="宋体" w:cs="宋体"/>
                <w:color w:val="0D0D0D"/>
                <w:sz w:val="24"/>
                <w:szCs w:val="24"/>
                <w:highlight w:val="none"/>
                <w:lang w:eastAsia="zh-CN"/>
              </w:rPr>
              <w:t>成雪铷</w:t>
            </w:r>
          </w:p>
          <w:p w14:paraId="192335D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b/>
                <w:sz w:val="24"/>
                <w:szCs w:val="24"/>
                <w:highlight w:val="none"/>
              </w:rPr>
              <w:t>联系电话：</w:t>
            </w:r>
            <w:r>
              <w:rPr>
                <w:rFonts w:hint="eastAsia" w:ascii="宋体" w:hAnsi="宋体" w:cs="宋体"/>
                <w:kern w:val="0"/>
                <w:sz w:val="24"/>
                <w:szCs w:val="24"/>
                <w:lang w:val="en-US" w:eastAsia="zh-CN" w:bidi="ar-SA"/>
              </w:rPr>
              <w:t>18193388857</w:t>
            </w:r>
          </w:p>
        </w:tc>
      </w:tr>
      <w:tr w14:paraId="0358285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49" w:type="dxa"/>
            <w:noWrap w:val="0"/>
            <w:vAlign w:val="center"/>
          </w:tcPr>
          <w:p w14:paraId="782E9958">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4</w:t>
            </w:r>
          </w:p>
        </w:tc>
        <w:tc>
          <w:tcPr>
            <w:tcW w:w="1450" w:type="dxa"/>
            <w:noWrap w:val="0"/>
            <w:vAlign w:val="center"/>
          </w:tcPr>
          <w:p w14:paraId="220A8A67">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投标语言</w:t>
            </w:r>
          </w:p>
        </w:tc>
        <w:tc>
          <w:tcPr>
            <w:tcW w:w="6551" w:type="dxa"/>
            <w:noWrap w:val="0"/>
            <w:vAlign w:val="center"/>
          </w:tcPr>
          <w:p w14:paraId="689267B1">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中文</w:t>
            </w:r>
          </w:p>
        </w:tc>
      </w:tr>
      <w:tr w14:paraId="7A198EC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49" w:type="dxa"/>
            <w:noWrap w:val="0"/>
            <w:vAlign w:val="center"/>
          </w:tcPr>
          <w:p w14:paraId="5AEA1DA9">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5</w:t>
            </w:r>
          </w:p>
        </w:tc>
        <w:tc>
          <w:tcPr>
            <w:tcW w:w="1450" w:type="dxa"/>
            <w:noWrap w:val="0"/>
            <w:vAlign w:val="center"/>
          </w:tcPr>
          <w:p w14:paraId="15384B2E">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投标有效期</w:t>
            </w:r>
          </w:p>
        </w:tc>
        <w:tc>
          <w:tcPr>
            <w:tcW w:w="6551" w:type="dxa"/>
            <w:noWrap w:val="0"/>
            <w:vAlign w:val="center"/>
          </w:tcPr>
          <w:p w14:paraId="7EDB6BD8">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b/>
                <w:sz w:val="24"/>
                <w:szCs w:val="24"/>
                <w:highlight w:val="none"/>
              </w:rPr>
            </w:pP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日历天</w:t>
            </w:r>
          </w:p>
        </w:tc>
      </w:tr>
      <w:tr w14:paraId="4A06AA0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49" w:type="dxa"/>
            <w:noWrap w:val="0"/>
            <w:vAlign w:val="center"/>
          </w:tcPr>
          <w:p w14:paraId="3A25F085">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6</w:t>
            </w:r>
          </w:p>
        </w:tc>
        <w:tc>
          <w:tcPr>
            <w:tcW w:w="1450" w:type="dxa"/>
            <w:noWrap w:val="0"/>
            <w:vAlign w:val="center"/>
          </w:tcPr>
          <w:p w14:paraId="26B764B0">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计量单位</w:t>
            </w:r>
          </w:p>
        </w:tc>
        <w:tc>
          <w:tcPr>
            <w:tcW w:w="6551" w:type="dxa"/>
            <w:noWrap w:val="0"/>
            <w:vAlign w:val="center"/>
          </w:tcPr>
          <w:p w14:paraId="5D3FD283">
            <w:pPr>
              <w:keepNext w:val="0"/>
              <w:keepLines w:val="0"/>
              <w:pageBreakBefore w:val="0"/>
              <w:kinsoku/>
              <w:wordWrap/>
              <w:overflowPunct/>
              <w:topLinePunct w:val="0"/>
              <w:autoSpaceDE/>
              <w:autoSpaceDN/>
              <w:bidi w:val="0"/>
              <w:spacing w:line="440" w:lineRule="exact"/>
              <w:jc w:val="left"/>
              <w:textAlignment w:val="baseline"/>
              <w:rPr>
                <w:rFonts w:hint="eastAsia" w:ascii="宋体" w:hAnsi="宋体" w:eastAsia="宋体" w:cs="宋体"/>
                <w:spacing w:val="10"/>
                <w:sz w:val="24"/>
                <w:szCs w:val="24"/>
                <w:highlight w:val="none"/>
              </w:rPr>
            </w:pPr>
            <w:r>
              <w:rPr>
                <w:rFonts w:hint="eastAsia" w:ascii="宋体" w:hAnsi="宋体" w:eastAsia="宋体" w:cs="宋体"/>
                <w:sz w:val="24"/>
                <w:szCs w:val="24"/>
                <w:highlight w:val="none"/>
              </w:rPr>
              <w:t>国家法定计量单位</w:t>
            </w:r>
          </w:p>
        </w:tc>
      </w:tr>
      <w:tr w14:paraId="3BED542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49" w:type="dxa"/>
            <w:noWrap w:val="0"/>
            <w:vAlign w:val="center"/>
          </w:tcPr>
          <w:p w14:paraId="34DB78E9">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7</w:t>
            </w:r>
          </w:p>
        </w:tc>
        <w:tc>
          <w:tcPr>
            <w:tcW w:w="1450" w:type="dxa"/>
            <w:noWrap w:val="0"/>
            <w:vAlign w:val="center"/>
          </w:tcPr>
          <w:p w14:paraId="5ACEF906">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 xml:space="preserve">资金来源 </w:t>
            </w:r>
          </w:p>
        </w:tc>
        <w:tc>
          <w:tcPr>
            <w:tcW w:w="6551" w:type="dxa"/>
            <w:noWrap w:val="0"/>
            <w:vAlign w:val="center"/>
          </w:tcPr>
          <w:p w14:paraId="0081536D">
            <w:pPr>
              <w:keepNext w:val="0"/>
              <w:keepLines w:val="0"/>
              <w:pageBreakBefore w:val="0"/>
              <w:kinsoku/>
              <w:wordWrap/>
              <w:overflowPunct/>
              <w:topLinePunct w:val="0"/>
              <w:autoSpaceDE/>
              <w:autoSpaceDN/>
              <w:bidi w:val="0"/>
              <w:spacing w:line="440" w:lineRule="exact"/>
              <w:textAlignment w:val="baseline"/>
              <w:rPr>
                <w:rFonts w:hint="default" w:ascii="宋体" w:hAnsi="宋体" w:eastAsia="宋体" w:cs="宋体"/>
                <w:b/>
                <w:sz w:val="24"/>
                <w:szCs w:val="24"/>
                <w:highlight w:val="none"/>
                <w:lang w:val="en-US" w:eastAsia="zh-CN"/>
              </w:rPr>
            </w:pPr>
            <w:r>
              <w:rPr>
                <w:rFonts w:hint="eastAsia" w:ascii="宋体" w:hAnsi="宋体" w:cs="宋体"/>
                <w:b w:val="0"/>
                <w:bCs/>
                <w:sz w:val="24"/>
                <w:szCs w:val="24"/>
                <w:highlight w:val="none"/>
                <w:lang w:val="en-US" w:eastAsia="zh-CN"/>
              </w:rPr>
              <w:t>自筹</w:t>
            </w:r>
            <w:r>
              <w:rPr>
                <w:rFonts w:hint="eastAsia" w:ascii="宋体" w:hAnsi="宋体" w:eastAsia="宋体" w:cs="宋体"/>
                <w:b w:val="0"/>
                <w:bCs/>
                <w:sz w:val="24"/>
                <w:szCs w:val="24"/>
                <w:highlight w:val="none"/>
                <w:lang w:val="en-US" w:eastAsia="zh-CN"/>
              </w:rPr>
              <w:t>资金</w:t>
            </w:r>
          </w:p>
        </w:tc>
      </w:tr>
      <w:tr w14:paraId="19697AC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049" w:type="dxa"/>
            <w:noWrap w:val="0"/>
            <w:vAlign w:val="center"/>
          </w:tcPr>
          <w:p w14:paraId="2179C5DE">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8</w:t>
            </w:r>
          </w:p>
        </w:tc>
        <w:tc>
          <w:tcPr>
            <w:tcW w:w="1450" w:type="dxa"/>
            <w:noWrap w:val="0"/>
            <w:vAlign w:val="center"/>
          </w:tcPr>
          <w:p w14:paraId="00764360">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采购预算</w:t>
            </w:r>
            <w:r>
              <w:rPr>
                <w:rFonts w:hint="eastAsia" w:ascii="宋体" w:hAnsi="宋体" w:eastAsia="宋体" w:cs="宋体"/>
                <w:b/>
                <w:sz w:val="24"/>
                <w:szCs w:val="24"/>
                <w:highlight w:val="none"/>
                <w:lang w:val="en-US" w:eastAsia="zh-CN"/>
              </w:rPr>
              <w:t>及最高限价</w:t>
            </w:r>
          </w:p>
        </w:tc>
        <w:tc>
          <w:tcPr>
            <w:tcW w:w="6551" w:type="dxa"/>
            <w:noWrap w:val="0"/>
            <w:vAlign w:val="center"/>
          </w:tcPr>
          <w:p w14:paraId="2B31C134">
            <w:pPr>
              <w:pStyle w:val="109"/>
              <w:spacing w:line="560" w:lineRule="exact"/>
              <w:rPr>
                <w:rFonts w:hint="eastAsia" w:ascii="宋体" w:hAnsi="宋体" w:cs="宋体"/>
                <w:sz w:val="24"/>
                <w:szCs w:val="24"/>
                <w:highlight w:val="none"/>
                <w:lang w:val="en-US" w:eastAsia="zh-CN"/>
              </w:rPr>
            </w:pPr>
            <w:r>
              <w:rPr>
                <w:rFonts w:hint="eastAsia" w:ascii="宋体" w:hAnsi="宋体" w:eastAsia="宋体" w:cs="宋体"/>
                <w:sz w:val="24"/>
                <w:szCs w:val="24"/>
              </w:rPr>
              <w:t>预算金额：</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万元</w:t>
            </w:r>
          </w:p>
          <w:p w14:paraId="0510717E">
            <w:pPr>
              <w:pStyle w:val="109"/>
              <w:spacing w:line="560" w:lineRule="exact"/>
              <w:rPr>
                <w:rFonts w:hint="eastAsia" w:ascii="宋体" w:hAnsi="宋体" w:eastAsia="宋体" w:cs="宋体"/>
                <w:highlight w:val="none"/>
              </w:rPr>
            </w:pPr>
            <w:r>
              <w:rPr>
                <w:rFonts w:hint="eastAsia" w:ascii="宋体" w:hAnsi="宋体" w:eastAsia="宋体" w:cs="宋体"/>
                <w:sz w:val="24"/>
                <w:szCs w:val="24"/>
                <w:highlight w:val="none"/>
              </w:rPr>
              <w:t>最高限价：</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万元（投标人报价不得高于此限价，否则视为无效投标）。</w:t>
            </w:r>
          </w:p>
        </w:tc>
      </w:tr>
      <w:tr w14:paraId="43DC484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49" w:type="dxa"/>
            <w:noWrap w:val="0"/>
            <w:vAlign w:val="center"/>
          </w:tcPr>
          <w:p w14:paraId="486F53CF">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9</w:t>
            </w:r>
          </w:p>
        </w:tc>
        <w:tc>
          <w:tcPr>
            <w:tcW w:w="1450" w:type="dxa"/>
            <w:noWrap w:val="0"/>
            <w:vAlign w:val="center"/>
          </w:tcPr>
          <w:p w14:paraId="5F22C815">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采购方式</w:t>
            </w:r>
          </w:p>
        </w:tc>
        <w:tc>
          <w:tcPr>
            <w:tcW w:w="6551" w:type="dxa"/>
            <w:noWrap w:val="0"/>
            <w:vAlign w:val="center"/>
          </w:tcPr>
          <w:p w14:paraId="25B098D7">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w:t>
            </w:r>
          </w:p>
        </w:tc>
      </w:tr>
      <w:tr w14:paraId="4E4B8DA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9" w:type="dxa"/>
            <w:noWrap w:val="0"/>
            <w:vAlign w:val="center"/>
          </w:tcPr>
          <w:p w14:paraId="32640974">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10</w:t>
            </w:r>
          </w:p>
        </w:tc>
        <w:tc>
          <w:tcPr>
            <w:tcW w:w="1450" w:type="dxa"/>
            <w:noWrap w:val="0"/>
            <w:vAlign w:val="center"/>
          </w:tcPr>
          <w:p w14:paraId="2D3BD32B">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供应商资格条件</w:t>
            </w:r>
          </w:p>
        </w:tc>
        <w:tc>
          <w:tcPr>
            <w:tcW w:w="6551" w:type="dxa"/>
            <w:noWrap w:val="0"/>
            <w:vAlign w:val="center"/>
          </w:tcPr>
          <w:p w14:paraId="0F105147">
            <w:pPr>
              <w:keepNext w:val="0"/>
              <w:keepLines w:val="0"/>
              <w:pageBreakBefore w:val="0"/>
              <w:kinsoku/>
              <w:wordWrap/>
              <w:overflowPunct/>
              <w:topLinePunct w:val="0"/>
              <w:autoSpaceDE/>
              <w:autoSpaceDN/>
              <w:bidi w:val="0"/>
              <w:spacing w:line="440" w:lineRule="exact"/>
              <w:jc w:val="left"/>
              <w:textAlignment w:val="baseline"/>
              <w:rPr>
                <w:rFonts w:hint="eastAsia" w:ascii="宋体" w:hAnsi="宋体" w:eastAsia="宋体" w:cs="宋体"/>
                <w:b w:val="0"/>
                <w:bCs/>
                <w:color w:val="000000"/>
                <w:spacing w:val="10"/>
                <w:sz w:val="24"/>
                <w:highlight w:val="none"/>
              </w:rPr>
            </w:pPr>
            <w:r>
              <w:rPr>
                <w:rFonts w:hint="eastAsia" w:ascii="宋体" w:hAnsi="宋体" w:eastAsia="宋体" w:cs="宋体"/>
                <w:b w:val="0"/>
                <w:bCs/>
                <w:color w:val="000000"/>
                <w:sz w:val="24"/>
                <w:highlight w:val="none"/>
              </w:rPr>
              <w:t>供应商资格要求：</w:t>
            </w:r>
          </w:p>
          <w:p w14:paraId="47F28CF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1.满足《中华人民共和国政府采购法》第二十二条规定；</w:t>
            </w:r>
          </w:p>
          <w:p w14:paraId="3D70505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（1）具有独立承担民事责任的能力（须提供有效的营业执照、组织机构代码证、税务登记证（三证合一只需提供营业执照副本）；</w:t>
            </w:r>
          </w:p>
          <w:p w14:paraId="29676BC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具有良好的商业信誉和健全的财务会计制度（须提供近18个月内完整的财务审计报告或开户银行出具的资信证明文件，注册不足1年的以营业执照实际成立期限为准，并按实际成立期限之日起提供财务报表）；</w:t>
            </w:r>
          </w:p>
          <w:p w14:paraId="636E4332">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（3）具有履行合同所必需的设备和专业技术能力（需提交企业声明函原件）；</w:t>
            </w:r>
          </w:p>
          <w:p w14:paraId="65A4F3A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（4）有依法缴纳税收和社会保障资金的良好记录（须提供近6个月内任意1个月的纳税凭证和缴纳社会保险凭证的证明资料</w:t>
            </w:r>
            <w:r>
              <w:rPr>
                <w:rFonts w:hint="eastAsia" w:ascii="宋体" w:hAnsi="宋体" w:cs="宋体"/>
                <w:b w:val="0"/>
                <w:bCs/>
                <w:sz w:val="24"/>
                <w:highlight w:val="none"/>
                <w:lang w:val="en-US" w:eastAsia="zh-CN"/>
              </w:rPr>
              <w:t>；</w:t>
            </w:r>
            <w:r>
              <w:rPr>
                <w:rFonts w:hint="eastAsia" w:ascii="宋体" w:hAnsi="宋体" w:eastAsia="宋体" w:cs="宋体"/>
                <w:sz w:val="24"/>
                <w:szCs w:val="24"/>
                <w:highlight w:val="none"/>
                <w:lang w:val="en-US" w:eastAsia="zh-CN"/>
              </w:rPr>
              <w:t>未达到起征点的需提供相关证明材料</w:t>
            </w:r>
            <w:r>
              <w:rPr>
                <w:rFonts w:hint="eastAsia" w:ascii="宋体" w:hAnsi="宋体" w:eastAsia="宋体" w:cs="宋体"/>
                <w:b w:val="0"/>
                <w:bCs/>
                <w:sz w:val="24"/>
                <w:highlight w:val="none"/>
                <w:lang w:val="en-US" w:eastAsia="zh-CN"/>
              </w:rPr>
              <w:t>）；</w:t>
            </w:r>
          </w:p>
          <w:p w14:paraId="054B03B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（5）参加本次政府采购活动前三年内，在经营活动中没有重大违法记录（需提交企业声明函原件）。</w:t>
            </w:r>
          </w:p>
          <w:p w14:paraId="5F9B2FF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（6）法律、行政法规规定的其他条件。</w:t>
            </w:r>
          </w:p>
          <w:p w14:paraId="4642673A">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2.本项目的特定资格要求：</w:t>
            </w:r>
          </w:p>
          <w:p w14:paraId="27242F6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（1）提供法定代表人资格证明、法人身份证复印件（法定代表人参与投标时提供）；或法人授权函、被授权人身份证复印件（非法定代表人参与投标时提供）；</w:t>
            </w:r>
          </w:p>
          <w:p w14:paraId="416A9C9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供应商未被列入“信用中国”网站记录失信被执行人或重大税收违法案件当事人名单或政府采购严重违法失信行为记录名单（须提供“信用中国”网站查询结果截图）；供应商不处于中国政府采购网政府采购严重违法失信行为信息记录中的禁止参加政府采购活动执行期（须提供“中国政府采购网”企业查询结果截图）查询结果（以招标公告发布之日起至递交投标文件截止时间前在“信用中国”网站、中国政府采购网查询结果为准，如相关记录已失效，供应商需提供相关证明资料）。</w:t>
            </w:r>
          </w:p>
          <w:p w14:paraId="62FE2EB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 xml:space="preserve"> 3.本项目（是/否）接受联合体：否（成交单位不允许以任何形式进行分包或转包，需提供声明函</w:t>
            </w:r>
            <w:r>
              <w:rPr>
                <w:rFonts w:hint="eastAsia" w:ascii="宋体" w:hAnsi="宋体" w:cs="宋体"/>
                <w:b w:val="0"/>
                <w:bCs/>
                <w:sz w:val="24"/>
                <w:highlight w:val="none"/>
                <w:lang w:val="en-US" w:eastAsia="zh-CN"/>
              </w:rPr>
              <w:t>原件</w:t>
            </w:r>
            <w:r>
              <w:rPr>
                <w:rFonts w:hint="eastAsia" w:ascii="宋体" w:hAnsi="宋体" w:eastAsia="宋体" w:cs="宋体"/>
                <w:b w:val="0"/>
                <w:bCs/>
                <w:sz w:val="24"/>
                <w:highlight w:val="none"/>
                <w:lang w:val="en-US" w:eastAsia="zh-CN"/>
              </w:rPr>
              <w:t>）。</w:t>
            </w:r>
          </w:p>
          <w:p w14:paraId="0825FD8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
                <w:color w:val="000000"/>
                <w:sz w:val="24"/>
                <w:highlight w:val="none"/>
              </w:rPr>
            </w:pPr>
            <w:r>
              <w:rPr>
                <w:rFonts w:hint="eastAsia" w:ascii="宋体" w:hAnsi="宋体" w:eastAsia="宋体" w:cs="宋体"/>
                <w:b/>
                <w:sz w:val="24"/>
                <w:highlight w:val="none"/>
              </w:rPr>
              <w:t>注</w:t>
            </w:r>
            <w:r>
              <w:rPr>
                <w:rFonts w:hint="eastAsia" w:ascii="宋体" w:hAnsi="宋体" w:cs="宋体"/>
                <w:b/>
                <w:sz w:val="24"/>
                <w:highlight w:val="none"/>
                <w:lang w:eastAsia="zh-CN"/>
              </w:rPr>
              <w:t>：</w:t>
            </w:r>
            <w:r>
              <w:rPr>
                <w:rFonts w:hint="eastAsia" w:ascii="宋体" w:hAnsi="宋体" w:eastAsia="宋体" w:cs="宋体"/>
                <w:b/>
                <w:color w:val="000000"/>
                <w:sz w:val="24"/>
                <w:highlight w:val="none"/>
              </w:rPr>
              <w:t xml:space="preserve"> 1）供应商提交的所有证明文件及材料必须清晰、准确、真实。</w:t>
            </w:r>
          </w:p>
          <w:p w14:paraId="7B4A55DC">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b/>
                <w:sz w:val="24"/>
                <w:highlight w:val="none"/>
              </w:rPr>
            </w:pPr>
            <w:r>
              <w:rPr>
                <w:rFonts w:hint="eastAsia" w:ascii="宋体" w:hAnsi="宋体" w:eastAsia="宋体" w:cs="宋体"/>
                <w:b/>
                <w:color w:val="000000"/>
                <w:sz w:val="24"/>
                <w:highlight w:val="none"/>
              </w:rPr>
              <w:t>2）以上资格条件有一项不满足的视为无效投标。</w:t>
            </w:r>
          </w:p>
        </w:tc>
      </w:tr>
      <w:tr w14:paraId="41C54F5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049" w:type="dxa"/>
            <w:noWrap w:val="0"/>
            <w:vAlign w:val="center"/>
          </w:tcPr>
          <w:p w14:paraId="7F45776B">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11</w:t>
            </w:r>
          </w:p>
        </w:tc>
        <w:tc>
          <w:tcPr>
            <w:tcW w:w="1450" w:type="dxa"/>
            <w:noWrap w:val="0"/>
            <w:vAlign w:val="center"/>
          </w:tcPr>
          <w:p w14:paraId="0A048E72">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保证金</w:t>
            </w:r>
            <w:r>
              <w:rPr>
                <w:rFonts w:hint="eastAsia" w:ascii="宋体" w:hAnsi="宋体" w:cs="宋体"/>
                <w:b/>
                <w:sz w:val="24"/>
                <w:szCs w:val="24"/>
                <w:highlight w:val="none"/>
                <w:lang w:val="en-US" w:eastAsia="zh-CN"/>
              </w:rPr>
              <w:t>缴纳</w:t>
            </w:r>
            <w:r>
              <w:rPr>
                <w:rFonts w:hint="eastAsia" w:ascii="宋体" w:hAnsi="宋体" w:eastAsia="宋体" w:cs="宋体"/>
                <w:b/>
                <w:sz w:val="24"/>
                <w:szCs w:val="24"/>
                <w:highlight w:val="none"/>
              </w:rPr>
              <w:t>数额和形式</w:t>
            </w:r>
          </w:p>
        </w:tc>
        <w:tc>
          <w:tcPr>
            <w:tcW w:w="6551" w:type="dxa"/>
            <w:noWrap w:val="0"/>
            <w:vAlign w:val="center"/>
          </w:tcPr>
          <w:p w14:paraId="4187E3F0">
            <w:pPr>
              <w:keepNext w:val="0"/>
              <w:keepLines w:val="0"/>
              <w:pageBreakBefore w:val="0"/>
              <w:kinsoku/>
              <w:wordWrap/>
              <w:overflowPunct/>
              <w:topLinePunct w:val="0"/>
              <w:autoSpaceDE/>
              <w:autoSpaceDN/>
              <w:bidi w:val="0"/>
              <w:spacing w:line="440" w:lineRule="exac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不收取投标保证金</w:t>
            </w:r>
          </w:p>
        </w:tc>
      </w:tr>
      <w:tr w14:paraId="2E40D3B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9" w:type="dxa"/>
            <w:noWrap w:val="0"/>
            <w:vAlign w:val="center"/>
          </w:tcPr>
          <w:p w14:paraId="0882C21B">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w:t>
            </w:r>
          </w:p>
        </w:tc>
        <w:tc>
          <w:tcPr>
            <w:tcW w:w="1450" w:type="dxa"/>
            <w:noWrap w:val="0"/>
            <w:vAlign w:val="center"/>
          </w:tcPr>
          <w:p w14:paraId="349A38E6">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z w:val="24"/>
                <w:szCs w:val="24"/>
                <w:highlight w:val="none"/>
              </w:rPr>
            </w:pPr>
            <w:r>
              <w:rPr>
                <w:rFonts w:hint="eastAsia" w:ascii="宋体" w:hAnsi="宋体" w:eastAsia="宋体" w:cs="宋体"/>
                <w:b/>
                <w:sz w:val="24"/>
                <w:szCs w:val="24"/>
                <w:highlight w:val="none"/>
              </w:rPr>
              <w:t>《竞争性磋商响应文件》递交份数、时间、地点</w:t>
            </w:r>
          </w:p>
        </w:tc>
        <w:tc>
          <w:tcPr>
            <w:tcW w:w="6551" w:type="dxa"/>
            <w:noWrap w:val="0"/>
            <w:vAlign w:val="center"/>
          </w:tcPr>
          <w:p w14:paraId="46F7156B">
            <w:pPr>
              <w:keepNext w:val="0"/>
              <w:keepLines w:val="0"/>
              <w:pageBreakBefore w:val="0"/>
              <w:kinsoku/>
              <w:wordWrap/>
              <w:overflowPunct/>
              <w:topLinePunct w:val="0"/>
              <w:autoSpaceDE/>
              <w:autoSpaceDN/>
              <w:bidi w:val="0"/>
              <w:spacing w:line="44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（1）份数：正本1份</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副本</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份，电子版《竞争性磋商响应文件》</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份，U盘形式（pdf及Word格式保存），所有文件递交不退。</w:t>
            </w:r>
          </w:p>
          <w:p w14:paraId="227B70DB">
            <w:pPr>
              <w:pStyle w:val="109"/>
              <w:spacing w:line="520" w:lineRule="exact"/>
              <w:rPr>
                <w:rFonts w:hint="eastAsia" w:ascii="宋体" w:hAnsi="宋体" w:eastAsia="宋体" w:cs="宋体"/>
                <w:b/>
                <w:bCs w:val="0"/>
                <w:spacing w:val="10"/>
                <w:sz w:val="24"/>
                <w:szCs w:val="24"/>
                <w:highlight w:val="none"/>
              </w:rPr>
            </w:pPr>
            <w:r>
              <w:rPr>
                <w:rFonts w:hint="eastAsia" w:ascii="宋体" w:hAnsi="宋体" w:eastAsia="宋体" w:cs="宋体"/>
                <w:b/>
                <w:bCs w:val="0"/>
                <w:sz w:val="24"/>
                <w:szCs w:val="24"/>
                <w:highlight w:val="none"/>
              </w:rPr>
              <w:t>特别提示：</w:t>
            </w:r>
            <w:r>
              <w:rPr>
                <w:rFonts w:hint="eastAsia" w:ascii="宋体" w:hAnsi="宋体" w:eastAsia="宋体" w:cs="宋体"/>
                <w:b/>
                <w:bCs w:val="0"/>
                <w:kern w:val="2"/>
                <w:sz w:val="24"/>
                <w:szCs w:val="24"/>
                <w:highlight w:val="none"/>
                <w:lang w:val="en-US" w:eastAsia="zh-CN" w:bidi="ar-SA"/>
              </w:rPr>
              <w:t>开标当天（密封）送达或快递至甘肃省平凉市崆峒区北门什字创慧中心，收件人：成雪铷，电话：18193388857，纸质版投标文件内容必须与递交的电子版投标文件保持一致。</w:t>
            </w:r>
          </w:p>
          <w:p w14:paraId="623D029A">
            <w:pPr>
              <w:keepNext w:val="0"/>
              <w:keepLines w:val="0"/>
              <w:pageBreakBefore w:val="0"/>
              <w:kinsoku/>
              <w:wordWrap/>
              <w:overflowPunct/>
              <w:topLinePunct w:val="0"/>
              <w:autoSpaceDE/>
              <w:autoSpaceDN/>
              <w:bidi w:val="0"/>
              <w:spacing w:line="440" w:lineRule="exact"/>
              <w:jc w:val="left"/>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递交地点：甘肃省平凉市崆峒区北门什字创</w:t>
            </w:r>
            <w:r>
              <w:rPr>
                <w:rFonts w:hint="eastAsia" w:ascii="宋体" w:hAnsi="宋体" w:eastAsia="宋体" w:cs="宋体"/>
                <w:sz w:val="24"/>
                <w:szCs w:val="24"/>
                <w:highlight w:val="none"/>
                <w:lang w:val="en-US" w:eastAsia="zh-CN"/>
              </w:rPr>
              <w:t>慧</w:t>
            </w:r>
            <w:r>
              <w:rPr>
                <w:rFonts w:hint="eastAsia" w:ascii="宋体" w:hAnsi="宋体" w:eastAsia="宋体" w:cs="宋体"/>
                <w:sz w:val="24"/>
                <w:szCs w:val="24"/>
                <w:highlight w:val="none"/>
              </w:rPr>
              <w:t>中心</w:t>
            </w:r>
          </w:p>
        </w:tc>
      </w:tr>
      <w:tr w14:paraId="7032CB8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9" w:type="dxa"/>
            <w:noWrap w:val="0"/>
            <w:vAlign w:val="center"/>
          </w:tcPr>
          <w:p w14:paraId="21E10000">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13</w:t>
            </w:r>
          </w:p>
        </w:tc>
        <w:tc>
          <w:tcPr>
            <w:tcW w:w="1450" w:type="dxa"/>
            <w:noWrap w:val="0"/>
            <w:vAlign w:val="center"/>
          </w:tcPr>
          <w:p w14:paraId="01B8A853">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密封要求</w:t>
            </w:r>
          </w:p>
        </w:tc>
        <w:tc>
          <w:tcPr>
            <w:tcW w:w="6551" w:type="dxa"/>
            <w:noWrap w:val="0"/>
            <w:vAlign w:val="center"/>
          </w:tcPr>
          <w:p w14:paraId="657A7DD2">
            <w:pPr>
              <w:pStyle w:val="109"/>
              <w:spacing w:line="52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本项目为</w:t>
            </w:r>
            <w:r>
              <w:rPr>
                <w:rFonts w:hint="eastAsia" w:ascii="宋体" w:hAnsi="宋体" w:eastAsia="宋体" w:cs="宋体"/>
                <w:sz w:val="24"/>
                <w:szCs w:val="24"/>
                <w:highlight w:val="none"/>
                <w:lang w:val="en-US" w:eastAsia="zh-CN"/>
              </w:rPr>
              <w:t>网上</w:t>
            </w:r>
            <w:r>
              <w:rPr>
                <w:rFonts w:hint="eastAsia" w:ascii="宋体" w:hAnsi="宋体" w:eastAsia="宋体" w:cs="宋体"/>
                <w:sz w:val="24"/>
                <w:szCs w:val="24"/>
                <w:highlight w:val="none"/>
                <w:lang w:eastAsia="zh-CN"/>
              </w:rPr>
              <w:t>开标，各投标人纸质版投标文件，</w:t>
            </w:r>
            <w:r>
              <w:rPr>
                <w:rFonts w:hint="eastAsia" w:ascii="宋体" w:hAnsi="宋体" w:eastAsia="宋体" w:cs="宋体"/>
                <w:b w:val="0"/>
                <w:bCs/>
                <w:kern w:val="2"/>
                <w:sz w:val="24"/>
                <w:szCs w:val="24"/>
                <w:highlight w:val="none"/>
                <w:lang w:val="en-US" w:eastAsia="zh-CN" w:bidi="ar-SA"/>
              </w:rPr>
              <w:t>开标当天（密封）送达或快递至甘肃省平凉市崆峒区北门什字创慧中心，收件人：成雪铷，电话：18193388857，纸质版投标文件内容必须与递交的电子版投标文件保持一致。</w:t>
            </w:r>
          </w:p>
        </w:tc>
      </w:tr>
      <w:tr w14:paraId="72CDC9F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9" w:type="dxa"/>
            <w:tcBorders>
              <w:left w:val="single" w:color="auto" w:sz="4" w:space="0"/>
            </w:tcBorders>
            <w:noWrap w:val="0"/>
            <w:vAlign w:val="center"/>
          </w:tcPr>
          <w:p w14:paraId="2832BC2C">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4</w:t>
            </w:r>
          </w:p>
        </w:tc>
        <w:tc>
          <w:tcPr>
            <w:tcW w:w="1450" w:type="dxa"/>
            <w:noWrap w:val="0"/>
            <w:vAlign w:val="center"/>
          </w:tcPr>
          <w:p w14:paraId="16A0F218">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z w:val="24"/>
                <w:szCs w:val="24"/>
                <w:highlight w:val="none"/>
              </w:rPr>
            </w:pPr>
            <w:r>
              <w:rPr>
                <w:rFonts w:hint="eastAsia" w:ascii="宋体" w:hAnsi="宋体" w:eastAsia="宋体" w:cs="宋体"/>
                <w:b/>
                <w:sz w:val="24"/>
                <w:szCs w:val="24"/>
                <w:highlight w:val="none"/>
              </w:rPr>
              <w:t>磋商时间及地点</w:t>
            </w:r>
          </w:p>
        </w:tc>
        <w:tc>
          <w:tcPr>
            <w:tcW w:w="6551" w:type="dxa"/>
            <w:tcBorders>
              <w:right w:val="single" w:color="auto" w:sz="4" w:space="0"/>
            </w:tcBorders>
            <w:noWrap w:val="0"/>
            <w:vAlign w:val="center"/>
          </w:tcPr>
          <w:p w14:paraId="40F12A7B">
            <w:pPr>
              <w:keepNext w:val="0"/>
              <w:keepLines w:val="0"/>
              <w:pageBreakBefore w:val="0"/>
              <w:kinsoku/>
              <w:wordWrap/>
              <w:overflowPunct/>
              <w:topLinePunct w:val="0"/>
              <w:autoSpaceDE/>
              <w:autoSpaceDN/>
              <w:bidi w:val="0"/>
              <w:adjustRightInd w:val="0"/>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磋商时间：</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eastAsia="zh-CN"/>
              </w:rPr>
              <w:t>日</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时</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rPr>
              <w:t>（北京时间）</w:t>
            </w:r>
          </w:p>
          <w:p w14:paraId="551600BF">
            <w:pPr>
              <w:keepNext w:val="0"/>
              <w:keepLines w:val="0"/>
              <w:pageBreakBefore w:val="0"/>
              <w:tabs>
                <w:tab w:val="left" w:pos="400"/>
              </w:tabs>
              <w:kinsoku/>
              <w:wordWrap/>
              <w:overflowPunct/>
              <w:topLinePunct w:val="0"/>
              <w:autoSpaceDE/>
              <w:autoSpaceDN/>
              <w:bidi w:val="0"/>
              <w:adjustRightInd w:val="0"/>
              <w:snapToGrid w:val="0"/>
              <w:spacing w:line="440" w:lineRule="exact"/>
              <w:jc w:val="left"/>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磋商地点：</w:t>
            </w:r>
            <w:r>
              <w:rPr>
                <w:rFonts w:hint="eastAsia" w:ascii="宋体" w:hAnsi="宋体" w:eastAsia="宋体" w:cs="宋体"/>
                <w:sz w:val="24"/>
                <w:szCs w:val="24"/>
                <w:highlight w:val="none"/>
                <w:lang w:val="en-US" w:eastAsia="zh-CN"/>
              </w:rPr>
              <w:t>甘肃创慧惠科建设工程管理有限公司开</w:t>
            </w:r>
            <w:r>
              <w:rPr>
                <w:rFonts w:hint="eastAsia" w:ascii="宋体" w:hAnsi="宋体" w:cs="宋体"/>
                <w:sz w:val="24"/>
                <w:szCs w:val="24"/>
                <w:highlight w:val="none"/>
                <w:lang w:val="en-US" w:eastAsia="zh-CN"/>
              </w:rPr>
              <w:t>标室</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逾期未</w:t>
            </w:r>
            <w:r>
              <w:rPr>
                <w:rFonts w:hint="eastAsia" w:ascii="宋体" w:hAnsi="宋体" w:eastAsia="宋体" w:cs="宋体"/>
                <w:sz w:val="24"/>
                <w:szCs w:val="24"/>
                <w:highlight w:val="none"/>
                <w:lang w:val="en-US" w:eastAsia="zh-CN"/>
              </w:rPr>
              <w:t>将</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lang w:val="en-US" w:eastAsia="zh-CN"/>
              </w:rPr>
              <w:t>发送至指定邮箱的，</w:t>
            </w:r>
            <w:r>
              <w:rPr>
                <w:rFonts w:hint="eastAsia" w:ascii="宋体" w:hAnsi="宋体" w:eastAsia="宋体" w:cs="宋体"/>
                <w:sz w:val="24"/>
                <w:szCs w:val="24"/>
                <w:highlight w:val="none"/>
                <w:lang w:eastAsia="zh-CN"/>
              </w:rPr>
              <w:t>将予以拒收。</w:t>
            </w:r>
          </w:p>
        </w:tc>
      </w:tr>
      <w:tr w14:paraId="4AE98E5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49" w:type="dxa"/>
            <w:noWrap w:val="0"/>
            <w:vAlign w:val="center"/>
          </w:tcPr>
          <w:p w14:paraId="7F09D8EB">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sz w:val="24"/>
                <w:szCs w:val="24"/>
                <w:highlight w:val="none"/>
                <w:lang w:val="en-US" w:eastAsia="zh-CN"/>
              </w:rPr>
              <w:t>15</w:t>
            </w:r>
          </w:p>
        </w:tc>
        <w:tc>
          <w:tcPr>
            <w:tcW w:w="1450" w:type="dxa"/>
            <w:noWrap w:val="0"/>
            <w:vAlign w:val="center"/>
          </w:tcPr>
          <w:p w14:paraId="2FBC413F">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是否采用电子招标投标</w:t>
            </w:r>
          </w:p>
        </w:tc>
        <w:tc>
          <w:tcPr>
            <w:tcW w:w="6551" w:type="dxa"/>
            <w:noWrap w:val="0"/>
            <w:vAlign w:val="center"/>
          </w:tcPr>
          <w:p w14:paraId="3C4FF324">
            <w:pPr>
              <w:keepNext w:val="0"/>
              <w:keepLines w:val="0"/>
              <w:pageBreakBefore w:val="0"/>
              <w:kinsoku/>
              <w:wordWrap/>
              <w:overflowPunct/>
              <w:topLinePunct w:val="0"/>
              <w:autoSpaceDE/>
              <w:autoSpaceDN/>
              <w:bidi w:val="0"/>
              <w:adjustRightInd w:val="0"/>
              <w:snapToGrid w:val="0"/>
              <w:spacing w:line="440" w:lineRule="exact"/>
              <w:ind w:firstLine="240" w:firstLineChars="10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否</w:t>
            </w:r>
          </w:p>
          <w:p w14:paraId="470EE7DC">
            <w:pPr>
              <w:keepNext w:val="0"/>
              <w:keepLines w:val="0"/>
              <w:pageBreakBefore w:val="0"/>
              <w:kinsoku/>
              <w:wordWrap/>
              <w:overflowPunct/>
              <w:topLinePunct w:val="0"/>
              <w:autoSpaceDE/>
              <w:autoSpaceDN/>
              <w:bidi w:val="0"/>
              <w:adjustRightInd w:val="0"/>
              <w:snapToGrid w:val="0"/>
              <w:spacing w:line="440" w:lineRule="exact"/>
              <w:ind w:firstLine="240" w:firstLineChars="100"/>
              <w:jc w:val="left"/>
              <w:rPr>
                <w:rFonts w:hint="eastAsia" w:ascii="宋体" w:hAnsi="宋体" w:eastAsia="宋体" w:cs="宋体"/>
                <w:b/>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是</w:t>
            </w:r>
          </w:p>
        </w:tc>
      </w:tr>
      <w:tr w14:paraId="5D29F1C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49" w:type="dxa"/>
            <w:noWrap w:val="0"/>
            <w:vAlign w:val="center"/>
          </w:tcPr>
          <w:p w14:paraId="3BE0E42E">
            <w:pPr>
              <w:keepNext w:val="0"/>
              <w:keepLines w:val="0"/>
              <w:pageBreakBefore w:val="0"/>
              <w:kinsoku/>
              <w:wordWrap/>
              <w:overflowPunct/>
              <w:topLinePunct w:val="0"/>
              <w:autoSpaceDE/>
              <w:autoSpaceDN/>
              <w:bidi w:val="0"/>
              <w:spacing w:line="440" w:lineRule="exact"/>
              <w:jc w:val="center"/>
              <w:textAlignment w:val="baseline"/>
              <w:rPr>
                <w:rFonts w:hint="default" w:ascii="宋体" w:hAnsi="宋体" w:eastAsia="宋体" w:cs="宋体"/>
                <w:spacing w:val="10"/>
                <w:sz w:val="24"/>
                <w:szCs w:val="24"/>
                <w:highlight w:val="none"/>
                <w:lang w:val="en-US" w:eastAsia="zh-CN"/>
              </w:rPr>
            </w:pPr>
            <w:r>
              <w:rPr>
                <w:rFonts w:hint="eastAsia" w:ascii="宋体" w:hAnsi="宋体" w:cs="宋体"/>
                <w:spacing w:val="10"/>
                <w:sz w:val="24"/>
                <w:szCs w:val="24"/>
                <w:highlight w:val="none"/>
                <w:lang w:val="en-US" w:eastAsia="zh-CN"/>
              </w:rPr>
              <w:t>16</w:t>
            </w:r>
          </w:p>
        </w:tc>
        <w:tc>
          <w:tcPr>
            <w:tcW w:w="1450" w:type="dxa"/>
            <w:noWrap w:val="0"/>
            <w:vAlign w:val="center"/>
          </w:tcPr>
          <w:p w14:paraId="6A051089">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所属行业</w:t>
            </w:r>
          </w:p>
        </w:tc>
        <w:tc>
          <w:tcPr>
            <w:tcW w:w="6551" w:type="dxa"/>
            <w:noWrap w:val="0"/>
            <w:vAlign w:val="center"/>
          </w:tcPr>
          <w:p w14:paraId="3EF59687">
            <w:pPr>
              <w:keepNext w:val="0"/>
              <w:keepLines w:val="0"/>
              <w:pageBreakBefore w:val="0"/>
              <w:kinsoku/>
              <w:wordWrap/>
              <w:overflowPunct/>
              <w:topLinePunct w:val="0"/>
              <w:autoSpaceDE/>
              <w:autoSpaceDN/>
              <w:bidi w:val="0"/>
              <w:adjustRightInd w:val="0"/>
              <w:snapToGrid w:val="0"/>
              <w:spacing w:line="440" w:lineRule="exact"/>
              <w:ind w:firstLine="240" w:firstLineChars="1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制造业</w:t>
            </w:r>
          </w:p>
        </w:tc>
      </w:tr>
      <w:tr w14:paraId="2E5F5FA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46" w:hRule="atLeast"/>
          <w:jc w:val="center"/>
        </w:trPr>
        <w:tc>
          <w:tcPr>
            <w:tcW w:w="1049" w:type="dxa"/>
            <w:noWrap w:val="0"/>
            <w:vAlign w:val="center"/>
          </w:tcPr>
          <w:p w14:paraId="63412D9A">
            <w:pPr>
              <w:keepNext w:val="0"/>
              <w:keepLines w:val="0"/>
              <w:pageBreakBefore w:val="0"/>
              <w:kinsoku/>
              <w:wordWrap/>
              <w:overflowPunct/>
              <w:topLinePunct w:val="0"/>
              <w:autoSpaceDE/>
              <w:autoSpaceDN/>
              <w:bidi w:val="0"/>
              <w:spacing w:line="440" w:lineRule="exact"/>
              <w:jc w:val="center"/>
              <w:textAlignment w:val="baseline"/>
              <w:rPr>
                <w:rFonts w:hint="default" w:ascii="宋体" w:hAnsi="宋体" w:eastAsia="宋体" w:cs="宋体"/>
                <w:spacing w:val="10"/>
                <w:kern w:val="2"/>
                <w:sz w:val="24"/>
                <w:szCs w:val="24"/>
                <w:highlight w:val="none"/>
                <w:lang w:val="en-US" w:eastAsia="zh-CN" w:bidi="ar-SA"/>
              </w:rPr>
            </w:pPr>
            <w:r>
              <w:rPr>
                <w:rFonts w:hint="eastAsia" w:ascii="宋体" w:hAnsi="宋体" w:cs="宋体"/>
                <w:spacing w:val="10"/>
                <w:sz w:val="24"/>
                <w:szCs w:val="24"/>
                <w:highlight w:val="none"/>
                <w:lang w:val="en-US" w:eastAsia="zh-CN"/>
              </w:rPr>
              <w:t>17</w:t>
            </w:r>
          </w:p>
        </w:tc>
        <w:tc>
          <w:tcPr>
            <w:tcW w:w="1450" w:type="dxa"/>
            <w:noWrap w:val="0"/>
            <w:vAlign w:val="center"/>
          </w:tcPr>
          <w:p w14:paraId="397962EB">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开标方式</w:t>
            </w:r>
          </w:p>
        </w:tc>
        <w:tc>
          <w:tcPr>
            <w:tcW w:w="6551" w:type="dxa"/>
            <w:noWrap w:val="0"/>
            <w:vAlign w:val="center"/>
          </w:tcPr>
          <w:p w14:paraId="2F3046C9">
            <w:pPr>
              <w:keepNext w:val="0"/>
              <w:keepLines w:val="0"/>
              <w:pageBreakBefore w:val="0"/>
              <w:tabs>
                <w:tab w:val="left" w:pos="400"/>
              </w:tabs>
              <w:kinsoku/>
              <w:wordWrap/>
              <w:overflowPunct/>
              <w:topLinePunct w:val="0"/>
              <w:autoSpaceDE/>
              <w:autoSpaceDN/>
              <w:bidi w:val="0"/>
              <w:adjustRightInd w:val="0"/>
              <w:snapToGrid w:val="0"/>
              <w:spacing w:line="440" w:lineRule="exact"/>
              <w:jc w:val="left"/>
              <w:textAlignment w:val="baseline"/>
              <w:rPr>
                <w:rFonts w:hint="eastAsia" w:ascii="宋体" w:hAnsi="宋体" w:eastAsia="宋体" w:cs="宋体"/>
                <w:sz w:val="24"/>
                <w:szCs w:val="24"/>
                <w:highlight w:val="none"/>
                <w:lang w:val="en-US" w:eastAsia="zh-CN"/>
              </w:rPr>
            </w:pPr>
            <w:r>
              <w:drawing>
                <wp:anchor distT="0" distB="0" distL="114300" distR="114300" simplePos="0" relativeHeight="251660288" behindDoc="0" locked="0" layoutInCell="1" allowOverlap="1">
                  <wp:simplePos x="0" y="0"/>
                  <wp:positionH relativeFrom="column">
                    <wp:posOffset>1037590</wp:posOffset>
                  </wp:positionH>
                  <wp:positionV relativeFrom="paragraph">
                    <wp:posOffset>784225</wp:posOffset>
                  </wp:positionV>
                  <wp:extent cx="1697990" cy="1544320"/>
                  <wp:effectExtent l="0" t="0" r="16510" b="1778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8"/>
                          <a:stretch>
                            <a:fillRect/>
                          </a:stretch>
                        </pic:blipFill>
                        <pic:spPr>
                          <a:xfrm>
                            <a:off x="0" y="0"/>
                            <a:ext cx="1697990" cy="1544320"/>
                          </a:xfrm>
                          <a:prstGeom prst="rect">
                            <a:avLst/>
                          </a:prstGeom>
                          <a:noFill/>
                          <a:ln>
                            <a:noFill/>
                          </a:ln>
                        </pic:spPr>
                      </pic:pic>
                    </a:graphicData>
                  </a:graphic>
                </wp:anchor>
              </w:drawing>
            </w:r>
            <w:r>
              <w:rPr>
                <w:rFonts w:hint="eastAsia" w:ascii="宋体" w:hAnsi="宋体" w:eastAsia="宋体" w:cs="宋体"/>
                <w:sz w:val="24"/>
                <w:szCs w:val="24"/>
                <w:highlight w:val="none"/>
                <w:lang w:val="en-US" w:eastAsia="zh-CN"/>
              </w:rPr>
              <w:t>该项目开标方式为钉钉视频会议开标，请各投标人开标前通过扫描招标文件中钉钉二维码进入钉钉群并修改名称为投标企业名称。</w:t>
            </w:r>
          </w:p>
          <w:p w14:paraId="354D985F">
            <w:pPr>
              <w:pStyle w:val="3"/>
              <w:rPr>
                <w:rFonts w:hint="eastAsia" w:ascii="宋体" w:hAnsi="宋体" w:eastAsia="宋体" w:cs="宋体"/>
                <w:sz w:val="24"/>
                <w:szCs w:val="24"/>
                <w:highlight w:val="none"/>
                <w:lang w:val="en-US" w:eastAsia="zh-CN"/>
              </w:rPr>
            </w:pPr>
          </w:p>
          <w:p w14:paraId="0355D567">
            <w:pPr>
              <w:rPr>
                <w:rFonts w:hint="eastAsia" w:ascii="宋体" w:hAnsi="宋体" w:eastAsia="宋体" w:cs="宋体"/>
                <w:sz w:val="24"/>
                <w:szCs w:val="24"/>
                <w:highlight w:val="none"/>
                <w:lang w:val="en-US" w:eastAsia="zh-CN"/>
              </w:rPr>
            </w:pPr>
          </w:p>
          <w:p w14:paraId="77C0440B">
            <w:pPr>
              <w:rPr>
                <w:rFonts w:hint="eastAsia" w:ascii="宋体" w:hAnsi="宋体" w:eastAsia="宋体" w:cs="宋体"/>
                <w:sz w:val="24"/>
                <w:szCs w:val="24"/>
                <w:highlight w:val="none"/>
                <w:lang w:val="en-US" w:eastAsia="zh-CN"/>
              </w:rPr>
            </w:pPr>
          </w:p>
          <w:p w14:paraId="2D1EAA5B">
            <w:pPr>
              <w:rPr>
                <w:rFonts w:hint="eastAsia" w:ascii="宋体" w:hAnsi="宋体" w:eastAsia="宋体" w:cs="宋体"/>
                <w:sz w:val="24"/>
                <w:szCs w:val="24"/>
                <w:highlight w:val="none"/>
                <w:lang w:val="en-US" w:eastAsia="zh-CN"/>
              </w:rPr>
            </w:pPr>
          </w:p>
          <w:p w14:paraId="01242F57">
            <w:pPr>
              <w:adjustRightInd w:val="0"/>
              <w:snapToGrid w:val="0"/>
              <w:spacing w:line="360" w:lineRule="auto"/>
              <w:jc w:val="left"/>
              <w:rPr>
                <w:rFonts w:hint="eastAsia" w:ascii="宋体" w:hAnsi="宋体" w:eastAsia="宋体" w:cs="宋体"/>
                <w:highlight w:val="none"/>
                <w:lang w:val="en-US" w:eastAsia="zh-CN"/>
              </w:rPr>
            </w:pPr>
          </w:p>
        </w:tc>
      </w:tr>
      <w:tr w14:paraId="668D277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049" w:type="dxa"/>
            <w:noWrap w:val="0"/>
            <w:vAlign w:val="center"/>
          </w:tcPr>
          <w:p w14:paraId="6B6499C4">
            <w:pPr>
              <w:keepNext w:val="0"/>
              <w:keepLines w:val="0"/>
              <w:pageBreakBefore w:val="0"/>
              <w:kinsoku/>
              <w:wordWrap/>
              <w:overflowPunct/>
              <w:topLinePunct w:val="0"/>
              <w:autoSpaceDE/>
              <w:autoSpaceDN/>
              <w:bidi w:val="0"/>
              <w:spacing w:line="440" w:lineRule="exact"/>
              <w:jc w:val="center"/>
              <w:textAlignment w:val="baseline"/>
              <w:rPr>
                <w:rFonts w:hint="default" w:ascii="宋体" w:hAnsi="宋体" w:eastAsia="宋体" w:cs="宋体"/>
                <w:spacing w:val="10"/>
                <w:sz w:val="24"/>
                <w:szCs w:val="24"/>
                <w:highlight w:val="none"/>
                <w:lang w:val="en-US" w:eastAsia="zh-CN"/>
              </w:rPr>
            </w:pPr>
            <w:r>
              <w:rPr>
                <w:rFonts w:hint="eastAsia" w:ascii="宋体" w:hAnsi="宋体" w:cs="宋体"/>
                <w:spacing w:val="10"/>
                <w:sz w:val="24"/>
                <w:szCs w:val="24"/>
                <w:highlight w:val="none"/>
                <w:lang w:val="en-US" w:eastAsia="zh-CN"/>
              </w:rPr>
              <w:t>18</w:t>
            </w:r>
          </w:p>
        </w:tc>
        <w:tc>
          <w:tcPr>
            <w:tcW w:w="1450" w:type="dxa"/>
            <w:noWrap w:val="0"/>
            <w:vAlign w:val="center"/>
          </w:tcPr>
          <w:p w14:paraId="7A0DB82C">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报价方式</w:t>
            </w:r>
          </w:p>
        </w:tc>
        <w:tc>
          <w:tcPr>
            <w:tcW w:w="6551" w:type="dxa"/>
            <w:noWrap w:val="0"/>
            <w:vAlign w:val="center"/>
          </w:tcPr>
          <w:p w14:paraId="0CE27DDB">
            <w:pPr>
              <w:keepNext w:val="0"/>
              <w:keepLines w:val="0"/>
              <w:pageBreakBefore w:val="0"/>
              <w:kinsoku/>
              <w:wordWrap/>
              <w:overflowPunct/>
              <w:topLinePunct w:val="0"/>
              <w:autoSpaceDE/>
              <w:autoSpaceDN/>
              <w:bidi w:val="0"/>
              <w:adjustRightInd w:val="0"/>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两轮报价</w:t>
            </w:r>
          </w:p>
          <w:p w14:paraId="7FAB2B5C">
            <w:pPr>
              <w:keepNext w:val="0"/>
              <w:keepLines w:val="0"/>
              <w:pageBreakBefore w:val="0"/>
              <w:kinsoku/>
              <w:wordWrap/>
              <w:overflowPunct/>
              <w:topLinePunct w:val="0"/>
              <w:autoSpaceDE/>
              <w:autoSpaceDN/>
              <w:bidi w:val="0"/>
              <w:adjustRightInd w:val="0"/>
              <w:snapToGrid w:val="0"/>
              <w:spacing w:line="4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第一</w:t>
            </w:r>
            <w:r>
              <w:rPr>
                <w:rFonts w:hint="eastAsia" w:ascii="宋体" w:hAnsi="宋体" w:eastAsia="宋体" w:cs="宋体"/>
                <w:sz w:val="24"/>
                <w:szCs w:val="24"/>
                <w:highlight w:val="none"/>
                <w:lang w:eastAsia="zh-CN"/>
              </w:rPr>
              <w:t>轮：</w:t>
            </w:r>
            <w:r>
              <w:rPr>
                <w:rFonts w:hint="eastAsia" w:ascii="宋体" w:hAnsi="宋体" w:eastAsia="宋体" w:cs="宋体"/>
                <w:sz w:val="24"/>
                <w:szCs w:val="24"/>
                <w:highlight w:val="none"/>
              </w:rPr>
              <w:t>写在文件里面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第二</w:t>
            </w:r>
            <w:r>
              <w:rPr>
                <w:rFonts w:hint="eastAsia" w:ascii="宋体" w:hAnsi="宋体" w:eastAsia="宋体" w:cs="宋体"/>
                <w:sz w:val="24"/>
                <w:szCs w:val="24"/>
                <w:highlight w:val="none"/>
                <w:lang w:eastAsia="zh-CN"/>
              </w:rPr>
              <w:t>轮：</w:t>
            </w:r>
            <w:r>
              <w:rPr>
                <w:rFonts w:hint="eastAsia" w:ascii="宋体" w:hAnsi="宋体" w:eastAsia="宋体" w:cs="宋体"/>
                <w:sz w:val="24"/>
                <w:szCs w:val="24"/>
                <w:highlight w:val="none"/>
              </w:rPr>
              <w:t>网上报价</w:t>
            </w:r>
          </w:p>
        </w:tc>
      </w:tr>
      <w:tr w14:paraId="4D799F4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049" w:type="dxa"/>
            <w:noWrap w:val="0"/>
            <w:vAlign w:val="center"/>
          </w:tcPr>
          <w:p w14:paraId="24C74F68">
            <w:pPr>
              <w:keepNext w:val="0"/>
              <w:keepLines w:val="0"/>
              <w:pageBreakBefore w:val="0"/>
              <w:kinsoku/>
              <w:wordWrap/>
              <w:overflowPunct/>
              <w:topLinePunct w:val="0"/>
              <w:autoSpaceDE/>
              <w:autoSpaceDN/>
              <w:bidi w:val="0"/>
              <w:spacing w:line="440" w:lineRule="exact"/>
              <w:jc w:val="center"/>
              <w:textAlignment w:val="baseline"/>
              <w:rPr>
                <w:rFonts w:hint="default" w:ascii="宋体" w:hAnsi="宋体" w:cs="宋体"/>
                <w:spacing w:val="10"/>
                <w:sz w:val="24"/>
                <w:szCs w:val="24"/>
                <w:highlight w:val="none"/>
                <w:lang w:val="en-US" w:eastAsia="zh-CN"/>
              </w:rPr>
            </w:pPr>
            <w:bookmarkStart w:id="44" w:name="_Toc22445"/>
            <w:r>
              <w:rPr>
                <w:rFonts w:hint="eastAsia" w:ascii="宋体" w:hAnsi="宋体" w:cs="宋体"/>
                <w:spacing w:val="10"/>
                <w:sz w:val="24"/>
                <w:szCs w:val="24"/>
                <w:highlight w:val="none"/>
                <w:lang w:val="en-US" w:eastAsia="zh-CN"/>
              </w:rPr>
              <w:t>19</w:t>
            </w:r>
          </w:p>
        </w:tc>
        <w:tc>
          <w:tcPr>
            <w:tcW w:w="1450" w:type="dxa"/>
            <w:noWrap w:val="0"/>
            <w:vAlign w:val="center"/>
          </w:tcPr>
          <w:p w14:paraId="0F5D41F2">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sz w:val="24"/>
                <w:szCs w:val="24"/>
                <w:highlight w:val="none"/>
                <w:lang w:val="en-US" w:eastAsia="zh-CN"/>
              </w:rPr>
            </w:pPr>
            <w:r>
              <w:rPr>
                <w:rFonts w:hint="eastAsia" w:ascii="宋体" w:hAnsi="宋体" w:eastAsia="宋体" w:cs="宋体"/>
                <w:b/>
                <w:bCs/>
                <w:sz w:val="24"/>
                <w:szCs w:val="24"/>
                <w:highlight w:val="none"/>
              </w:rPr>
              <w:t>招标代理服务费</w:t>
            </w:r>
          </w:p>
        </w:tc>
        <w:tc>
          <w:tcPr>
            <w:tcW w:w="6551" w:type="dxa"/>
            <w:noWrap w:val="0"/>
            <w:vAlign w:val="center"/>
          </w:tcPr>
          <w:p w14:paraId="6106BCEA">
            <w:pPr>
              <w:keepNext w:val="0"/>
              <w:keepLines w:val="0"/>
              <w:pageBreakBefore w:val="0"/>
              <w:kinsoku/>
              <w:wordWrap/>
              <w:overflowPunct/>
              <w:topLinePunct w:val="0"/>
              <w:autoSpaceDE/>
              <w:autoSpaceDN/>
              <w:bidi w:val="0"/>
              <w:adjustRightInd w:val="0"/>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招标代理服务费：</w:t>
            </w:r>
          </w:p>
          <w:p w14:paraId="4149C65E">
            <w:pPr>
              <w:keepNext w:val="0"/>
              <w:keepLines w:val="0"/>
              <w:pageBreakBefore w:val="0"/>
              <w:kinsoku/>
              <w:wordWrap/>
              <w:overflowPunct/>
              <w:topLinePunct w:val="0"/>
              <w:autoSpaceDE/>
              <w:autoSpaceDN/>
              <w:bidi w:val="0"/>
              <w:adjustRightInd w:val="0"/>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由中标人向甘肃创慧惠科建设工程管理有限公司支付招标代理服务费。</w:t>
            </w:r>
          </w:p>
          <w:p w14:paraId="45501B38">
            <w:pPr>
              <w:keepNext w:val="0"/>
              <w:keepLines w:val="0"/>
              <w:pageBreakBefore w:val="0"/>
              <w:kinsoku/>
              <w:wordWrap/>
              <w:overflowPunct/>
              <w:topLinePunct w:val="0"/>
              <w:autoSpaceDE/>
              <w:autoSpaceDN/>
              <w:bidi w:val="0"/>
              <w:adjustRightInd w:val="0"/>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收取标准：</w:t>
            </w:r>
            <w:r>
              <w:rPr>
                <w:rFonts w:hint="eastAsia" w:ascii="宋体" w:hAnsi="宋体" w:eastAsia="宋体" w:cs="宋体"/>
                <w:sz w:val="24"/>
                <w:szCs w:val="24"/>
                <w:highlight w:val="none"/>
                <w:lang w:val="en-US" w:eastAsia="zh-CN"/>
              </w:rPr>
              <w:t>参照国家计委颁发的《招标代理服务收费管理暂行办法》（计价格〔2002〕1980号）、《国家发展改革委办公厅关于招标代理服务费收费有关问题的通知》（发改办价格〔2003〕857号）规定的标准</w:t>
            </w:r>
            <w:r>
              <w:rPr>
                <w:rFonts w:hint="eastAsia" w:ascii="宋体" w:hAnsi="宋体" w:eastAsia="宋体" w:cs="宋体"/>
                <w:sz w:val="24"/>
                <w:szCs w:val="24"/>
                <w:highlight w:val="none"/>
              </w:rPr>
              <w:t>和采购人与招标代理机构签署的委托招标代理合同相关条款约定收取。</w:t>
            </w:r>
          </w:p>
        </w:tc>
      </w:tr>
    </w:tbl>
    <w:p w14:paraId="787B0CF4">
      <w:pPr>
        <w:rPr>
          <w:rFonts w:hint="eastAsia" w:ascii="宋体" w:hAnsi="宋体" w:eastAsia="宋体" w:cs="宋体"/>
          <w:highlight w:val="none"/>
        </w:rPr>
      </w:pPr>
      <w:r>
        <w:rPr>
          <w:rFonts w:hint="eastAsia" w:ascii="宋体" w:hAnsi="宋体" w:eastAsia="宋体" w:cs="宋体"/>
          <w:highlight w:val="none"/>
        </w:rPr>
        <w:br w:type="page"/>
      </w:r>
    </w:p>
    <w:p w14:paraId="753EEFF2">
      <w:pPr>
        <w:pStyle w:val="3"/>
        <w:rPr>
          <w:rFonts w:hint="eastAsia" w:ascii="宋体" w:hAnsi="宋体" w:eastAsia="宋体" w:cs="宋体"/>
          <w:highlight w:val="none"/>
        </w:rPr>
      </w:pPr>
      <w:r>
        <w:rPr>
          <w:rFonts w:hint="eastAsia" w:ascii="宋体" w:hAnsi="宋体" w:eastAsia="宋体" w:cs="宋体"/>
          <w:highlight w:val="none"/>
        </w:rPr>
        <w:t>二、供应商须知</w:t>
      </w:r>
      <w:bookmarkEnd w:id="36"/>
      <w:bookmarkEnd w:id="37"/>
      <w:bookmarkEnd w:id="38"/>
      <w:bookmarkEnd w:id="39"/>
      <w:bookmarkEnd w:id="40"/>
      <w:bookmarkEnd w:id="41"/>
      <w:bookmarkEnd w:id="42"/>
      <w:bookmarkEnd w:id="44"/>
    </w:p>
    <w:p w14:paraId="40B7E655">
      <w:pPr>
        <w:pStyle w:val="4"/>
        <w:pageBreakBefore w:val="0"/>
        <w:kinsoku/>
        <w:wordWrap/>
        <w:overflowPunct/>
        <w:topLinePunct w:val="0"/>
        <w:bidi w:val="0"/>
        <w:spacing w:before="0" w:after="0" w:line="520" w:lineRule="exact"/>
        <w:rPr>
          <w:rFonts w:hint="eastAsia" w:ascii="宋体" w:hAnsi="宋体" w:eastAsia="宋体" w:cs="宋体"/>
          <w:szCs w:val="28"/>
          <w:highlight w:val="none"/>
        </w:rPr>
      </w:pPr>
      <w:bookmarkStart w:id="45" w:name="_Toc11188"/>
      <w:bookmarkStart w:id="46" w:name="_Toc403567368"/>
      <w:bookmarkStart w:id="47" w:name="_Toc390084370"/>
      <w:bookmarkStart w:id="48" w:name="_Toc389731518"/>
      <w:bookmarkStart w:id="49" w:name="_Toc390084846"/>
      <w:bookmarkStart w:id="50" w:name="_Toc390078404"/>
      <w:bookmarkStart w:id="51" w:name="_Toc390084910"/>
      <w:r>
        <w:rPr>
          <w:rFonts w:hint="eastAsia" w:ascii="宋体" w:hAnsi="宋体" w:eastAsia="宋体" w:cs="宋体"/>
          <w:szCs w:val="28"/>
          <w:highlight w:val="none"/>
        </w:rPr>
        <w:t>（一）定义</w:t>
      </w:r>
      <w:bookmarkEnd w:id="45"/>
      <w:bookmarkEnd w:id="46"/>
      <w:bookmarkEnd w:id="47"/>
      <w:bookmarkEnd w:id="48"/>
      <w:bookmarkEnd w:id="49"/>
      <w:bookmarkEnd w:id="50"/>
      <w:bookmarkEnd w:id="51"/>
    </w:p>
    <w:p w14:paraId="74AF9CC8">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“政府采购当事人”系指在政府采购活动中享有权利和承担义务的各类主体，包括采购人、供应商和采购代理机构。</w:t>
      </w:r>
    </w:p>
    <w:p w14:paraId="6FA261E9">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color w:val="FF0000"/>
          <w:sz w:val="24"/>
          <w:highlight w:val="none"/>
        </w:rPr>
      </w:pPr>
      <w:r>
        <w:rPr>
          <w:rFonts w:hint="eastAsia" w:ascii="宋体" w:hAnsi="宋体" w:eastAsia="宋体" w:cs="宋体"/>
          <w:bCs/>
          <w:sz w:val="24"/>
          <w:highlight w:val="none"/>
        </w:rPr>
        <w:t>“采购人”见供应商须知前附表。</w:t>
      </w:r>
    </w:p>
    <w:p w14:paraId="035072AD">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color w:val="FF0000"/>
          <w:sz w:val="24"/>
          <w:highlight w:val="none"/>
        </w:rPr>
      </w:pPr>
      <w:r>
        <w:rPr>
          <w:rFonts w:hint="eastAsia" w:ascii="宋体" w:hAnsi="宋体" w:eastAsia="宋体" w:cs="宋体"/>
          <w:bCs/>
          <w:sz w:val="24"/>
          <w:highlight w:val="none"/>
        </w:rPr>
        <w:t>“采购代理机构”见供应商须知前附表。</w:t>
      </w:r>
    </w:p>
    <w:p w14:paraId="5FB6CE49">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“供应商”</w:t>
      </w:r>
      <w:r>
        <w:rPr>
          <w:rFonts w:hint="eastAsia" w:ascii="宋体" w:hAnsi="宋体" w:cs="宋体"/>
          <w:bCs/>
          <w:sz w:val="24"/>
          <w:highlight w:val="none"/>
          <w:lang w:eastAsia="zh-CN"/>
        </w:rPr>
        <w:t>系</w:t>
      </w:r>
      <w:r>
        <w:rPr>
          <w:rFonts w:hint="eastAsia" w:ascii="宋体" w:hAnsi="宋体" w:eastAsia="宋体" w:cs="宋体"/>
          <w:bCs/>
          <w:sz w:val="24"/>
          <w:highlight w:val="none"/>
        </w:rPr>
        <w:t>指响应采购、参加投标竞争的法人、其他组织或者自然人。</w:t>
      </w:r>
    </w:p>
    <w:p w14:paraId="76589159">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“磋商文件”系指由采购人和采购代理机构发出的文本、文件，包括全部章节和附件及答疑会议纪要。</w:t>
      </w:r>
    </w:p>
    <w:p w14:paraId="39784985">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“磋商响应性文件”系指供应商应采购文件要求编制的响应性文件。</w:t>
      </w:r>
    </w:p>
    <w:p w14:paraId="6AA45DF9">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“采购文件”系指包括采购活动的记录、采购预算、采购文件、磋商响应性文件、评标标准、评估报告、定标文件、合同文本、验收证明、质疑答复、投诉处理决定及其他有关文件、资料。</w:t>
      </w:r>
    </w:p>
    <w:p w14:paraId="29028206">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“书面形式”系指任何手写、打印或印刷的各种函件，不包括电传、电报、传真、电子邮件。</w:t>
      </w:r>
      <w:bookmarkStart w:id="52" w:name="_Toc91477243"/>
      <w:bookmarkStart w:id="53" w:name="_Toc274816705"/>
      <w:bookmarkStart w:id="54" w:name="_Toc89586883"/>
      <w:bookmarkStart w:id="55" w:name="_Toc89058522"/>
      <w:bookmarkStart w:id="56" w:name="_Toc91029993"/>
      <w:bookmarkStart w:id="57" w:name="_Toc229198016"/>
      <w:bookmarkStart w:id="58" w:name="_Toc139343527"/>
      <w:bookmarkStart w:id="59" w:name="_Toc469850042"/>
    </w:p>
    <w:p w14:paraId="7FBD529B">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“货物”系指供应商成交后根据《磋商文件》和合同的规定须向采购人提供的各种形态和种类的货物，包括原材料、燃料、设备等。</w:t>
      </w:r>
    </w:p>
    <w:p w14:paraId="26A8C4AC">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“服务”系指供应商成交后根据《磋商文件》和合同的规定承担与供货、安装有关的服务，包括运输、仓储、保险以及其它的伴随服务，如售后、维修、更换和应承担的其它义务，详见《政府采购品目分类目录》</w:t>
      </w:r>
      <w:r>
        <w:rPr>
          <w:rFonts w:hint="eastAsia" w:ascii="宋体" w:hAnsi="宋体" w:cs="宋体"/>
          <w:bCs/>
          <w:sz w:val="24"/>
          <w:highlight w:val="none"/>
          <w:lang w:eastAsia="zh-CN"/>
        </w:rPr>
        <w:t>（</w:t>
      </w:r>
      <w:r>
        <w:rPr>
          <w:rFonts w:hint="eastAsia" w:ascii="宋体" w:hAnsi="宋体" w:eastAsia="宋体" w:cs="宋体"/>
          <w:bCs/>
          <w:sz w:val="24"/>
          <w:highlight w:val="none"/>
        </w:rPr>
        <w:t>财库</w:t>
      </w:r>
      <w:r>
        <w:rPr>
          <w:rFonts w:hint="eastAsia" w:ascii="宋体" w:hAnsi="宋体" w:cs="宋体"/>
          <w:bCs/>
          <w:sz w:val="24"/>
          <w:highlight w:val="none"/>
          <w:lang w:eastAsia="zh-CN"/>
        </w:rPr>
        <w:t>〔2013〕189号）</w:t>
      </w:r>
      <w:r>
        <w:rPr>
          <w:rFonts w:hint="eastAsia" w:ascii="宋体" w:hAnsi="宋体" w:eastAsia="宋体" w:cs="宋体"/>
          <w:bCs/>
          <w:sz w:val="24"/>
          <w:highlight w:val="none"/>
        </w:rPr>
        <w:t>。</w:t>
      </w:r>
    </w:p>
    <w:p w14:paraId="3861E056">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“进口产品”是指通过中国海关报关验放进入中国境内且产自关境外的产品，详见《关于政府采购进口产品管理有关问题的通知》</w:t>
      </w:r>
      <w:r>
        <w:rPr>
          <w:rFonts w:hint="eastAsia" w:ascii="宋体" w:hAnsi="宋体" w:cs="宋体"/>
          <w:bCs/>
          <w:sz w:val="24"/>
          <w:highlight w:val="none"/>
          <w:lang w:eastAsia="zh-CN"/>
        </w:rPr>
        <w:t>（</w:t>
      </w:r>
      <w:r>
        <w:rPr>
          <w:rFonts w:hint="eastAsia" w:ascii="宋体" w:hAnsi="宋体" w:eastAsia="宋体" w:cs="宋体"/>
          <w:bCs/>
          <w:sz w:val="24"/>
          <w:highlight w:val="none"/>
        </w:rPr>
        <w:t>财库</w:t>
      </w:r>
      <w:r>
        <w:rPr>
          <w:rFonts w:hint="eastAsia" w:ascii="宋体" w:hAnsi="宋体" w:cs="宋体"/>
          <w:bCs/>
          <w:sz w:val="24"/>
          <w:highlight w:val="none"/>
          <w:lang w:eastAsia="zh-CN"/>
        </w:rPr>
        <w:t>〔2007〕119号）</w:t>
      </w:r>
      <w:r>
        <w:rPr>
          <w:rFonts w:hint="eastAsia" w:ascii="宋体" w:hAnsi="宋体" w:eastAsia="宋体" w:cs="宋体"/>
          <w:bCs/>
          <w:sz w:val="24"/>
          <w:highlight w:val="none"/>
        </w:rPr>
        <w:t>。</w:t>
      </w:r>
    </w:p>
    <w:p w14:paraId="656E709D">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sz w:val="24"/>
          <w:highlight w:val="none"/>
        </w:rPr>
        <w:t>“安装”是指供应商成交后按采购文件和合同的规定在项目现场所进行的安装、调试、检验、验收及修补缺陷等内容。供方应对所有现场作业、所有全部安装的完备性、稳定性和安全性负责。</w:t>
      </w:r>
    </w:p>
    <w:p w14:paraId="0DD68374">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“节能产品”是指列入财政部、发展改革委发布的《节能产品政府采购清单》（以下简称节能清单）内所列型号的产品。</w:t>
      </w:r>
    </w:p>
    <w:p w14:paraId="66629A9C">
      <w:pPr>
        <w:pageBreakBefore w:val="0"/>
        <w:numPr>
          <w:ilvl w:val="0"/>
          <w:numId w:val="3"/>
        </w:numPr>
        <w:kinsoku/>
        <w:wordWrap/>
        <w:overflowPunct/>
        <w:topLinePunct w:val="0"/>
        <w:bidi w:val="0"/>
        <w:adjustRightInd w:val="0"/>
        <w:snapToGrid w:val="0"/>
        <w:spacing w:line="520" w:lineRule="exact"/>
        <w:rPr>
          <w:rFonts w:hint="eastAsia" w:ascii="宋体" w:hAnsi="宋体" w:eastAsia="宋体" w:cs="宋体"/>
          <w:bCs/>
          <w:sz w:val="24"/>
          <w:highlight w:val="none"/>
        </w:rPr>
      </w:pPr>
      <w:r>
        <w:rPr>
          <w:rFonts w:hint="eastAsia" w:ascii="宋体" w:hAnsi="宋体" w:eastAsia="宋体" w:cs="宋体"/>
          <w:bCs/>
          <w:sz w:val="24"/>
          <w:highlight w:val="none"/>
        </w:rPr>
        <w:t>“环境标志产品”是指列入财政部、国家环境保护总局公布的《环境标志产品政府采购清单》（以下简称环保清单）内所列型号的产品。</w:t>
      </w:r>
    </w:p>
    <w:bookmarkEnd w:id="52"/>
    <w:bookmarkEnd w:id="53"/>
    <w:bookmarkEnd w:id="54"/>
    <w:bookmarkEnd w:id="55"/>
    <w:bookmarkEnd w:id="56"/>
    <w:bookmarkEnd w:id="57"/>
    <w:bookmarkEnd w:id="58"/>
    <w:bookmarkEnd w:id="59"/>
    <w:p w14:paraId="40789E5E">
      <w:pPr>
        <w:pStyle w:val="4"/>
        <w:pageBreakBefore w:val="0"/>
        <w:kinsoku/>
        <w:wordWrap/>
        <w:overflowPunct/>
        <w:topLinePunct w:val="0"/>
        <w:bidi w:val="0"/>
        <w:spacing w:before="0" w:after="0" w:line="520" w:lineRule="exact"/>
        <w:rPr>
          <w:rFonts w:hint="eastAsia" w:ascii="宋体" w:hAnsi="宋体" w:eastAsia="宋体" w:cs="宋体"/>
          <w:color w:val="000000"/>
          <w:szCs w:val="28"/>
          <w:highlight w:val="none"/>
        </w:rPr>
      </w:pPr>
      <w:bookmarkStart w:id="60" w:name="_Toc14795"/>
      <w:bookmarkStart w:id="61" w:name="_Toc91477244"/>
      <w:bookmarkStart w:id="62" w:name="_Toc274816706"/>
      <w:bookmarkStart w:id="63" w:name="_Toc229198017"/>
      <w:bookmarkStart w:id="64" w:name="_Toc89586884"/>
      <w:bookmarkStart w:id="65" w:name="_Toc390084372"/>
      <w:bookmarkStart w:id="66" w:name="_Toc89058523"/>
      <w:bookmarkStart w:id="67" w:name="_Toc403567370"/>
      <w:bookmarkStart w:id="68" w:name="_Toc390084848"/>
      <w:bookmarkStart w:id="69" w:name="_Toc139343528"/>
      <w:bookmarkStart w:id="70" w:name="_Toc91029994"/>
      <w:bookmarkStart w:id="71" w:name="_Toc469850043"/>
      <w:bookmarkStart w:id="72" w:name="_Toc389731520"/>
      <w:bookmarkStart w:id="73" w:name="_Toc390084912"/>
      <w:bookmarkStart w:id="74" w:name="_Toc390078406"/>
      <w:r>
        <w:rPr>
          <w:rFonts w:hint="eastAsia" w:ascii="宋体" w:hAnsi="宋体" w:eastAsia="宋体" w:cs="宋体"/>
          <w:color w:val="000000"/>
          <w:szCs w:val="28"/>
          <w:highlight w:val="none"/>
        </w:rPr>
        <w:t>（二）综合说明</w:t>
      </w:r>
      <w:bookmarkEnd w:id="60"/>
    </w:p>
    <w:p w14:paraId="7C0B6629">
      <w:pPr>
        <w:pageBreakBefore w:val="0"/>
        <w:kinsoku/>
        <w:wordWrap/>
        <w:overflowPunct/>
        <w:topLinePunct w:val="0"/>
        <w:bidi w:val="0"/>
        <w:spacing w:line="520" w:lineRule="exact"/>
        <w:ind w:firstLine="480" w:firstLineChars="200"/>
        <w:jc w:val="left"/>
        <w:textAlignment w:val="baseline"/>
        <w:rPr>
          <w:rFonts w:hint="eastAsia" w:ascii="宋体" w:hAnsi="宋体" w:eastAsia="宋体" w:cs="宋体"/>
          <w:sz w:val="24"/>
          <w:highlight w:val="none"/>
        </w:rPr>
      </w:pPr>
      <w:r>
        <w:rPr>
          <w:rFonts w:hint="eastAsia" w:ascii="宋体" w:hAnsi="宋体" w:eastAsia="宋体" w:cs="宋体"/>
          <w:color w:val="000000"/>
          <w:sz w:val="24"/>
          <w:highlight w:val="none"/>
        </w:rPr>
        <w:t>本项目按照《中华人民共和国政府采购法》及相关法规，已办理采购申请，并得到采购管理机构批准，现通过采购来择优选定设备服务的供货商。</w:t>
      </w:r>
      <w:bookmarkStart w:id="75" w:name="_Toc128372733"/>
      <w:bookmarkStart w:id="76" w:name="_Toc139965329"/>
      <w:bookmarkStart w:id="77" w:name="_Toc128372055"/>
      <w:r>
        <w:rPr>
          <w:rFonts w:hint="eastAsia" w:ascii="宋体" w:hAnsi="宋体" w:eastAsia="宋体" w:cs="宋体"/>
          <w:color w:val="000000"/>
          <w:sz w:val="24"/>
          <w:highlight w:val="none"/>
        </w:rPr>
        <w:t>本磋商文件包括本文所列内容及按本须知发出的全部和补充资料。供应商应认真阅读本磋商文件中所有的事项、格式、条款、技术规范等实质性的条件和要求。供应商被视为充分熟悉本采购项目的全部内容及与履行合同有关的全部内容，熟悉磋商文件的格式、条件和范围。供应商没有按照磋商文件的要求提交相关资料，或者供应商没有对磋商文件相关</w:t>
      </w:r>
      <w:r>
        <w:rPr>
          <w:rFonts w:hint="eastAsia" w:ascii="宋体" w:hAnsi="宋体" w:cs="宋体"/>
          <w:color w:val="000000"/>
          <w:sz w:val="24"/>
          <w:highlight w:val="none"/>
          <w:lang w:eastAsia="zh-CN"/>
        </w:rPr>
        <w:t>内容</w:t>
      </w:r>
      <w:r>
        <w:rPr>
          <w:rFonts w:hint="eastAsia" w:ascii="宋体" w:hAnsi="宋体" w:eastAsia="宋体" w:cs="宋体"/>
          <w:color w:val="000000"/>
          <w:sz w:val="24"/>
          <w:highlight w:val="none"/>
        </w:rPr>
        <w:t>做出实质性响应是供应商的风险，并可能导致其投标无效。</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390084914"/>
      <w:bookmarkStart w:id="79" w:name="_Toc389731522"/>
      <w:bookmarkStart w:id="80" w:name="_Toc390084850"/>
      <w:bookmarkStart w:id="81" w:name="_Toc390078408"/>
      <w:bookmarkStart w:id="82" w:name="_Toc390084374"/>
      <w:bookmarkStart w:id="83" w:name="_Toc274816710"/>
      <w:bookmarkStart w:id="84" w:name="_Toc469850047"/>
      <w:bookmarkStart w:id="85" w:name="_Toc89586888"/>
      <w:bookmarkStart w:id="86" w:name="_Toc139343532"/>
      <w:bookmarkStart w:id="87" w:name="_Toc89058527"/>
      <w:bookmarkStart w:id="88" w:name="_Toc91029998"/>
      <w:bookmarkStart w:id="89" w:name="_Toc229198021"/>
      <w:bookmarkStart w:id="90" w:name="_Toc91477248"/>
    </w:p>
    <w:p w14:paraId="313B0318">
      <w:pPr>
        <w:pStyle w:val="3"/>
        <w:keepNext w:val="0"/>
        <w:keepLines w:val="0"/>
        <w:pageBreakBefore w:val="0"/>
        <w:widowControl w:val="0"/>
        <w:kinsoku/>
        <w:wordWrap/>
        <w:overflowPunct/>
        <w:topLinePunct w:val="0"/>
        <w:autoSpaceDE/>
        <w:autoSpaceDN/>
        <w:bidi w:val="0"/>
        <w:spacing w:line="520" w:lineRule="exact"/>
        <w:rPr>
          <w:rFonts w:hint="eastAsia" w:ascii="宋体" w:hAnsi="宋体" w:eastAsia="宋体" w:cs="宋体"/>
          <w:highlight w:val="none"/>
        </w:rPr>
      </w:pPr>
      <w:bookmarkStart w:id="91" w:name="_Toc4499"/>
      <w:r>
        <w:rPr>
          <w:rFonts w:hint="eastAsia" w:ascii="宋体" w:hAnsi="宋体" w:eastAsia="宋体" w:cs="宋体"/>
          <w:highlight w:val="none"/>
        </w:rPr>
        <w:t>三、《磋商文件》</w:t>
      </w:r>
      <w:bookmarkEnd w:id="78"/>
      <w:bookmarkEnd w:id="79"/>
      <w:bookmarkEnd w:id="80"/>
      <w:bookmarkEnd w:id="81"/>
      <w:bookmarkEnd w:id="82"/>
      <w:bookmarkEnd w:id="91"/>
    </w:p>
    <w:p w14:paraId="43C658F3">
      <w:pPr>
        <w:pStyle w:val="4"/>
        <w:keepNext w:val="0"/>
        <w:keepLines w:val="0"/>
        <w:pageBreakBefore w:val="0"/>
        <w:widowControl w:val="0"/>
        <w:kinsoku/>
        <w:wordWrap/>
        <w:overflowPunct/>
        <w:topLinePunct w:val="0"/>
        <w:autoSpaceDE/>
        <w:autoSpaceDN/>
        <w:bidi w:val="0"/>
        <w:spacing w:before="0" w:after="0" w:line="520" w:lineRule="exact"/>
        <w:rPr>
          <w:rFonts w:hint="eastAsia" w:ascii="宋体" w:hAnsi="宋体" w:eastAsia="宋体" w:cs="宋体"/>
          <w:highlight w:val="none"/>
        </w:rPr>
      </w:pPr>
      <w:bookmarkStart w:id="92" w:name="_Toc27300"/>
      <w:bookmarkStart w:id="93" w:name="_Toc390084851"/>
      <w:bookmarkStart w:id="94" w:name="_Toc390084915"/>
      <w:bookmarkStart w:id="95" w:name="_Toc390078409"/>
      <w:bookmarkStart w:id="96" w:name="_Toc389731523"/>
      <w:bookmarkStart w:id="97" w:name="_Toc390084375"/>
      <w:r>
        <w:rPr>
          <w:rFonts w:hint="eastAsia" w:ascii="宋体" w:hAnsi="宋体" w:eastAsia="宋体" w:cs="宋体"/>
          <w:highlight w:val="none"/>
        </w:rPr>
        <w:t>（一）《磋商文件》的</w:t>
      </w:r>
      <w:bookmarkEnd w:id="83"/>
      <w:bookmarkEnd w:id="84"/>
      <w:bookmarkEnd w:id="85"/>
      <w:bookmarkEnd w:id="86"/>
      <w:bookmarkEnd w:id="87"/>
      <w:bookmarkEnd w:id="88"/>
      <w:bookmarkEnd w:id="89"/>
      <w:bookmarkEnd w:id="90"/>
      <w:r>
        <w:rPr>
          <w:rFonts w:hint="eastAsia" w:ascii="宋体" w:hAnsi="宋体" w:eastAsia="宋体" w:cs="宋体"/>
          <w:highlight w:val="none"/>
        </w:rPr>
        <w:t>组成</w:t>
      </w:r>
      <w:bookmarkEnd w:id="92"/>
      <w:bookmarkEnd w:id="93"/>
      <w:bookmarkEnd w:id="94"/>
      <w:bookmarkEnd w:id="95"/>
      <w:bookmarkEnd w:id="96"/>
      <w:bookmarkEnd w:id="97"/>
    </w:p>
    <w:p w14:paraId="409B1F5D">
      <w:pPr>
        <w:keepNext w:val="0"/>
        <w:keepLines w:val="0"/>
        <w:pageBreakBefore w:val="0"/>
        <w:widowControl w:val="0"/>
        <w:tabs>
          <w:tab w:val="left" w:pos="1276"/>
        </w:tabs>
        <w:kinsoku/>
        <w:wordWrap/>
        <w:overflowPunct/>
        <w:topLinePunct w:val="0"/>
        <w:autoSpaceDE/>
        <w:autoSpaceDN/>
        <w:bidi w:val="0"/>
        <w:adjustRightInd w:val="0"/>
        <w:snapToGrid w:val="0"/>
        <w:spacing w:line="520" w:lineRule="exact"/>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1.1磋商公告</w:t>
      </w:r>
    </w:p>
    <w:p w14:paraId="5631C564">
      <w:pPr>
        <w:keepNext w:val="0"/>
        <w:keepLines w:val="0"/>
        <w:pageBreakBefore w:val="0"/>
        <w:widowControl w:val="0"/>
        <w:tabs>
          <w:tab w:val="left" w:pos="1276"/>
        </w:tabs>
        <w:kinsoku/>
        <w:wordWrap/>
        <w:overflowPunct/>
        <w:topLinePunct w:val="0"/>
        <w:autoSpaceDE/>
        <w:autoSpaceDN/>
        <w:bidi w:val="0"/>
        <w:adjustRightInd w:val="0"/>
        <w:snapToGrid w:val="0"/>
        <w:spacing w:line="520" w:lineRule="exact"/>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1.2供应商须知及前附表</w:t>
      </w:r>
    </w:p>
    <w:p w14:paraId="7D03ACA8">
      <w:pPr>
        <w:keepNext w:val="0"/>
        <w:keepLines w:val="0"/>
        <w:pageBreakBefore w:val="0"/>
        <w:widowControl w:val="0"/>
        <w:tabs>
          <w:tab w:val="left" w:pos="1276"/>
        </w:tabs>
        <w:kinsoku/>
        <w:wordWrap/>
        <w:overflowPunct/>
        <w:topLinePunct w:val="0"/>
        <w:autoSpaceDE/>
        <w:autoSpaceDN/>
        <w:bidi w:val="0"/>
        <w:adjustRightInd w:val="0"/>
        <w:snapToGrid w:val="0"/>
        <w:spacing w:line="520" w:lineRule="exact"/>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1.3采购内容（包括货物清单和技术参数要求）</w:t>
      </w:r>
    </w:p>
    <w:p w14:paraId="79DF8AD3">
      <w:pPr>
        <w:keepNext w:val="0"/>
        <w:keepLines w:val="0"/>
        <w:pageBreakBefore w:val="0"/>
        <w:widowControl w:val="0"/>
        <w:tabs>
          <w:tab w:val="left" w:pos="1276"/>
        </w:tabs>
        <w:kinsoku/>
        <w:wordWrap/>
        <w:overflowPunct/>
        <w:topLinePunct w:val="0"/>
        <w:autoSpaceDE/>
        <w:autoSpaceDN/>
        <w:bidi w:val="0"/>
        <w:adjustRightInd w:val="0"/>
        <w:snapToGrid w:val="0"/>
        <w:spacing w:line="520" w:lineRule="exact"/>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1.4合同条款及合同格式</w:t>
      </w:r>
    </w:p>
    <w:p w14:paraId="4ED9C6F6">
      <w:pPr>
        <w:keepNext w:val="0"/>
        <w:keepLines w:val="0"/>
        <w:pageBreakBefore w:val="0"/>
        <w:widowControl w:val="0"/>
        <w:tabs>
          <w:tab w:val="left" w:pos="1276"/>
        </w:tabs>
        <w:kinsoku/>
        <w:wordWrap/>
        <w:overflowPunct/>
        <w:topLinePunct w:val="0"/>
        <w:autoSpaceDE/>
        <w:autoSpaceDN/>
        <w:bidi w:val="0"/>
        <w:adjustRightInd w:val="0"/>
        <w:snapToGrid w:val="0"/>
        <w:spacing w:line="520" w:lineRule="exact"/>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1.5《磋商响应性文件》格式</w:t>
      </w:r>
    </w:p>
    <w:p w14:paraId="324A9854">
      <w:pPr>
        <w:pStyle w:val="4"/>
        <w:keepNext w:val="0"/>
        <w:keepLines w:val="0"/>
        <w:pageBreakBefore w:val="0"/>
        <w:widowControl w:val="0"/>
        <w:kinsoku/>
        <w:wordWrap/>
        <w:overflowPunct/>
        <w:topLinePunct w:val="0"/>
        <w:autoSpaceDE/>
        <w:autoSpaceDN/>
        <w:bidi w:val="0"/>
        <w:spacing w:before="0" w:after="0" w:line="520" w:lineRule="exact"/>
        <w:rPr>
          <w:rFonts w:hint="eastAsia" w:ascii="宋体" w:hAnsi="宋体" w:eastAsia="宋体" w:cs="宋体"/>
          <w:sz w:val="24"/>
          <w:highlight w:val="none"/>
        </w:rPr>
      </w:pPr>
      <w:bookmarkStart w:id="98" w:name="_Toc91477249"/>
      <w:bookmarkStart w:id="99" w:name="_Toc89586889"/>
      <w:bookmarkStart w:id="100" w:name="_Toc389731524"/>
      <w:bookmarkStart w:id="101" w:name="_Toc274816711"/>
      <w:bookmarkStart w:id="102" w:name="_Toc89058528"/>
      <w:bookmarkStart w:id="103" w:name="_Toc469850048"/>
      <w:bookmarkStart w:id="104" w:name="_Toc139343533"/>
      <w:bookmarkStart w:id="105" w:name="_Toc390084916"/>
      <w:bookmarkStart w:id="106" w:name="_Toc229198022"/>
      <w:bookmarkStart w:id="107" w:name="_Toc390078410"/>
      <w:bookmarkStart w:id="108" w:name="_Toc390084852"/>
      <w:bookmarkStart w:id="109" w:name="_Toc91029999"/>
      <w:bookmarkStart w:id="110" w:name="_Toc390084376"/>
      <w:bookmarkStart w:id="111" w:name="_Toc2787"/>
      <w:r>
        <w:rPr>
          <w:rFonts w:hint="eastAsia" w:ascii="宋体" w:hAnsi="宋体" w:eastAsia="宋体" w:cs="宋体"/>
          <w:highlight w:val="none"/>
        </w:rPr>
        <w:t>（二）《磋商文件》的澄清</w:t>
      </w:r>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宋体"/>
          <w:highlight w:val="none"/>
        </w:rPr>
        <w:t>与修改</w:t>
      </w:r>
      <w:bookmarkEnd w:id="111"/>
    </w:p>
    <w:p w14:paraId="3D94C5A2">
      <w:pPr>
        <w:pStyle w:val="16"/>
        <w:keepNext w:val="0"/>
        <w:keepLines w:val="0"/>
        <w:pageBreakBefore w:val="0"/>
        <w:widowControl w:val="0"/>
        <w:kinsoku/>
        <w:wordWrap/>
        <w:overflowPunct/>
        <w:topLinePunct w:val="0"/>
        <w:autoSpaceDE/>
        <w:autoSpaceDN/>
        <w:bidi w:val="0"/>
        <w:spacing w:after="0" w:line="520" w:lineRule="exact"/>
        <w:ind w:left="0" w:leftChars="0" w:firstLine="480" w:firstLineChars="200"/>
        <w:rPr>
          <w:rFonts w:hint="eastAsia" w:ascii="宋体" w:hAnsi="宋体" w:eastAsia="宋体" w:cs="宋体"/>
          <w:sz w:val="24"/>
          <w:highlight w:val="none"/>
        </w:rPr>
      </w:pPr>
      <w:bookmarkStart w:id="112" w:name="_Toc390078412"/>
      <w:bookmarkStart w:id="113" w:name="_Toc373314700"/>
      <w:bookmarkStart w:id="114" w:name="_Toc390084854"/>
      <w:bookmarkStart w:id="115" w:name="_Toc389731526"/>
      <w:bookmarkStart w:id="116" w:name="_Toc373309555"/>
      <w:bookmarkStart w:id="117" w:name="_Toc390084378"/>
      <w:bookmarkStart w:id="118" w:name="_Toc390084918"/>
      <w:bookmarkStart w:id="119" w:name="_Toc139343536"/>
      <w:bookmarkStart w:id="120" w:name="_Toc89586892"/>
      <w:bookmarkStart w:id="121" w:name="_Toc89058531"/>
      <w:bookmarkStart w:id="122" w:name="_Toc91030002"/>
      <w:bookmarkStart w:id="123" w:name="_Toc274816714"/>
      <w:bookmarkStart w:id="124" w:name="_Toc91477252"/>
      <w:bookmarkStart w:id="125" w:name="_Toc229198025"/>
      <w:bookmarkStart w:id="126" w:name="_Toc469850051"/>
      <w:r>
        <w:rPr>
          <w:rFonts w:hint="eastAsia" w:ascii="宋体" w:hAnsi="宋体" w:eastAsia="宋体" w:cs="宋体"/>
          <w:sz w:val="24"/>
          <w:highlight w:val="none"/>
        </w:rPr>
        <w:t xml:space="preserve">根据《政府采购竞争性磋商采购方式管理暂行办法》第十条规定：提交首次磋商响应性文件截止之日前，采购人、采购代理机构或者磋商小组可以对已发出的竞争性磋商文件进行必要的澄清或者修改，澄清或者修改的内容作为竞争性磋商文件的组成部分。 澄清或者修改的内容可能影响磋商响应性文件编制的，采购人、采购代理机构应当在提交首次磋商响应性文件截止时间至少5日前，以书面形式通知所有获取竞争性磋商文件的供应商；不足5日的，采购人、采购代理机构应当顺延提交首次磋商响应性文件截止时间。 </w:t>
      </w:r>
    </w:p>
    <w:p w14:paraId="47AAD082">
      <w:pPr>
        <w:pStyle w:val="16"/>
        <w:keepNext w:val="0"/>
        <w:keepLines w:val="0"/>
        <w:pageBreakBefore w:val="0"/>
        <w:widowControl w:val="0"/>
        <w:kinsoku/>
        <w:wordWrap/>
        <w:overflowPunct/>
        <w:topLinePunct w:val="0"/>
        <w:autoSpaceDE/>
        <w:autoSpaceDN/>
        <w:bidi w:val="0"/>
        <w:spacing w:after="0" w:line="52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供应商在收到该澄清或修改文件后，应于1日内以书面形式（加盖公章）向采购代理机构予以确认，该答复作为竞争性磋商文件的组成部分，具有和竞争性磋商文件相同的约束作用。</w:t>
      </w:r>
    </w:p>
    <w:p w14:paraId="25513A72">
      <w:pPr>
        <w:pStyle w:val="3"/>
        <w:keepNext w:val="0"/>
        <w:keepLines w:val="0"/>
        <w:pageBreakBefore w:val="0"/>
        <w:widowControl w:val="0"/>
        <w:kinsoku/>
        <w:wordWrap/>
        <w:overflowPunct/>
        <w:topLinePunct w:val="0"/>
        <w:autoSpaceDE/>
        <w:autoSpaceDN/>
        <w:bidi w:val="0"/>
        <w:spacing w:line="520" w:lineRule="exact"/>
        <w:rPr>
          <w:rFonts w:hint="eastAsia" w:ascii="宋体" w:hAnsi="宋体" w:eastAsia="宋体" w:cs="宋体"/>
          <w:highlight w:val="none"/>
        </w:rPr>
      </w:pPr>
      <w:bookmarkStart w:id="127" w:name="_Toc27266"/>
      <w:r>
        <w:rPr>
          <w:rFonts w:hint="eastAsia" w:ascii="宋体" w:hAnsi="宋体" w:eastAsia="宋体" w:cs="宋体"/>
          <w:highlight w:val="none"/>
        </w:rPr>
        <w:t>四、《磋商响应性文件》的编制</w:t>
      </w:r>
      <w:bookmarkEnd w:id="112"/>
      <w:bookmarkEnd w:id="113"/>
      <w:bookmarkEnd w:id="114"/>
      <w:bookmarkEnd w:id="115"/>
      <w:bookmarkEnd w:id="116"/>
      <w:bookmarkEnd w:id="117"/>
      <w:bookmarkEnd w:id="118"/>
      <w:bookmarkEnd w:id="127"/>
    </w:p>
    <w:p w14:paraId="6B926F1B">
      <w:pPr>
        <w:pStyle w:val="4"/>
        <w:keepNext w:val="0"/>
        <w:keepLines w:val="0"/>
        <w:pageBreakBefore w:val="0"/>
        <w:widowControl w:val="0"/>
        <w:kinsoku/>
        <w:wordWrap/>
        <w:overflowPunct/>
        <w:topLinePunct w:val="0"/>
        <w:autoSpaceDE/>
        <w:autoSpaceDN/>
        <w:bidi w:val="0"/>
        <w:spacing w:before="0" w:after="0" w:line="520" w:lineRule="exact"/>
        <w:rPr>
          <w:rFonts w:hint="eastAsia" w:ascii="宋体" w:hAnsi="宋体" w:eastAsia="宋体" w:cs="宋体"/>
          <w:highlight w:val="none"/>
        </w:rPr>
      </w:pPr>
      <w:bookmarkStart w:id="128" w:name="_Toc395785342"/>
      <w:bookmarkStart w:id="129" w:name="_Toc639"/>
      <w:bookmarkStart w:id="130" w:name="_Toc390084919"/>
      <w:bookmarkStart w:id="131" w:name="_Toc390084379"/>
      <w:bookmarkStart w:id="132" w:name="_Toc390084855"/>
      <w:bookmarkStart w:id="133" w:name="_Toc389731527"/>
      <w:bookmarkStart w:id="134" w:name="_Toc390078413"/>
      <w:r>
        <w:rPr>
          <w:rFonts w:hint="eastAsia" w:ascii="宋体" w:hAnsi="宋体" w:eastAsia="宋体" w:cs="宋体"/>
          <w:highlight w:val="none"/>
        </w:rPr>
        <w:t>（一）《磋商响应性文件》编制要求</w:t>
      </w:r>
      <w:bookmarkEnd w:id="128"/>
      <w:bookmarkEnd w:id="129"/>
    </w:p>
    <w:p w14:paraId="4E94C24D">
      <w:pPr>
        <w:keepNext w:val="0"/>
        <w:keepLines w:val="0"/>
        <w:pageBreakBefore w:val="0"/>
        <w:widowControl w:val="0"/>
        <w:kinsoku/>
        <w:wordWrap/>
        <w:overflowPunct/>
        <w:topLinePunct w:val="0"/>
        <w:autoSpaceDE/>
        <w:autoSpaceDN/>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供应商应仔细阅读《磋商文件》的所有内容，并按照《磋商文件》的“磋商响应性文件格式”规定及要求内容的格式提交完整的《</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w:t>
      </w:r>
    </w:p>
    <w:p w14:paraId="1C93FC27">
      <w:pPr>
        <w:pStyle w:val="4"/>
        <w:keepNext w:val="0"/>
        <w:keepLines w:val="0"/>
        <w:pageBreakBefore w:val="0"/>
        <w:widowControl w:val="0"/>
        <w:kinsoku/>
        <w:wordWrap/>
        <w:overflowPunct/>
        <w:topLinePunct w:val="0"/>
        <w:autoSpaceDE/>
        <w:autoSpaceDN/>
        <w:bidi w:val="0"/>
        <w:spacing w:before="0" w:after="0" w:line="520" w:lineRule="exact"/>
        <w:rPr>
          <w:rFonts w:hint="eastAsia" w:ascii="宋体" w:hAnsi="宋体" w:eastAsia="宋体" w:cs="宋体"/>
          <w:highlight w:val="none"/>
        </w:rPr>
      </w:pPr>
      <w:bookmarkStart w:id="135" w:name="_Toc28207"/>
      <w:r>
        <w:rPr>
          <w:rFonts w:hint="eastAsia" w:ascii="宋体" w:hAnsi="宋体" w:eastAsia="宋体" w:cs="宋体"/>
          <w:highlight w:val="none"/>
        </w:rPr>
        <w:t>（二）《磋商响应性文件》的编</w:t>
      </w:r>
      <w:bookmarkEnd w:id="119"/>
      <w:bookmarkEnd w:id="120"/>
      <w:bookmarkEnd w:id="121"/>
      <w:bookmarkEnd w:id="122"/>
      <w:bookmarkEnd w:id="123"/>
      <w:bookmarkEnd w:id="124"/>
      <w:bookmarkEnd w:id="125"/>
      <w:r>
        <w:rPr>
          <w:rFonts w:hint="eastAsia" w:ascii="宋体" w:hAnsi="宋体" w:eastAsia="宋体" w:cs="宋体"/>
          <w:highlight w:val="none"/>
        </w:rPr>
        <w:t>写</w:t>
      </w:r>
      <w:bookmarkEnd w:id="130"/>
      <w:bookmarkEnd w:id="131"/>
      <w:bookmarkEnd w:id="132"/>
      <w:bookmarkEnd w:id="133"/>
      <w:bookmarkEnd w:id="134"/>
      <w:bookmarkEnd w:id="135"/>
    </w:p>
    <w:p w14:paraId="7F79F23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1.供应商应按《磋商文件》的内容与要求和第五章提供的格式编写其《</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》，磋商文件中对</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格式有要求的，应按格式逐项填写内容，不准有空项；无相应内容可填的填写“无”等明确的回答文字。</w:t>
      </w:r>
      <w:r>
        <w:rPr>
          <w:rFonts w:hint="eastAsia" w:ascii="宋体" w:hAnsi="宋体" w:eastAsia="宋体" w:cs="宋体"/>
          <w:color w:val="0D0D0D"/>
          <w:sz w:val="24"/>
          <w:highlight w:val="none"/>
        </w:rPr>
        <w:t>磋商响应性文</w:t>
      </w:r>
      <w:r>
        <w:rPr>
          <w:rFonts w:hint="eastAsia" w:ascii="宋体" w:hAnsi="宋体" w:eastAsia="宋体" w:cs="宋体"/>
          <w:sz w:val="24"/>
          <w:highlight w:val="none"/>
        </w:rPr>
        <w:t>件中留有空项的，将视为不完整响应的</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，其投标将视为无效投标，未列出格式的部分供应商可自行编制。</w:t>
      </w:r>
    </w:p>
    <w:p w14:paraId="0E23EAD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2</w:t>
      </w:r>
      <w:r>
        <w:rPr>
          <w:rFonts w:hint="eastAsia" w:ascii="宋体" w:hAnsi="宋体" w:eastAsia="宋体" w:cs="宋体"/>
          <w:color w:val="FF0000"/>
          <w:sz w:val="24"/>
          <w:highlight w:val="none"/>
        </w:rPr>
        <w:t>.</w:t>
      </w:r>
      <w:r>
        <w:rPr>
          <w:rFonts w:hint="eastAsia" w:ascii="宋体" w:hAnsi="宋体" w:eastAsia="宋体" w:cs="宋体"/>
          <w:sz w:val="24"/>
          <w:highlight w:val="none"/>
        </w:rPr>
        <w:t>供应商提交的</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中全部资料必须真实可靠，提供虚假材料谋取成交、成交的依据《中华人民共和国政府采购法》第七十七条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36C7C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sz w:val="24"/>
          <w:highlight w:val="none"/>
        </w:rPr>
        <w:t>3.《</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》的封面及密封袋封面编制格式详见</w:t>
      </w:r>
      <w:r>
        <w:rPr>
          <w:rFonts w:hint="eastAsia" w:ascii="宋体" w:hAnsi="宋体" w:eastAsia="宋体" w:cs="宋体"/>
          <w:color w:val="000000"/>
          <w:sz w:val="24"/>
          <w:highlight w:val="none"/>
        </w:rPr>
        <w:t>第五章第十八条。</w:t>
      </w:r>
    </w:p>
    <w:p w14:paraId="1AB750F9">
      <w:pPr>
        <w:pStyle w:val="4"/>
        <w:keepNext w:val="0"/>
        <w:keepLines w:val="0"/>
        <w:pageBreakBefore w:val="0"/>
        <w:widowControl w:val="0"/>
        <w:kinsoku/>
        <w:wordWrap/>
        <w:overflowPunct/>
        <w:topLinePunct w:val="0"/>
        <w:autoSpaceDE/>
        <w:autoSpaceDN/>
        <w:bidi w:val="0"/>
        <w:spacing w:before="0" w:after="0" w:line="520" w:lineRule="exact"/>
        <w:rPr>
          <w:rFonts w:hint="eastAsia" w:ascii="宋体" w:hAnsi="宋体" w:eastAsia="宋体" w:cs="宋体"/>
          <w:highlight w:val="none"/>
        </w:rPr>
      </w:pPr>
      <w:bookmarkStart w:id="136" w:name="_Toc389731528"/>
      <w:bookmarkStart w:id="137" w:name="_Toc89058532"/>
      <w:bookmarkStart w:id="138" w:name="_Toc91030003"/>
      <w:bookmarkStart w:id="139" w:name="_Toc89586893"/>
      <w:bookmarkStart w:id="140" w:name="_Toc390084380"/>
      <w:bookmarkStart w:id="141" w:name="_Toc390084920"/>
      <w:bookmarkStart w:id="142" w:name="_Toc274816715"/>
      <w:bookmarkStart w:id="143" w:name="_Toc390084856"/>
      <w:bookmarkStart w:id="144" w:name="_Toc390078414"/>
      <w:bookmarkStart w:id="145" w:name="_Toc91477253"/>
      <w:bookmarkStart w:id="146" w:name="_Toc18330"/>
      <w:bookmarkStart w:id="147" w:name="_Toc139343537"/>
      <w:bookmarkStart w:id="148" w:name="_Toc229198026"/>
      <w:r>
        <w:rPr>
          <w:rFonts w:hint="eastAsia" w:ascii="宋体" w:hAnsi="宋体" w:eastAsia="宋体" w:cs="宋体"/>
          <w:highlight w:val="none"/>
        </w:rPr>
        <w:t>（三）投标语言</w:t>
      </w:r>
      <w:bookmarkEnd w:id="126"/>
      <w:r>
        <w:rPr>
          <w:rFonts w:hint="eastAsia" w:ascii="宋体" w:hAnsi="宋体" w:eastAsia="宋体" w:cs="宋体"/>
          <w:highlight w:val="none"/>
        </w:rPr>
        <w:t>和计量单位</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14F4631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1.本次投标有关的所有文件均应使用中文。</w:t>
      </w:r>
    </w:p>
    <w:p w14:paraId="155F567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》中所有的计量单位，除《磋商文件》中有特殊要求外，</w:t>
      </w:r>
      <w:bookmarkStart w:id="149" w:name="_Toc89586894"/>
      <w:bookmarkStart w:id="150" w:name="_Toc229198027"/>
      <w:bookmarkStart w:id="151" w:name="_Toc91030004"/>
      <w:bookmarkStart w:id="152" w:name="_Toc274816716"/>
      <w:bookmarkStart w:id="153" w:name="_Toc139343538"/>
      <w:bookmarkStart w:id="154" w:name="_Toc89058533"/>
      <w:bookmarkStart w:id="155" w:name="_Toc469850052"/>
      <w:bookmarkStart w:id="156" w:name="_Toc91477254"/>
      <w:r>
        <w:rPr>
          <w:rFonts w:hint="eastAsia" w:ascii="宋体" w:hAnsi="宋体" w:eastAsia="宋体" w:cs="宋体"/>
          <w:sz w:val="24"/>
          <w:highlight w:val="none"/>
        </w:rPr>
        <w:t>均采用国家法定计量单位。</w:t>
      </w:r>
    </w:p>
    <w:p w14:paraId="04F5EB70">
      <w:pPr>
        <w:pStyle w:val="4"/>
        <w:keepNext w:val="0"/>
        <w:keepLines w:val="0"/>
        <w:pageBreakBefore w:val="0"/>
        <w:widowControl w:val="0"/>
        <w:kinsoku/>
        <w:wordWrap/>
        <w:overflowPunct/>
        <w:topLinePunct w:val="0"/>
        <w:autoSpaceDE/>
        <w:autoSpaceDN/>
        <w:bidi w:val="0"/>
        <w:spacing w:before="0" w:after="0" w:line="520" w:lineRule="exact"/>
        <w:rPr>
          <w:rFonts w:hint="eastAsia" w:ascii="宋体" w:hAnsi="宋体" w:eastAsia="宋体" w:cs="宋体"/>
          <w:highlight w:val="none"/>
        </w:rPr>
      </w:pPr>
      <w:bookmarkStart w:id="157" w:name="_Toc390084382"/>
      <w:bookmarkStart w:id="158" w:name="_Toc390084858"/>
      <w:bookmarkStart w:id="159" w:name="_Toc89586895"/>
      <w:bookmarkStart w:id="160" w:name="_Toc389731530"/>
      <w:bookmarkStart w:id="161" w:name="_Toc390078416"/>
      <w:bookmarkStart w:id="162" w:name="_Toc91477255"/>
      <w:bookmarkStart w:id="163" w:name="_Toc139343539"/>
      <w:bookmarkStart w:id="164" w:name="_Toc274816717"/>
      <w:bookmarkStart w:id="165" w:name="_Toc390084922"/>
      <w:bookmarkStart w:id="166" w:name="_Toc469850054"/>
      <w:bookmarkStart w:id="167" w:name="_Toc89058534"/>
      <w:bookmarkStart w:id="168" w:name="_Toc91030005"/>
      <w:bookmarkStart w:id="169" w:name="_Toc229198028"/>
      <w:bookmarkStart w:id="170" w:name="_Toc32663"/>
      <w:r>
        <w:rPr>
          <w:rFonts w:hint="eastAsia" w:ascii="宋体" w:hAnsi="宋体" w:eastAsia="宋体" w:cs="宋体"/>
          <w:highlight w:val="none"/>
        </w:rPr>
        <w:t>（四）投标报价</w:t>
      </w:r>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cs="宋体"/>
          <w:highlight w:val="none"/>
        </w:rPr>
        <w:t>部分</w:t>
      </w:r>
      <w:bookmarkEnd w:id="170"/>
    </w:p>
    <w:p w14:paraId="1ED656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按《磋商文件》要求填写“开标一览表”及“投标分项报价表”。如果两者的报价不符，以“开标一览表”中的价格为准。供应商应在投标分项报价表上标明对本项目采购提供的货物和服务的总价格，包括单价和总价。如果单价与总价不符，以单价为准计算总价。</w:t>
      </w:r>
    </w:p>
    <w:p w14:paraId="76F55FF1">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本次投标报价要求：</w:t>
      </w:r>
    </w:p>
    <w:p w14:paraId="6AEFD88D">
      <w:pPr>
        <w:keepNext w:val="0"/>
        <w:keepLines w:val="0"/>
        <w:pageBreakBefore w:val="0"/>
        <w:widowControl w:val="0"/>
        <w:kinsoku/>
        <w:wordWrap/>
        <w:overflowPunct/>
        <w:topLinePunct w:val="0"/>
        <w:autoSpaceDE/>
        <w:autoSpaceDN/>
        <w:bidi w:val="0"/>
        <w:spacing w:line="520" w:lineRule="exact"/>
        <w:ind w:firstLine="480" w:firstLineChars="200"/>
        <w:rPr>
          <w:rFonts w:hint="eastAsia" w:ascii="宋体" w:hAnsi="宋体" w:eastAsia="宋体" w:cs="宋体"/>
          <w:sz w:val="24"/>
          <w:highlight w:val="none"/>
        </w:rPr>
      </w:pPr>
      <w:bookmarkStart w:id="171" w:name="_Toc403567380"/>
      <w:bookmarkStart w:id="172" w:name="_Toc397973576"/>
      <w:bookmarkStart w:id="173" w:name="_Toc397973477"/>
      <w:bookmarkStart w:id="174" w:name="_Toc398912137"/>
      <w:bookmarkStart w:id="175" w:name="_Toc398912345"/>
      <w:r>
        <w:rPr>
          <w:rFonts w:hint="eastAsia" w:ascii="宋体" w:hAnsi="宋体" w:eastAsia="宋体" w:cs="宋体"/>
          <w:sz w:val="24"/>
          <w:highlight w:val="none"/>
        </w:rPr>
        <w:t>1.供应商应承担与本项目采购活动有关的一切费用。不论采购的结果如何，采购代理机构和采购人在任何情况下均无义务和责任承担这些费用。</w:t>
      </w:r>
      <w:bookmarkEnd w:id="171"/>
      <w:bookmarkEnd w:id="172"/>
      <w:bookmarkEnd w:id="173"/>
      <w:bookmarkEnd w:id="174"/>
      <w:bookmarkEnd w:id="175"/>
    </w:p>
    <w:p w14:paraId="4D48617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的投标报价是响应本项目要求的全部（采购内容）的价格体现，包括本项目所使用的原材料，以及货物本身已缴纳或应缴纳的营业税、销售税和其他税费；运输费、保险费、招标代理服务费和货物运抵项目现场所产生的其它费用等全部费用；货物本身必须的备件</w:t>
      </w:r>
      <w:r>
        <w:rPr>
          <w:rFonts w:hint="eastAsia" w:ascii="宋体" w:hAnsi="宋体" w:cs="宋体"/>
          <w:sz w:val="24"/>
          <w:highlight w:val="none"/>
          <w:lang w:eastAsia="zh-CN"/>
        </w:rPr>
        <w:t>，</w:t>
      </w:r>
      <w:r>
        <w:rPr>
          <w:rFonts w:hint="eastAsia" w:ascii="宋体" w:hAnsi="宋体" w:eastAsia="宋体" w:cs="宋体"/>
          <w:sz w:val="24"/>
          <w:highlight w:val="none"/>
        </w:rPr>
        <w:t>附件和专用工具。</w:t>
      </w:r>
    </w:p>
    <w:p w14:paraId="44C36CF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3.总价格包括完成采购范围内全部货物采购及相关伴随服务等全过程的全部费用。</w:t>
      </w:r>
    </w:p>
    <w:p w14:paraId="2CB6EA8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4.供应商只允许在《</w:t>
      </w:r>
      <w:r>
        <w:rPr>
          <w:rFonts w:hint="eastAsia" w:ascii="宋体" w:hAnsi="宋体" w:eastAsia="宋体" w:cs="宋体"/>
          <w:color w:val="0D0D0D"/>
          <w:sz w:val="24"/>
          <w:highlight w:val="none"/>
        </w:rPr>
        <w:t>磋商响应性文</w:t>
      </w:r>
      <w:r>
        <w:rPr>
          <w:rFonts w:hint="eastAsia" w:ascii="宋体" w:hAnsi="宋体" w:eastAsia="宋体" w:cs="宋体"/>
          <w:sz w:val="24"/>
          <w:highlight w:val="none"/>
        </w:rPr>
        <w:t>件》中有一个报价，并且在合同履行过程中是固定不变的，任何有选择或可调整的报价将不予接受，并按无效投标处理。</w:t>
      </w:r>
    </w:p>
    <w:p w14:paraId="2F2A7C56">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5.供应商的报价作为评标的重要依据之一，但并不是本项目采购人采购、评标确定成交人的唯一依据。</w:t>
      </w:r>
    </w:p>
    <w:p w14:paraId="0F583DCF">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6.本项目投标报价是在符合磋商文件对产品相关要求的情况下，以最大限度的折扣价或优惠后价格的体现。</w:t>
      </w:r>
    </w:p>
    <w:p w14:paraId="40A815B7">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bookmarkStart w:id="176" w:name="_Toc91030006"/>
      <w:bookmarkStart w:id="177" w:name="_Toc91477256"/>
      <w:bookmarkStart w:id="178" w:name="_Toc469850055"/>
      <w:bookmarkStart w:id="179" w:name="_Toc229198029"/>
      <w:bookmarkStart w:id="180" w:name="_Toc139343540"/>
      <w:bookmarkStart w:id="181" w:name="_Toc274816718"/>
      <w:bookmarkStart w:id="182" w:name="_Toc89058535"/>
      <w:bookmarkStart w:id="183" w:name="_Toc89586896"/>
      <w:bookmarkStart w:id="184" w:name="_Toc390078417"/>
      <w:bookmarkStart w:id="185" w:name="_Toc390084383"/>
      <w:bookmarkStart w:id="186" w:name="_Toc398912138"/>
      <w:bookmarkStart w:id="187" w:name="_Toc403567381"/>
      <w:bookmarkStart w:id="188" w:name="_Toc390084923"/>
      <w:bookmarkStart w:id="189" w:name="_Toc397973478"/>
      <w:bookmarkStart w:id="190" w:name="_Toc397973577"/>
      <w:bookmarkStart w:id="191" w:name="_Toc390084859"/>
      <w:bookmarkStart w:id="192" w:name="_Toc398912346"/>
      <w:bookmarkStart w:id="193" w:name="_Toc389731531"/>
      <w:r>
        <w:rPr>
          <w:rFonts w:hint="eastAsia" w:ascii="宋体" w:hAnsi="宋体" w:eastAsia="宋体" w:cs="宋体"/>
          <w:color w:val="000000"/>
          <w:sz w:val="24"/>
          <w:highlight w:val="none"/>
        </w:rPr>
        <w:t>7.投标货币</w:t>
      </w:r>
      <w:bookmarkEnd w:id="176"/>
      <w:bookmarkEnd w:id="177"/>
      <w:bookmarkEnd w:id="178"/>
      <w:bookmarkEnd w:id="179"/>
      <w:bookmarkEnd w:id="180"/>
      <w:bookmarkEnd w:id="181"/>
      <w:bookmarkEnd w:id="182"/>
      <w:bookmarkEnd w:id="183"/>
      <w:r>
        <w:rPr>
          <w:rFonts w:hint="eastAsia" w:ascii="宋体" w:hAnsi="宋体" w:eastAsia="宋体" w:cs="宋体"/>
          <w:color w:val="000000"/>
          <w:sz w:val="24"/>
          <w:highlight w:val="none"/>
        </w:rPr>
        <w:t>：以人民币为货币单位报价。</w:t>
      </w:r>
      <w:bookmarkEnd w:id="184"/>
      <w:bookmarkEnd w:id="185"/>
      <w:bookmarkEnd w:id="186"/>
      <w:bookmarkEnd w:id="187"/>
      <w:bookmarkEnd w:id="188"/>
      <w:bookmarkEnd w:id="189"/>
      <w:bookmarkEnd w:id="190"/>
      <w:bookmarkEnd w:id="191"/>
      <w:bookmarkEnd w:id="192"/>
      <w:bookmarkEnd w:id="193"/>
      <w:bookmarkStart w:id="194" w:name="_Toc139343543"/>
      <w:bookmarkStart w:id="195" w:name="_Toc229198032"/>
      <w:bookmarkStart w:id="196" w:name="_Toc89058538"/>
      <w:bookmarkStart w:id="197" w:name="_Toc91477259"/>
      <w:bookmarkStart w:id="198" w:name="_Toc469850058"/>
      <w:bookmarkStart w:id="199" w:name="_Toc274816719"/>
      <w:bookmarkStart w:id="200" w:name="_Toc91030009"/>
      <w:bookmarkStart w:id="201" w:name="_Toc89586899"/>
    </w:p>
    <w:bookmarkEnd w:id="194"/>
    <w:bookmarkEnd w:id="195"/>
    <w:bookmarkEnd w:id="196"/>
    <w:bookmarkEnd w:id="197"/>
    <w:bookmarkEnd w:id="198"/>
    <w:bookmarkEnd w:id="199"/>
    <w:bookmarkEnd w:id="200"/>
    <w:bookmarkEnd w:id="201"/>
    <w:p w14:paraId="44EC103C">
      <w:pPr>
        <w:pStyle w:val="4"/>
        <w:pageBreakBefore w:val="0"/>
        <w:kinsoku/>
        <w:wordWrap/>
        <w:overflowPunct/>
        <w:topLinePunct w:val="0"/>
        <w:bidi w:val="0"/>
        <w:spacing w:before="0" w:after="0" w:line="520" w:lineRule="exact"/>
        <w:rPr>
          <w:rFonts w:hint="eastAsia" w:ascii="宋体" w:hAnsi="宋体" w:eastAsia="宋体" w:cs="宋体"/>
          <w:highlight w:val="none"/>
        </w:rPr>
      </w:pPr>
      <w:bookmarkStart w:id="202" w:name="_Toc390084921"/>
      <w:bookmarkStart w:id="203" w:name="_Toc32209"/>
      <w:bookmarkStart w:id="204" w:name="_Toc390078415"/>
      <w:bookmarkStart w:id="205" w:name="_Toc389731529"/>
      <w:bookmarkStart w:id="206" w:name="_Toc390084857"/>
      <w:bookmarkStart w:id="207" w:name="_Toc390084381"/>
      <w:r>
        <w:rPr>
          <w:rFonts w:hint="eastAsia" w:ascii="宋体" w:hAnsi="宋体" w:eastAsia="宋体" w:cs="宋体"/>
          <w:highlight w:val="none"/>
        </w:rPr>
        <w:t>（五）《磋商响应性文件》的组成</w:t>
      </w:r>
      <w:bookmarkEnd w:id="149"/>
      <w:bookmarkEnd w:id="150"/>
      <w:bookmarkEnd w:id="151"/>
      <w:bookmarkEnd w:id="152"/>
      <w:bookmarkEnd w:id="153"/>
      <w:bookmarkEnd w:id="154"/>
      <w:bookmarkEnd w:id="155"/>
      <w:bookmarkEnd w:id="156"/>
      <w:bookmarkEnd w:id="202"/>
      <w:bookmarkEnd w:id="203"/>
      <w:bookmarkEnd w:id="204"/>
      <w:bookmarkEnd w:id="205"/>
      <w:bookmarkEnd w:id="206"/>
      <w:bookmarkEnd w:id="207"/>
    </w:p>
    <w:p w14:paraId="306517FE">
      <w:pPr>
        <w:pageBreakBefore w:val="0"/>
        <w:kinsoku/>
        <w:wordWrap/>
        <w:overflowPunct/>
        <w:topLinePunct w:val="0"/>
        <w:bidi w:val="0"/>
        <w:adjustRightInd w:val="0"/>
        <w:snapToGrid w:val="0"/>
        <w:spacing w:line="52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》应由商务文件部分（包括资格证明文件）和技术文件部分（包括技术响应等）及投标报价部分组成，所有复印件须加盖公章。</w:t>
      </w:r>
    </w:p>
    <w:p w14:paraId="7D411A2F">
      <w:pPr>
        <w:pageBreakBefore w:val="0"/>
        <w:kinsoku/>
        <w:wordWrap/>
        <w:overflowPunct/>
        <w:topLinePunct w:val="0"/>
        <w:bidi w:val="0"/>
        <w:adjustRightInd w:val="0"/>
        <w:snapToGrid w:val="0"/>
        <w:spacing w:line="520" w:lineRule="exact"/>
        <w:ind w:firstLine="482" w:firstLineChars="200"/>
        <w:jc w:val="left"/>
        <w:rPr>
          <w:rFonts w:hint="eastAsia" w:ascii="宋体" w:hAnsi="宋体" w:eastAsia="宋体" w:cs="宋体"/>
          <w:sz w:val="24"/>
          <w:highlight w:val="none"/>
        </w:rPr>
      </w:pPr>
      <w:r>
        <w:rPr>
          <w:rFonts w:hint="eastAsia" w:ascii="宋体" w:hAnsi="宋体" w:eastAsia="宋体" w:cs="宋体"/>
          <w:b/>
          <w:sz w:val="24"/>
          <w:highlight w:val="none"/>
        </w:rPr>
        <w:t>1.</w:t>
      </w:r>
      <w:bookmarkStart w:id="208" w:name="_Toc390078423"/>
      <w:bookmarkStart w:id="209" w:name="_Toc91030011"/>
      <w:bookmarkStart w:id="210" w:name="_Toc389731534"/>
      <w:bookmarkStart w:id="211" w:name="_Toc89058540"/>
      <w:bookmarkStart w:id="212" w:name="_Toc390084929"/>
      <w:bookmarkStart w:id="213" w:name="_Toc139343545"/>
      <w:bookmarkStart w:id="214" w:name="_Toc274816721"/>
      <w:bookmarkStart w:id="215" w:name="_Toc397067886"/>
      <w:bookmarkStart w:id="216" w:name="_Toc469850060"/>
      <w:bookmarkStart w:id="217" w:name="_Toc229198034"/>
      <w:bookmarkStart w:id="218" w:name="_Toc89586901"/>
      <w:bookmarkStart w:id="219" w:name="_Toc390084389"/>
      <w:bookmarkStart w:id="220" w:name="_Toc91477261"/>
      <w:bookmarkStart w:id="221" w:name="_Toc390084865"/>
      <w:bookmarkStart w:id="222" w:name="_Toc390084869"/>
      <w:bookmarkStart w:id="223" w:name="_Toc390078427"/>
      <w:bookmarkStart w:id="224" w:name="_Toc389731538"/>
      <w:bookmarkStart w:id="225" w:name="_Toc390084933"/>
      <w:bookmarkStart w:id="226" w:name="_Toc390084393"/>
      <w:bookmarkStart w:id="227" w:name="_Toc89586907"/>
      <w:bookmarkStart w:id="228" w:name="_Toc139343551"/>
      <w:bookmarkStart w:id="229" w:name="_Toc91477267"/>
      <w:bookmarkStart w:id="230" w:name="_Toc274816727"/>
      <w:bookmarkStart w:id="231" w:name="_Toc91030017"/>
      <w:bookmarkStart w:id="232" w:name="_Toc229198040"/>
      <w:bookmarkStart w:id="233" w:name="_Toc469850066"/>
      <w:bookmarkStart w:id="234" w:name="_Toc89058546"/>
      <w:r>
        <w:rPr>
          <w:rFonts w:hint="eastAsia" w:ascii="宋体" w:hAnsi="宋体" w:eastAsia="宋体" w:cs="宋体"/>
          <w:b/>
          <w:sz w:val="24"/>
          <w:highlight w:val="none"/>
        </w:rPr>
        <w:t>商务文件部分应包括：</w:t>
      </w:r>
    </w:p>
    <w:p w14:paraId="6B4B8EDF">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投标函；</w:t>
      </w:r>
    </w:p>
    <w:p w14:paraId="2449FA12">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开标一览表；</w:t>
      </w:r>
    </w:p>
    <w:p w14:paraId="06D9D91B">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投标分项报价表；</w:t>
      </w:r>
    </w:p>
    <w:p w14:paraId="53A41270">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法定代表人资格证明（附法定代表人身份证复印件）；</w:t>
      </w:r>
    </w:p>
    <w:p w14:paraId="70048AE7">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法定代表人授权函（附被授权人身份证复印件）；</w:t>
      </w:r>
    </w:p>
    <w:p w14:paraId="3483E999">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商务条款偏离表（商务文件部分及应该提供的与商务相关的全部文件都必       须如实的做出偏离说明）；</w:t>
      </w:r>
    </w:p>
    <w:p w14:paraId="2792FB23">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供应商资格证明；</w:t>
      </w:r>
    </w:p>
    <w:p w14:paraId="536D5F97">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参加政府采购活动前三年内在经营活动中没有重大违法记录的书面声明函；</w:t>
      </w:r>
    </w:p>
    <w:p w14:paraId="1C0BD766">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售后服务承诺书；</w:t>
      </w:r>
    </w:p>
    <w:p w14:paraId="0EE0FA49">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优惠条件承诺书；</w:t>
      </w:r>
    </w:p>
    <w:p w14:paraId="6C682EB6">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培训计划承诺书；</w:t>
      </w:r>
    </w:p>
    <w:p w14:paraId="5214454D">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供应商业绩（填写“近三年已完成或在执行类似项目一览表”）；</w:t>
      </w:r>
    </w:p>
    <w:p w14:paraId="5F8A979D">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《中小企业声明函》；</w:t>
      </w:r>
    </w:p>
    <w:p w14:paraId="5847B621">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《监狱企业的证明文件》（若有）；</w:t>
      </w:r>
    </w:p>
    <w:p w14:paraId="01DED613">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残疾人福利性单位声明函（若有）；</w:t>
      </w:r>
    </w:p>
    <w:p w14:paraId="406020D1">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节能环保产品证明资料（若有）；</w:t>
      </w:r>
    </w:p>
    <w:p w14:paraId="067DBD13">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联合体协议书（若允许联合体投标）；</w:t>
      </w:r>
    </w:p>
    <w:p w14:paraId="34D0E427">
      <w:pPr>
        <w:pStyle w:val="20"/>
        <w:pageBreakBefore w:val="0"/>
        <w:numPr>
          <w:ilvl w:val="0"/>
          <w:numId w:val="4"/>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供应商根据综合评分表认为有必要提供的其他资料。</w:t>
      </w:r>
    </w:p>
    <w:p w14:paraId="49B574F6">
      <w:pPr>
        <w:pStyle w:val="20"/>
        <w:pageBreakBefore w:val="0"/>
        <w:kinsoku/>
        <w:wordWrap/>
        <w:overflowPunct/>
        <w:topLinePunct w:val="0"/>
        <w:bidi w:val="0"/>
        <w:adjustRightInd w:val="0"/>
        <w:snapToGrid w:val="0"/>
        <w:spacing w:line="52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2.技术文件部分应包括（但不限于）：</w:t>
      </w:r>
    </w:p>
    <w:p w14:paraId="4AC629BB">
      <w:pPr>
        <w:pStyle w:val="20"/>
        <w:pageBreakBefore w:val="0"/>
        <w:numPr>
          <w:ilvl w:val="0"/>
          <w:numId w:val="5"/>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技术条款偏离表：【供应商应对投标货物提供完整的详细的技术说明，如果对《</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》中清楚的说明，</w:t>
      </w:r>
      <w:r>
        <w:rPr>
          <w:rFonts w:hint="eastAsia" w:hAnsi="宋体" w:cs="宋体"/>
          <w:sz w:val="24"/>
          <w:highlight w:val="none"/>
          <w:lang w:eastAsia="zh-CN"/>
        </w:rPr>
        <w:t>不作</w:t>
      </w:r>
      <w:r>
        <w:rPr>
          <w:rFonts w:hint="eastAsia" w:ascii="宋体" w:hAnsi="宋体" w:eastAsia="宋体" w:cs="宋体"/>
          <w:sz w:val="24"/>
          <w:highlight w:val="none"/>
        </w:rPr>
        <w:t>详细说明的正偏离按照无效正偏离对待）】；</w:t>
      </w:r>
    </w:p>
    <w:p w14:paraId="5ECBDB39">
      <w:pPr>
        <w:pStyle w:val="20"/>
        <w:pageBreakBefore w:val="0"/>
        <w:numPr>
          <w:ilvl w:val="0"/>
          <w:numId w:val="5"/>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投标产品详细的技术指标和参数；供应商投标货物必须符合《磋商文件》第三章采购内容要求，应对《磋商文件》第三章采购内容的要求给予逐条响应，以自己投标产品和服务所能达到的内容予以填写，而不应复制《磋商文件》的技术要求作为响应内容，且质量符合国家相关规定及本项目磋商文件的要求（对于提供不真实或虚假技术参数者按照无效投标处理）；</w:t>
      </w:r>
    </w:p>
    <w:p w14:paraId="04D30B8C">
      <w:pPr>
        <w:pStyle w:val="20"/>
        <w:pageBreakBefore w:val="0"/>
        <w:numPr>
          <w:ilvl w:val="0"/>
          <w:numId w:val="5"/>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项目组织实施方案；</w:t>
      </w:r>
    </w:p>
    <w:p w14:paraId="0105A584">
      <w:pPr>
        <w:pStyle w:val="20"/>
        <w:pageBreakBefore w:val="0"/>
        <w:numPr>
          <w:ilvl w:val="0"/>
          <w:numId w:val="5"/>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产品验收标准和验收方法；</w:t>
      </w:r>
    </w:p>
    <w:p w14:paraId="4CDC7DBF">
      <w:pPr>
        <w:pStyle w:val="20"/>
        <w:pageBreakBefore w:val="0"/>
        <w:numPr>
          <w:ilvl w:val="0"/>
          <w:numId w:val="5"/>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供应商根据综合评分表认为有必要提供的相关技术资料及相关证明文件。</w:t>
      </w:r>
    </w:p>
    <w:p w14:paraId="771879DB">
      <w:pPr>
        <w:pStyle w:val="20"/>
        <w:pageBreakBefore w:val="0"/>
        <w:numPr>
          <w:ilvl w:val="0"/>
          <w:numId w:val="6"/>
        </w:numPr>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b/>
          <w:kern w:val="0"/>
          <w:sz w:val="28"/>
          <w:highlight w:val="none"/>
        </w:rPr>
        <w:t>磋商响应性文件的印制和签署</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EEA68CD">
      <w:pPr>
        <w:pStyle w:val="20"/>
        <w:pageBreakBefore w:val="0"/>
        <w:kinsoku/>
        <w:wordWrap/>
        <w:overflowPunct/>
        <w:topLinePunct w:val="0"/>
        <w:bidi w:val="0"/>
        <w:adjustRightInd w:val="0"/>
        <w:snapToGrid w:val="0"/>
        <w:spacing w:line="520" w:lineRule="exact"/>
        <w:ind w:left="105"/>
        <w:rPr>
          <w:rFonts w:hint="eastAsia" w:ascii="宋体" w:hAnsi="宋体" w:eastAsia="宋体" w:cs="宋体"/>
          <w:sz w:val="24"/>
          <w:highlight w:val="none"/>
        </w:rPr>
      </w:pPr>
      <w:r>
        <w:rPr>
          <w:rFonts w:hint="eastAsia" w:ascii="宋体" w:hAnsi="宋体" w:eastAsia="宋体" w:cs="宋体"/>
          <w:sz w:val="24"/>
          <w:highlight w:val="none"/>
        </w:rPr>
        <w:t xml:space="preserve">    1.供应商应按“供应商须知前附表”规定的份数提交《</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》否则视为无效投标。</w:t>
      </w:r>
    </w:p>
    <w:p w14:paraId="3FDDC0C8">
      <w:pPr>
        <w:pStyle w:val="20"/>
        <w:pageBreakBefore w:val="0"/>
        <w:kinsoku/>
        <w:wordWrap/>
        <w:overflowPunct/>
        <w:topLinePunct w:val="0"/>
        <w:bidi w:val="0"/>
        <w:adjustRightInd w:val="0"/>
        <w:snapToGrid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 xml:space="preserve">     2.《</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》的正本和副本均需打印或使用不褪色墨水笔书写，字迹应清晰易于辨认，并应在《</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》封面的右上角清楚地注明“正本”或“副本”。正本和副本如有不一致之处，以正本为准。</w:t>
      </w:r>
    </w:p>
    <w:p w14:paraId="7F581988">
      <w:pPr>
        <w:pageBreakBefore w:val="0"/>
        <w:kinsoku/>
        <w:wordWrap/>
        <w:overflowPunct/>
        <w:topLinePunct w:val="0"/>
        <w:bidi w:val="0"/>
        <w:spacing w:line="520" w:lineRule="exact"/>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》的正本逐页加盖供应商公章</w:t>
      </w:r>
      <w:r>
        <w:rPr>
          <w:rFonts w:hint="eastAsia" w:ascii="宋体" w:hAnsi="宋体" w:eastAsia="宋体" w:cs="宋体"/>
          <w:sz w:val="24"/>
          <w:highlight w:val="none"/>
          <w:lang w:eastAsia="zh-CN"/>
        </w:rPr>
        <w:t>，</w:t>
      </w:r>
      <w:r>
        <w:rPr>
          <w:rFonts w:hint="eastAsia" w:ascii="宋体" w:hAnsi="宋体" w:eastAsia="宋体" w:cs="宋体"/>
          <w:sz w:val="24"/>
          <w:highlight w:val="none"/>
        </w:rPr>
        <w:t>并经法定代表人或其被授权人</w:t>
      </w:r>
      <w:r>
        <w:rPr>
          <w:rFonts w:hint="eastAsia" w:ascii="宋体" w:hAnsi="宋体" w:eastAsia="宋体" w:cs="宋体"/>
          <w:sz w:val="24"/>
          <w:highlight w:val="none"/>
          <w:lang w:eastAsia="zh-CN"/>
        </w:rPr>
        <w:t>在须签字处</w:t>
      </w:r>
      <w:r>
        <w:rPr>
          <w:rFonts w:hint="eastAsia" w:ascii="宋体" w:hAnsi="宋体" w:eastAsia="宋体" w:cs="宋体"/>
          <w:sz w:val="24"/>
          <w:highlight w:val="none"/>
        </w:rPr>
        <w:t>签字，副本可由正本复印而成。由被授权人签字或盖章的《</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》中须同时提交“法定代表人授权函”。</w:t>
      </w:r>
    </w:p>
    <w:p w14:paraId="5CDC94B9">
      <w:pPr>
        <w:pageBreakBefore w:val="0"/>
        <w:kinsoku/>
        <w:wordWrap/>
        <w:overflowPunct/>
        <w:topLinePunct w:val="0"/>
        <w:autoSpaceDE w:val="0"/>
        <w:autoSpaceDN w:val="0"/>
        <w:bidi w:val="0"/>
        <w:adjustRightInd w:val="0"/>
        <w:snapToGrid w:val="0"/>
        <w:spacing w:line="52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除供应商对错误处须修改外，全套《</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》应无涂改或行间插字和增删。如有修改，修改处应由供应商加盖供应商的印章或由《</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》签字人签字或盖章。</w:t>
      </w:r>
      <w:bookmarkStart w:id="235" w:name="_Toc89586903"/>
      <w:bookmarkStart w:id="236" w:name="_Toc91477263"/>
      <w:bookmarkStart w:id="237" w:name="_Toc91030013"/>
      <w:bookmarkStart w:id="238" w:name="_Toc89058542"/>
      <w:bookmarkStart w:id="239" w:name="_Toc229198036"/>
      <w:bookmarkStart w:id="240" w:name="_Toc274816723"/>
      <w:bookmarkStart w:id="241" w:name="_Toc469850062"/>
      <w:bookmarkStart w:id="242" w:name="_Toc139343547"/>
    </w:p>
    <w:p w14:paraId="335971D0">
      <w:pPr>
        <w:pageBreakBefore w:val="0"/>
        <w:kinsoku/>
        <w:wordWrap/>
        <w:overflowPunct/>
        <w:topLinePunct w:val="0"/>
        <w:autoSpaceDE w:val="0"/>
        <w:autoSpaceDN w:val="0"/>
        <w:bidi w:val="0"/>
        <w:adjustRightInd w:val="0"/>
        <w:snapToGrid w:val="0"/>
        <w:spacing w:line="52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    4.《</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》的印制建议应采用70克以上的复印纸打印，采用胶装或线装装订方式装订，即不可抽取调换内页的装订方式，无脱落无散页，有目录、有连续的页码。</w:t>
      </w:r>
    </w:p>
    <w:p w14:paraId="4BE63052">
      <w:pPr>
        <w:pageBreakBefore w:val="0"/>
        <w:kinsoku/>
        <w:wordWrap/>
        <w:overflowPunct/>
        <w:topLinePunct w:val="0"/>
        <w:autoSpaceDE w:val="0"/>
        <w:autoSpaceDN w:val="0"/>
        <w:bidi w:val="0"/>
        <w:adjustRightInd w:val="0"/>
        <w:snapToGrid w:val="0"/>
        <w:spacing w:line="52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color w:val="0D0D0D"/>
          <w:sz w:val="24"/>
          <w:highlight w:val="none"/>
        </w:rPr>
        <w:t>磋商响应性文件</w:t>
      </w:r>
      <w:r>
        <w:rPr>
          <w:rFonts w:hint="eastAsia" w:ascii="宋体" w:hAnsi="宋体" w:eastAsia="宋体" w:cs="宋体"/>
          <w:sz w:val="24"/>
          <w:highlight w:val="none"/>
        </w:rPr>
        <w:t>》应根据《磋商文件》的要求签署、盖章，内容应完整详细，如有遗漏，将被视为无效投标。</w:t>
      </w:r>
      <w:bookmarkEnd w:id="235"/>
      <w:bookmarkEnd w:id="236"/>
      <w:bookmarkEnd w:id="237"/>
      <w:bookmarkEnd w:id="238"/>
      <w:bookmarkEnd w:id="239"/>
      <w:bookmarkEnd w:id="240"/>
      <w:bookmarkEnd w:id="241"/>
      <w:bookmarkEnd w:id="242"/>
      <w:bookmarkStart w:id="243" w:name="_Toc397067888"/>
      <w:bookmarkStart w:id="244" w:name="_Toc390078418"/>
      <w:bookmarkStart w:id="245" w:name="_Toc390084384"/>
      <w:bookmarkStart w:id="246" w:name="_Toc390084860"/>
      <w:bookmarkStart w:id="247" w:name="_Toc390084924"/>
      <w:bookmarkStart w:id="248" w:name="_Toc389731532"/>
      <w:bookmarkStart w:id="249" w:name="_Toc390084391"/>
      <w:bookmarkStart w:id="250" w:name="_Toc390084931"/>
      <w:bookmarkStart w:id="251" w:name="_Toc469850063"/>
      <w:bookmarkStart w:id="252" w:name="_Toc274816724"/>
      <w:bookmarkStart w:id="253" w:name="_Toc389731536"/>
      <w:bookmarkStart w:id="254" w:name="_Toc229198037"/>
      <w:bookmarkStart w:id="255" w:name="_Toc91030014"/>
      <w:bookmarkStart w:id="256" w:name="_Toc390084867"/>
      <w:bookmarkStart w:id="257" w:name="_Toc139343548"/>
      <w:bookmarkStart w:id="258" w:name="_Toc91477264"/>
      <w:bookmarkStart w:id="259" w:name="_Toc390078425"/>
      <w:bookmarkStart w:id="260" w:name="_Toc89586904"/>
      <w:bookmarkStart w:id="261" w:name="_Toc89058543"/>
    </w:p>
    <w:p w14:paraId="4605949E">
      <w:pPr>
        <w:pStyle w:val="3"/>
        <w:pageBreakBefore w:val="0"/>
        <w:kinsoku/>
        <w:wordWrap/>
        <w:overflowPunct/>
        <w:topLinePunct w:val="0"/>
        <w:bidi w:val="0"/>
        <w:spacing w:before="0" w:line="520" w:lineRule="exact"/>
        <w:rPr>
          <w:rFonts w:hint="eastAsia" w:ascii="宋体" w:hAnsi="宋体" w:eastAsia="宋体" w:cs="宋体"/>
          <w:highlight w:val="none"/>
        </w:rPr>
      </w:pPr>
      <w:bookmarkStart w:id="262" w:name="_Toc30660"/>
      <w:r>
        <w:rPr>
          <w:rFonts w:hint="eastAsia" w:ascii="宋体" w:hAnsi="宋体" w:eastAsia="宋体" w:cs="宋体"/>
          <w:highlight w:val="none"/>
        </w:rPr>
        <w:t>五</w:t>
      </w:r>
      <w:bookmarkEnd w:id="243"/>
      <w:r>
        <w:rPr>
          <w:rFonts w:hint="eastAsia" w:ascii="宋体" w:hAnsi="宋体" w:eastAsia="宋体" w:cs="宋体"/>
          <w:highlight w:val="none"/>
        </w:rPr>
        <w:t>、投标相关事项</w:t>
      </w:r>
      <w:bookmarkEnd w:id="262"/>
    </w:p>
    <w:p w14:paraId="5A685ACC">
      <w:pPr>
        <w:pStyle w:val="4"/>
        <w:pageBreakBefore w:val="0"/>
        <w:kinsoku/>
        <w:wordWrap/>
        <w:overflowPunct/>
        <w:topLinePunct w:val="0"/>
        <w:bidi w:val="0"/>
        <w:spacing w:before="0" w:after="0" w:line="520" w:lineRule="exact"/>
        <w:rPr>
          <w:rFonts w:hint="eastAsia" w:ascii="宋体" w:hAnsi="宋体" w:eastAsia="宋体" w:cs="宋体"/>
          <w:highlight w:val="none"/>
        </w:rPr>
      </w:pPr>
      <w:bookmarkStart w:id="263" w:name="_Toc13947"/>
      <w:bookmarkStart w:id="264" w:name="_Toc397067889"/>
      <w:r>
        <w:rPr>
          <w:rFonts w:hint="eastAsia" w:ascii="宋体" w:hAnsi="宋体" w:eastAsia="宋体" w:cs="宋体"/>
          <w:highlight w:val="none"/>
        </w:rPr>
        <w:t>（一）投标保证金</w:t>
      </w:r>
      <w:bookmarkEnd w:id="244"/>
      <w:bookmarkEnd w:id="245"/>
      <w:bookmarkEnd w:id="246"/>
      <w:bookmarkEnd w:id="247"/>
      <w:bookmarkEnd w:id="248"/>
      <w:bookmarkEnd w:id="263"/>
      <w:bookmarkEnd w:id="264"/>
    </w:p>
    <w:p w14:paraId="5FF925CF">
      <w:pPr>
        <w:pStyle w:val="122"/>
        <w:pageBreakBefore w:val="0"/>
        <w:kinsoku/>
        <w:wordWrap/>
        <w:overflowPunct/>
        <w:topLinePunct w:val="0"/>
        <w:bidi w:val="0"/>
        <w:adjustRightInd w:val="0"/>
        <w:snapToGrid w:val="0"/>
        <w:spacing w:line="520" w:lineRule="exact"/>
        <w:ind w:firstLine="480"/>
        <w:rPr>
          <w:rFonts w:hint="eastAsia" w:ascii="宋体" w:hAnsi="宋体" w:eastAsia="宋体" w:cs="宋体"/>
          <w:sz w:val="24"/>
          <w:highlight w:val="none"/>
        </w:rPr>
      </w:pPr>
      <w:bookmarkStart w:id="265" w:name="_Toc390086178"/>
      <w:bookmarkStart w:id="266" w:name="_Toc392332796"/>
      <w:bookmarkStart w:id="267" w:name="_Toc390354476"/>
      <w:bookmarkStart w:id="268" w:name="_Toc392189133"/>
      <w:bookmarkStart w:id="269" w:name="_Toc398912352"/>
      <w:bookmarkStart w:id="270" w:name="_Toc390353634"/>
      <w:bookmarkStart w:id="271" w:name="_Toc397067890"/>
      <w:bookmarkStart w:id="272" w:name="_Toc397083976"/>
      <w:bookmarkStart w:id="273" w:name="_Toc390348473"/>
      <w:bookmarkStart w:id="274" w:name="_Toc390078419"/>
      <w:bookmarkStart w:id="275" w:name="_Toc396597515"/>
      <w:bookmarkStart w:id="276" w:name="_Toc397067562"/>
      <w:bookmarkStart w:id="277" w:name="_Toc397083817"/>
      <w:bookmarkStart w:id="278" w:name="_Toc392332903"/>
      <w:bookmarkStart w:id="279" w:name="_Toc393998863"/>
      <w:bookmarkStart w:id="280" w:name="_Toc390086885"/>
      <w:bookmarkStart w:id="281" w:name="_Toc403567387"/>
      <w:bookmarkStart w:id="282" w:name="_Toc398912144"/>
      <w:bookmarkStart w:id="283" w:name="_Toc390336063"/>
      <w:bookmarkStart w:id="284" w:name="_Toc396291463"/>
      <w:bookmarkStart w:id="285" w:name="_Toc397973583"/>
      <w:bookmarkStart w:id="286" w:name="_Toc390084385"/>
      <w:bookmarkStart w:id="287" w:name="_Toc397973484"/>
      <w:bookmarkStart w:id="288" w:name="_Toc390084925"/>
      <w:bookmarkStart w:id="289" w:name="_Toc390084861"/>
      <w:r>
        <w:rPr>
          <w:rFonts w:hint="eastAsia" w:ascii="宋体" w:hAnsi="宋体" w:eastAsia="宋体" w:cs="宋体"/>
          <w:sz w:val="24"/>
          <w:highlight w:val="none"/>
        </w:rPr>
        <w:t>1.供应商应提交符合“供应商须知前附表”规定时间、金额及形式的投标保证金，并作为其投标的一部分。</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Start w:id="290" w:name="_Toc390078420"/>
      <w:bookmarkStart w:id="291" w:name="_Toc390348474"/>
      <w:bookmarkStart w:id="292" w:name="_Toc390354477"/>
      <w:bookmarkStart w:id="293" w:name="_Toc390086179"/>
      <w:bookmarkStart w:id="294" w:name="_Toc390084386"/>
      <w:bookmarkStart w:id="295" w:name="_Toc390353635"/>
      <w:bookmarkStart w:id="296" w:name="_Toc390336064"/>
      <w:bookmarkStart w:id="297" w:name="_Toc390084926"/>
      <w:bookmarkStart w:id="298" w:name="_Toc390084862"/>
      <w:bookmarkStart w:id="299" w:name="_Toc390086886"/>
    </w:p>
    <w:p w14:paraId="614B6419">
      <w:pPr>
        <w:pStyle w:val="122"/>
        <w:pageBreakBefore w:val="0"/>
        <w:kinsoku/>
        <w:wordWrap/>
        <w:overflowPunct/>
        <w:topLinePunct w:val="0"/>
        <w:bidi w:val="0"/>
        <w:adjustRightInd w:val="0"/>
        <w:snapToGrid w:val="0"/>
        <w:spacing w:line="520" w:lineRule="exact"/>
        <w:ind w:firstLine="480"/>
        <w:rPr>
          <w:rFonts w:hint="eastAsia" w:ascii="宋体" w:hAnsi="宋体" w:eastAsia="宋体" w:cs="宋体"/>
          <w:sz w:val="24"/>
          <w:highlight w:val="none"/>
        </w:rPr>
      </w:pPr>
      <w:bookmarkStart w:id="300" w:name="_Toc392332904"/>
      <w:bookmarkStart w:id="301" w:name="_Toc397973485"/>
      <w:bookmarkStart w:id="302" w:name="_Toc392332797"/>
      <w:bookmarkStart w:id="303" w:name="_Toc392189134"/>
      <w:bookmarkStart w:id="304" w:name="_Toc397067891"/>
      <w:bookmarkStart w:id="305" w:name="_Toc393998864"/>
      <w:bookmarkStart w:id="306" w:name="_Toc403567388"/>
      <w:bookmarkStart w:id="307" w:name="_Toc397973584"/>
      <w:bookmarkStart w:id="308" w:name="_Toc398912353"/>
      <w:bookmarkStart w:id="309" w:name="_Toc397083818"/>
      <w:bookmarkStart w:id="310" w:name="_Toc397083977"/>
      <w:bookmarkStart w:id="311" w:name="_Toc396291464"/>
      <w:bookmarkStart w:id="312" w:name="_Toc398912145"/>
      <w:bookmarkStart w:id="313" w:name="_Toc397067563"/>
      <w:bookmarkStart w:id="314" w:name="_Toc396597516"/>
      <w:r>
        <w:rPr>
          <w:rFonts w:hint="eastAsia" w:ascii="宋体" w:hAnsi="宋体" w:eastAsia="宋体" w:cs="宋体"/>
          <w:sz w:val="24"/>
          <w:highlight w:val="none"/>
        </w:rPr>
        <w:t>2.投标保证金是为了保护采购代理机构和采购人避免因供应商的行为而蒙受损失。采购代理机构和采购人在因供应商的行为受到损害时可根据供应商须知的规定没收供应商的投标保证金。</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Start w:id="315" w:name="_Toc390348475"/>
      <w:bookmarkStart w:id="316" w:name="_Toc390353636"/>
      <w:bookmarkStart w:id="317" w:name="_Toc390084863"/>
      <w:bookmarkStart w:id="318" w:name="_Toc390336065"/>
      <w:bookmarkStart w:id="319" w:name="_Toc390354478"/>
      <w:bookmarkStart w:id="320" w:name="_Toc390086887"/>
      <w:bookmarkStart w:id="321" w:name="_Toc390086180"/>
      <w:bookmarkStart w:id="322" w:name="_Toc390078421"/>
      <w:bookmarkStart w:id="323" w:name="_Toc390084927"/>
      <w:bookmarkStart w:id="324" w:name="_Toc390084387"/>
    </w:p>
    <w:p w14:paraId="0CA1D73A">
      <w:pPr>
        <w:pStyle w:val="122"/>
        <w:pageBreakBefore w:val="0"/>
        <w:kinsoku/>
        <w:wordWrap/>
        <w:overflowPunct/>
        <w:topLinePunct w:val="0"/>
        <w:bidi w:val="0"/>
        <w:adjustRightInd w:val="0"/>
        <w:snapToGrid w:val="0"/>
        <w:spacing w:line="520" w:lineRule="exact"/>
        <w:ind w:firstLine="480"/>
        <w:rPr>
          <w:rFonts w:hint="eastAsia" w:ascii="宋体" w:hAnsi="宋体" w:eastAsia="宋体" w:cs="宋体"/>
          <w:color w:val="FF0000"/>
          <w:sz w:val="24"/>
          <w:highlight w:val="none"/>
        </w:rPr>
      </w:pPr>
      <w:bookmarkStart w:id="325" w:name="_Toc397083978"/>
      <w:bookmarkStart w:id="326" w:name="_Toc397083819"/>
      <w:bookmarkStart w:id="327" w:name="_Toc392332905"/>
      <w:bookmarkStart w:id="328" w:name="_Toc392189135"/>
      <w:bookmarkStart w:id="329" w:name="_Toc403567389"/>
      <w:bookmarkStart w:id="330" w:name="_Toc398912354"/>
      <w:bookmarkStart w:id="331" w:name="_Toc397973585"/>
      <w:bookmarkStart w:id="332" w:name="_Toc398912146"/>
      <w:bookmarkStart w:id="333" w:name="_Toc393998865"/>
      <w:bookmarkStart w:id="334" w:name="_Toc396597517"/>
      <w:bookmarkStart w:id="335" w:name="_Toc397067564"/>
      <w:bookmarkStart w:id="336" w:name="_Toc392332798"/>
      <w:bookmarkStart w:id="337" w:name="_Toc397067892"/>
      <w:bookmarkStart w:id="338" w:name="_Toc396291465"/>
      <w:bookmarkStart w:id="339" w:name="_Toc397973486"/>
      <w:r>
        <w:rPr>
          <w:rFonts w:hint="eastAsia" w:ascii="宋体" w:hAnsi="宋体" w:eastAsia="宋体" w:cs="宋体"/>
          <w:sz w:val="24"/>
          <w:highlight w:val="none"/>
        </w:rPr>
        <w:t>3.投标保证金的交纳和退付（详见“供应商须知前附表”）。</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E5EC5E5">
      <w:pPr>
        <w:pStyle w:val="4"/>
        <w:pageBreakBefore w:val="0"/>
        <w:kinsoku/>
        <w:wordWrap/>
        <w:overflowPunct/>
        <w:topLinePunct w:val="0"/>
        <w:bidi w:val="0"/>
        <w:spacing w:before="0" w:after="0" w:line="520" w:lineRule="exact"/>
        <w:rPr>
          <w:rFonts w:hint="eastAsia" w:ascii="宋体" w:hAnsi="宋体" w:eastAsia="宋体" w:cs="宋体"/>
          <w:highlight w:val="none"/>
        </w:rPr>
      </w:pPr>
      <w:bookmarkStart w:id="340" w:name="_Toc390078422"/>
      <w:bookmarkStart w:id="341" w:name="_Toc390084388"/>
      <w:bookmarkStart w:id="342" w:name="_Toc390084864"/>
      <w:bookmarkStart w:id="343" w:name="_Toc389731533"/>
      <w:bookmarkStart w:id="344" w:name="_Toc390084928"/>
      <w:bookmarkStart w:id="345" w:name="_Toc397067893"/>
      <w:bookmarkStart w:id="346" w:name="_Toc5461"/>
      <w:r>
        <w:rPr>
          <w:rFonts w:hint="eastAsia" w:ascii="宋体" w:hAnsi="宋体" w:eastAsia="宋体" w:cs="宋体"/>
          <w:highlight w:val="none"/>
        </w:rPr>
        <w:t>（二）招标代理机构相关费</w:t>
      </w:r>
      <w:bookmarkEnd w:id="340"/>
      <w:bookmarkEnd w:id="341"/>
      <w:bookmarkEnd w:id="342"/>
      <w:bookmarkEnd w:id="343"/>
      <w:bookmarkEnd w:id="344"/>
      <w:r>
        <w:rPr>
          <w:rFonts w:hint="eastAsia" w:ascii="宋体" w:hAnsi="宋体" w:eastAsia="宋体" w:cs="宋体"/>
          <w:highlight w:val="none"/>
        </w:rPr>
        <w:t>用</w:t>
      </w:r>
      <w:bookmarkEnd w:id="345"/>
      <w:bookmarkEnd w:id="346"/>
    </w:p>
    <w:p w14:paraId="7077D79B">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由中标人单位向甘肃创慧惠科建设工程管理有限公司支付招标代理服务费。</w:t>
      </w:r>
    </w:p>
    <w:p w14:paraId="3B46E372">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招标代理服务费收取标准，参照国家发展和改革委员会【发改价格</w:t>
      </w:r>
      <w:r>
        <w:rPr>
          <w:rFonts w:hint="eastAsia" w:ascii="宋体" w:hAnsi="宋体" w:cs="宋体"/>
          <w:sz w:val="24"/>
          <w:highlight w:val="none"/>
          <w:lang w:val="en-US" w:eastAsia="zh-CN"/>
        </w:rPr>
        <w:t>〔2015〕299号</w:t>
      </w:r>
      <w:r>
        <w:rPr>
          <w:rFonts w:hint="eastAsia" w:ascii="宋体" w:hAnsi="宋体" w:eastAsia="宋体" w:cs="宋体"/>
          <w:sz w:val="24"/>
          <w:highlight w:val="none"/>
          <w:lang w:val="en-US" w:eastAsia="zh-CN"/>
        </w:rPr>
        <w:t>文件】标准，招标代理费由中标人承担。所有投标人将此笔费用计入投标成本，不单独报价、如果投标人通过评审而被确定为中标人在通知领取项目中标通知书前一次性向招标代理机构支付。</w:t>
      </w:r>
    </w:p>
    <w:p w14:paraId="79697E72">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3.费用缴纳可采用电汇、转支（公户）的方式支付，在领取《成交通知书》前一次性支付给招标代理机构。</w:t>
      </w:r>
    </w:p>
    <w:p w14:paraId="6E423271">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4.不支付以上费用的成交人，招标代理机构不发放《成交通知书》。</w:t>
      </w:r>
    </w:p>
    <w:bookmarkEnd w:id="249"/>
    <w:bookmarkEnd w:id="250"/>
    <w:bookmarkEnd w:id="251"/>
    <w:bookmarkEnd w:id="252"/>
    <w:bookmarkEnd w:id="253"/>
    <w:bookmarkEnd w:id="254"/>
    <w:bookmarkEnd w:id="255"/>
    <w:bookmarkEnd w:id="256"/>
    <w:bookmarkEnd w:id="257"/>
    <w:bookmarkEnd w:id="258"/>
    <w:bookmarkEnd w:id="259"/>
    <w:bookmarkEnd w:id="260"/>
    <w:bookmarkEnd w:id="261"/>
    <w:p w14:paraId="2140A7ED">
      <w:pPr>
        <w:pStyle w:val="4"/>
        <w:pageBreakBefore w:val="0"/>
        <w:kinsoku/>
        <w:wordWrap/>
        <w:overflowPunct/>
        <w:topLinePunct w:val="0"/>
        <w:bidi w:val="0"/>
        <w:spacing w:before="0" w:after="0" w:line="520" w:lineRule="exact"/>
        <w:rPr>
          <w:rFonts w:hint="eastAsia" w:ascii="宋体" w:hAnsi="宋体" w:eastAsia="宋体" w:cs="宋体"/>
          <w:highlight w:val="none"/>
        </w:rPr>
      </w:pPr>
      <w:bookmarkStart w:id="347" w:name="_Toc390084932"/>
      <w:bookmarkStart w:id="348" w:name="_Toc390078426"/>
      <w:bookmarkStart w:id="349" w:name="_Toc397067895"/>
      <w:bookmarkStart w:id="350" w:name="_Toc390084868"/>
      <w:bookmarkStart w:id="351" w:name="_Toc390084392"/>
      <w:bookmarkStart w:id="352" w:name="_Toc1466"/>
      <w:bookmarkStart w:id="353" w:name="_Toc389731537"/>
      <w:bookmarkStart w:id="354" w:name="_Toc373309556"/>
      <w:bookmarkStart w:id="355" w:name="_Toc352938601"/>
      <w:bookmarkStart w:id="356" w:name="_Toc352938391"/>
      <w:bookmarkStart w:id="357" w:name="_Toc373314701"/>
      <w:r>
        <w:rPr>
          <w:rFonts w:hint="eastAsia" w:ascii="宋体" w:hAnsi="宋体" w:eastAsia="宋体" w:cs="宋体"/>
          <w:highlight w:val="none"/>
        </w:rPr>
        <w:t>（三）供应商的质疑、投诉</w:t>
      </w:r>
      <w:bookmarkEnd w:id="347"/>
      <w:bookmarkEnd w:id="348"/>
      <w:bookmarkEnd w:id="349"/>
      <w:bookmarkEnd w:id="350"/>
      <w:bookmarkEnd w:id="351"/>
      <w:bookmarkEnd w:id="352"/>
      <w:bookmarkEnd w:id="353"/>
    </w:p>
    <w:p w14:paraId="1B7A65EE">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对政府采购活动事项有疑问的，可以向采购代理机构提出询问，采购代理机构应当在3个工作日内对供应商依法提出的询问作出答复，但答复的内容不得涉及商业秘密。供应商提出的询问或者质疑超出采购人对采购代理机构委托授权范围的，采购代理机构应当告知供应商向采购人提出。</w:t>
      </w:r>
    </w:p>
    <w:p w14:paraId="5791887B">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2.根据《中华人民共和国政府采购法》第五十二条及《中华人民共和国政府采购法实施条例》第五十三条之规定办理；</w:t>
      </w:r>
    </w:p>
    <w:p w14:paraId="4681CE82">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供应商认为竞争性磋商文件、采购过程和成交结果使自己的权益受到损害的，可以在知道或者应知其权益受到损害之日起七个工作日内，以书面形式向采购人提出质疑。</w:t>
      </w:r>
    </w:p>
    <w:p w14:paraId="674AA4C7">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6.投诉事项已进入行政复议或行政诉讼程序的。</w:t>
      </w:r>
    </w:p>
    <w:p w14:paraId="1C339713">
      <w:pPr>
        <w:pStyle w:val="4"/>
        <w:pageBreakBefore w:val="0"/>
        <w:kinsoku/>
        <w:wordWrap/>
        <w:overflowPunct/>
        <w:topLinePunct w:val="0"/>
        <w:bidi w:val="0"/>
        <w:spacing w:before="0" w:after="0" w:line="520" w:lineRule="exact"/>
        <w:rPr>
          <w:rFonts w:hint="eastAsia" w:ascii="宋体" w:hAnsi="宋体" w:eastAsia="宋体" w:cs="宋体"/>
          <w:color w:val="000000"/>
          <w:highlight w:val="none"/>
        </w:rPr>
      </w:pPr>
      <w:bookmarkStart w:id="358" w:name="_Toc4914"/>
      <w:r>
        <w:rPr>
          <w:rFonts w:hint="eastAsia" w:ascii="宋体" w:hAnsi="宋体" w:eastAsia="宋体" w:cs="宋体"/>
          <w:color w:val="000000"/>
          <w:highlight w:val="none"/>
        </w:rPr>
        <w:t>（六）供应商串通投标的情形</w:t>
      </w:r>
      <w:bookmarkEnd w:id="358"/>
    </w:p>
    <w:p w14:paraId="0982D8AE">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有下列情形之一的，视为供应商串通投标，其投标无效：</w:t>
      </w:r>
    </w:p>
    <w:p w14:paraId="435B600A">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1.不同供应商的磋商响应性文件由同一单位或者个人编制；</w:t>
      </w:r>
    </w:p>
    <w:p w14:paraId="46A47B8D">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2.不同供应商委托同一单位或者个人办理投标事宜；</w:t>
      </w:r>
    </w:p>
    <w:p w14:paraId="6C730218">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3.不同供应商的磋商响应性文件载明的项目管理成员或者联系人员为同一人；</w:t>
      </w:r>
    </w:p>
    <w:p w14:paraId="38BD039B">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4.不同供应商的磋商响应性文件异常一致或者投标报价呈规律性差异；</w:t>
      </w:r>
    </w:p>
    <w:p w14:paraId="6E657846">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5.不同供应商的磋商响应性文件相互混装；</w:t>
      </w:r>
    </w:p>
    <w:p w14:paraId="4773D523">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D0D0D"/>
          <w:kern w:val="0"/>
          <w:sz w:val="24"/>
          <w:highlight w:val="none"/>
        </w:rPr>
        <w:t>6.不同</w:t>
      </w:r>
      <w:r>
        <w:rPr>
          <w:rFonts w:hint="eastAsia" w:ascii="宋体" w:hAnsi="宋体" w:eastAsia="宋体" w:cs="宋体"/>
          <w:color w:val="000000"/>
          <w:sz w:val="24"/>
          <w:highlight w:val="none"/>
        </w:rPr>
        <w:t>政府采购法第五十二条规定的供应商应知其权益受到损害之日，是指：</w:t>
      </w:r>
    </w:p>
    <w:p w14:paraId="7EA46C3F">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（1）对可以质疑的采购文件提出质疑的，为收到采购文件之日或者采购文件公告期限届满之日；</w:t>
      </w:r>
    </w:p>
    <w:p w14:paraId="5799AA5B">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（2）对采购过程提出质疑的，为各采购程序环节结束之日；</w:t>
      </w:r>
    </w:p>
    <w:p w14:paraId="39CF9A42">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（3）对成交或者成交结果提出质疑的，为成交或者成交结果公告期限届满之日。</w:t>
      </w:r>
    </w:p>
    <w:p w14:paraId="547B4E0C">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3.供应商质疑、投诉应当有明确的请求和必要的证明材料。供应商投诉的事项不得超出已质疑事项的范围。</w:t>
      </w:r>
    </w:p>
    <w:p w14:paraId="14560B96">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供应商质疑、投诉实行实名制，其质疑、投诉应当有具体的投诉事项及事实根据，不得进行虚假、恶意投诉。</w:t>
      </w:r>
    </w:p>
    <w:p w14:paraId="139FDA6B">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投诉人投诉时，应当提交投诉书。</w:t>
      </w:r>
    </w:p>
    <w:p w14:paraId="36E42BD3">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质疑、投诉书应当包括下列主要内容：</w:t>
      </w:r>
    </w:p>
    <w:p w14:paraId="41228AB9">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（1）投诉人和被投诉人的名称、地址、电话等；</w:t>
      </w:r>
    </w:p>
    <w:p w14:paraId="58441DA1">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（2）具体的投诉事项及事实依据；</w:t>
      </w:r>
    </w:p>
    <w:p w14:paraId="2DBD70D5">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（3）质疑和质疑答复情况及相关证明材料；</w:t>
      </w:r>
    </w:p>
    <w:p w14:paraId="0674C8D4">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（4）提起投诉的日期。</w:t>
      </w:r>
    </w:p>
    <w:p w14:paraId="2E78B7B2">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疑、投诉书应当署名。质疑、投诉人为自然人的，应当由本人签字；质疑、投诉人为法人或者其他组织的，应当由法定代表人签字并加盖公章；质疑、投诉人为委托授权人的应该出具针对本质疑、投诉事项的法人委托授权书。</w:t>
      </w:r>
    </w:p>
    <w:p w14:paraId="3AE8E480">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4.采购人、采购代理机构在收到供应商书面质疑后七个工作日内，对质疑内容</w:t>
      </w:r>
      <w:r>
        <w:rPr>
          <w:rFonts w:hint="eastAsia" w:ascii="宋体" w:hAnsi="宋体" w:cs="宋体"/>
          <w:color w:val="000000"/>
          <w:sz w:val="24"/>
          <w:highlight w:val="none"/>
          <w:lang w:eastAsia="zh-CN"/>
        </w:rPr>
        <w:t>作出</w:t>
      </w:r>
      <w:r>
        <w:rPr>
          <w:rFonts w:hint="eastAsia" w:ascii="宋体" w:hAnsi="宋体" w:eastAsia="宋体" w:cs="宋体"/>
          <w:color w:val="000000"/>
          <w:sz w:val="24"/>
          <w:highlight w:val="none"/>
        </w:rPr>
        <w:t>答复；</w:t>
      </w:r>
    </w:p>
    <w:p w14:paraId="64BCE639">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5.供应商对采购人、采购代理机构的答复不满意或者采购人、采购代理机构未在规定时间内答复的，供应商可以在答复期满后十五个工作日内向同级财政部门进行投诉。</w:t>
      </w:r>
    </w:p>
    <w:p w14:paraId="282B762D">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6.投诉人有下列情形之一的，属于虚假、恶意投诉，财政部门应当驳回投诉，将其列入不良行为记录名单，并依法予以处罚：</w:t>
      </w:r>
    </w:p>
    <w:p w14:paraId="37BFB98F">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（1）1年内3次以上投诉均查无实据的；</w:t>
      </w:r>
    </w:p>
    <w:p w14:paraId="233BA46B">
      <w:pPr>
        <w:pageBreakBefore w:val="0"/>
        <w:tabs>
          <w:tab w:val="left" w:pos="993"/>
        </w:tabs>
        <w:kinsoku/>
        <w:wordWrap/>
        <w:overflowPunct/>
        <w:topLinePunct w:val="0"/>
        <w:bidi w:val="0"/>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（2）捏造事实或者提供虚假投诉材料的。</w:t>
      </w:r>
    </w:p>
    <w:p w14:paraId="4247A9AC">
      <w:pPr>
        <w:pStyle w:val="4"/>
        <w:keepNext w:val="0"/>
        <w:keepLines w:val="0"/>
        <w:pageBreakBefore w:val="0"/>
        <w:kinsoku/>
        <w:wordWrap/>
        <w:overflowPunct/>
        <w:topLinePunct w:val="0"/>
        <w:bidi w:val="0"/>
        <w:spacing w:before="0" w:after="0" w:line="520" w:lineRule="exact"/>
        <w:rPr>
          <w:rFonts w:hint="eastAsia" w:ascii="宋体" w:hAnsi="宋体" w:eastAsia="宋体" w:cs="宋体"/>
          <w:color w:val="000000"/>
          <w:highlight w:val="none"/>
        </w:rPr>
      </w:pPr>
      <w:bookmarkStart w:id="359" w:name="_Toc13279"/>
      <w:r>
        <w:rPr>
          <w:rFonts w:hint="eastAsia" w:ascii="宋体" w:hAnsi="宋体" w:eastAsia="宋体" w:cs="宋体"/>
          <w:color w:val="000000"/>
          <w:highlight w:val="none"/>
        </w:rPr>
        <w:t>（四）质疑不予受理的情形</w:t>
      </w:r>
      <w:bookmarkEnd w:id="359"/>
    </w:p>
    <w:p w14:paraId="5ADD99EF">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有下列情形之一的质疑不予受理：</w:t>
      </w:r>
    </w:p>
    <w:p w14:paraId="75CAE89C">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1.质疑主体不是供应商的； </w:t>
      </w:r>
    </w:p>
    <w:p w14:paraId="16576499">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2.未在质疑有效期内提出的； </w:t>
      </w:r>
    </w:p>
    <w:p w14:paraId="737602F8">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3.未在质疑有效期内递交质疑函原件的； </w:t>
      </w:r>
    </w:p>
    <w:p w14:paraId="0DC4B24F">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4.质疑未以书面形式提出的； </w:t>
      </w:r>
    </w:p>
    <w:p w14:paraId="4A012B74">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5.质疑函未由参加采购项目的法定代表人及被授权代表签字并加盖单位公章且未提供法定代表人允许其办理质疑事项的特别授权的；</w:t>
      </w:r>
    </w:p>
    <w:p w14:paraId="3077A982">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6.质疑函未提供有效联系人或联系方式的； </w:t>
      </w:r>
    </w:p>
    <w:p w14:paraId="55CDFB0D">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7.质疑事项已经进入投诉或者诉讼程序的； </w:t>
      </w:r>
    </w:p>
    <w:p w14:paraId="5EC5BC94">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8.一件质疑函同时针对多个项目提出质疑的； </w:t>
      </w:r>
    </w:p>
    <w:p w14:paraId="0793DFC1">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9.其它不符合受理条件情形的。</w:t>
      </w:r>
    </w:p>
    <w:p w14:paraId="60E7707E">
      <w:pPr>
        <w:pStyle w:val="4"/>
        <w:pageBreakBefore w:val="0"/>
        <w:kinsoku/>
        <w:wordWrap/>
        <w:overflowPunct/>
        <w:topLinePunct w:val="0"/>
        <w:bidi w:val="0"/>
        <w:spacing w:before="0" w:after="0" w:line="520" w:lineRule="exact"/>
        <w:rPr>
          <w:rFonts w:hint="eastAsia" w:ascii="宋体" w:hAnsi="宋体" w:eastAsia="宋体" w:cs="宋体"/>
          <w:color w:val="000000"/>
          <w:highlight w:val="none"/>
        </w:rPr>
      </w:pPr>
      <w:bookmarkStart w:id="360" w:name="_Toc30946"/>
      <w:r>
        <w:rPr>
          <w:rFonts w:hint="eastAsia" w:ascii="宋体" w:hAnsi="宋体" w:eastAsia="宋体" w:cs="宋体"/>
          <w:color w:val="000000"/>
          <w:highlight w:val="none"/>
        </w:rPr>
        <w:t>（五）投诉不予受理的情况</w:t>
      </w:r>
      <w:bookmarkEnd w:id="360"/>
    </w:p>
    <w:p w14:paraId="07DA7EA1">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有下列情形之一的投诉，不予受理：</w:t>
      </w:r>
    </w:p>
    <w:p w14:paraId="5E6DABCB">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1.投诉人不是所投诉项目的参与者，或者与投诉项目无任何利害关系；</w:t>
      </w:r>
    </w:p>
    <w:p w14:paraId="496978EA">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2.投诉事项不具体，且未提供有效线索，难以查证的；</w:t>
      </w:r>
    </w:p>
    <w:p w14:paraId="10F617F6">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3.经补正后的投诉书仍不符合法律规定，或未署具投诉人真实姓名、签字和有效联系方式的，以法人名义投诉的，投诉书未经法定代表人或授权代表签字并加盖公章的；</w:t>
      </w:r>
    </w:p>
    <w:p w14:paraId="4A6934BB">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4.超过投诉期限的；</w:t>
      </w:r>
    </w:p>
    <w:p w14:paraId="366D640E">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5.已经作出处理决定，并且投诉人没有提出新的证据的；</w:t>
      </w:r>
    </w:p>
    <w:p w14:paraId="1E5973F2">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供应商的投标保证金从同一单位或者个人的账户转出。</w:t>
      </w:r>
    </w:p>
    <w:p w14:paraId="581D446E">
      <w:pPr>
        <w:pStyle w:val="4"/>
        <w:pageBreakBefore w:val="0"/>
        <w:kinsoku/>
        <w:wordWrap/>
        <w:overflowPunct/>
        <w:topLinePunct w:val="0"/>
        <w:bidi w:val="0"/>
        <w:spacing w:before="0" w:after="0" w:line="520" w:lineRule="exact"/>
        <w:rPr>
          <w:rFonts w:hint="eastAsia" w:ascii="宋体" w:hAnsi="宋体" w:eastAsia="宋体" w:cs="宋体"/>
          <w:color w:val="000000"/>
          <w:highlight w:val="none"/>
        </w:rPr>
      </w:pPr>
      <w:bookmarkStart w:id="361" w:name="_Toc16678"/>
      <w:r>
        <w:rPr>
          <w:rFonts w:hint="eastAsia" w:ascii="宋体" w:hAnsi="宋体" w:eastAsia="宋体" w:cs="宋体"/>
          <w:color w:val="000000"/>
          <w:highlight w:val="none"/>
        </w:rPr>
        <w:t>（七）废标条款</w:t>
      </w:r>
      <w:bookmarkEnd w:id="361"/>
    </w:p>
    <w:p w14:paraId="5364895B">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在采购中，出现下列情形之一的，应予废标：</w:t>
      </w:r>
    </w:p>
    <w:p w14:paraId="1EDB773F">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1.符合专业条件的供应商或者对采购文件作实质响应的供应商不足三家的；</w:t>
      </w:r>
    </w:p>
    <w:p w14:paraId="6D3B3F45">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2.出现影响采购公正的违法、违规行为的；</w:t>
      </w:r>
    </w:p>
    <w:p w14:paraId="2DED61D7">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3.供应商的报价均超过了采购预算，采购人不能支付的；</w:t>
      </w:r>
    </w:p>
    <w:p w14:paraId="2F528C9A">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4.因重大变故，采购任务取消的。</w:t>
      </w:r>
    </w:p>
    <w:p w14:paraId="2BF9549D">
      <w:pPr>
        <w:pageBreakBefore w:val="0"/>
        <w:widowControl/>
        <w:kinsoku/>
        <w:wordWrap/>
        <w:overflowPunct/>
        <w:topLinePunct w:val="0"/>
        <w:bidi w:val="0"/>
        <w:spacing w:line="520" w:lineRule="exact"/>
        <w:ind w:firstLine="480" w:firstLineChars="200"/>
        <w:rPr>
          <w:rFonts w:hint="eastAsia" w:ascii="宋体" w:hAnsi="宋体" w:eastAsia="宋体" w:cs="宋体"/>
          <w:color w:val="0D0D0D"/>
          <w:kern w:val="0"/>
          <w:sz w:val="24"/>
          <w:highlight w:val="none"/>
        </w:rPr>
      </w:pPr>
      <w:r>
        <w:rPr>
          <w:rFonts w:hint="eastAsia" w:ascii="宋体" w:hAnsi="宋体" w:eastAsia="宋体" w:cs="宋体"/>
          <w:color w:val="0D0D0D"/>
          <w:kern w:val="0"/>
          <w:sz w:val="24"/>
          <w:highlight w:val="none"/>
        </w:rPr>
        <w:t>废标后，采购人应当将废标理由通知所有供应商。</w:t>
      </w:r>
    </w:p>
    <w:bookmarkEnd w:id="354"/>
    <w:bookmarkEnd w:id="355"/>
    <w:bookmarkEnd w:id="356"/>
    <w:bookmarkEnd w:id="357"/>
    <w:p w14:paraId="1B7B93D8">
      <w:pPr>
        <w:pStyle w:val="3"/>
        <w:pageBreakBefore w:val="0"/>
        <w:kinsoku/>
        <w:wordWrap/>
        <w:overflowPunct/>
        <w:topLinePunct w:val="0"/>
        <w:bidi w:val="0"/>
        <w:spacing w:line="520" w:lineRule="exact"/>
        <w:rPr>
          <w:rFonts w:hint="eastAsia" w:ascii="宋体" w:hAnsi="宋体" w:eastAsia="宋体" w:cs="宋体"/>
          <w:highlight w:val="none"/>
        </w:rPr>
      </w:pPr>
      <w:bookmarkStart w:id="362" w:name="_Toc21968"/>
      <w:r>
        <w:rPr>
          <w:rFonts w:hint="eastAsia" w:ascii="宋体" w:hAnsi="宋体" w:eastAsia="宋体" w:cs="宋体"/>
          <w:highlight w:val="none"/>
        </w:rPr>
        <w:t>六、开标</w:t>
      </w:r>
      <w:bookmarkEnd w:id="222"/>
      <w:bookmarkEnd w:id="223"/>
      <w:bookmarkEnd w:id="224"/>
      <w:bookmarkEnd w:id="225"/>
      <w:bookmarkEnd w:id="226"/>
      <w:bookmarkEnd w:id="362"/>
    </w:p>
    <w:p w14:paraId="3279A245">
      <w:pPr>
        <w:pStyle w:val="4"/>
        <w:pageBreakBefore w:val="0"/>
        <w:kinsoku/>
        <w:wordWrap/>
        <w:overflowPunct/>
        <w:topLinePunct w:val="0"/>
        <w:bidi w:val="0"/>
        <w:spacing w:before="0" w:after="0" w:line="520" w:lineRule="exact"/>
        <w:rPr>
          <w:rFonts w:hint="eastAsia" w:ascii="宋体" w:hAnsi="宋体" w:eastAsia="宋体" w:cs="宋体"/>
          <w:color w:val="000000"/>
          <w:highlight w:val="none"/>
        </w:rPr>
      </w:pPr>
      <w:bookmarkStart w:id="363" w:name="_Toc15538"/>
      <w:bookmarkStart w:id="364" w:name="_Toc390084934"/>
      <w:bookmarkStart w:id="365" w:name="_Toc390084870"/>
      <w:bookmarkStart w:id="366" w:name="_Toc390084394"/>
      <w:bookmarkStart w:id="367" w:name="_Toc390078428"/>
      <w:bookmarkStart w:id="368" w:name="_Toc389731539"/>
      <w:r>
        <w:rPr>
          <w:rFonts w:hint="eastAsia" w:ascii="宋体" w:hAnsi="宋体" w:eastAsia="宋体" w:cs="宋体"/>
          <w:color w:val="000000"/>
          <w:highlight w:val="none"/>
        </w:rPr>
        <w:t>（一）磋商要求</w:t>
      </w:r>
      <w:bookmarkEnd w:id="363"/>
    </w:p>
    <w:bookmarkEnd w:id="364"/>
    <w:bookmarkEnd w:id="365"/>
    <w:bookmarkEnd w:id="366"/>
    <w:bookmarkEnd w:id="367"/>
    <w:bookmarkEnd w:id="368"/>
    <w:p w14:paraId="488813C0">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1.开标时间、地点：采购代理机构将按照《中华人民共和国政府采购法</w:t>
      </w:r>
      <w:r>
        <w:rPr>
          <w:rFonts w:hint="eastAsia" w:ascii="宋体" w:hAnsi="宋体" w:cs="宋体"/>
          <w:bCs/>
          <w:sz w:val="24"/>
          <w:highlight w:val="none"/>
          <w:lang w:eastAsia="zh-CN"/>
        </w:rPr>
        <w:t>》《</w:t>
      </w:r>
      <w:r>
        <w:rPr>
          <w:rFonts w:hint="eastAsia" w:ascii="宋体" w:hAnsi="宋体" w:eastAsia="宋体" w:cs="宋体"/>
          <w:bCs/>
          <w:sz w:val="24"/>
          <w:highlight w:val="none"/>
        </w:rPr>
        <w:t>中华人民共和国政府采购法实施条例</w:t>
      </w:r>
      <w:r>
        <w:rPr>
          <w:rFonts w:hint="eastAsia" w:ascii="宋体" w:hAnsi="宋体" w:cs="宋体"/>
          <w:bCs/>
          <w:sz w:val="24"/>
          <w:highlight w:val="none"/>
          <w:lang w:eastAsia="zh-CN"/>
        </w:rPr>
        <w:t>》《</w:t>
      </w:r>
      <w:r>
        <w:rPr>
          <w:rFonts w:hint="eastAsia" w:ascii="宋体" w:hAnsi="宋体" w:eastAsia="宋体" w:cs="宋体"/>
          <w:bCs/>
          <w:sz w:val="24"/>
          <w:highlight w:val="none"/>
        </w:rPr>
        <w:t>政府采购竞争性磋商采购方式管理暂行办法》（财库</w:t>
      </w:r>
      <w:r>
        <w:rPr>
          <w:rFonts w:hint="eastAsia" w:ascii="宋体" w:hAnsi="宋体" w:cs="宋体"/>
          <w:bCs/>
          <w:sz w:val="24"/>
          <w:highlight w:val="none"/>
          <w:lang w:eastAsia="zh-CN"/>
        </w:rPr>
        <w:t>〔2014〕214号</w:t>
      </w:r>
      <w:r>
        <w:rPr>
          <w:rFonts w:hint="eastAsia" w:ascii="宋体" w:hAnsi="宋体" w:eastAsia="宋体" w:cs="宋体"/>
          <w:bCs/>
          <w:sz w:val="24"/>
          <w:highlight w:val="none"/>
        </w:rPr>
        <w:t>）及《竞争性磋商文件》中须知前附表规定的时间和地点组织开标会议，邀请所有供应商的法定代表人或授权代表准时</w:t>
      </w:r>
      <w:r>
        <w:rPr>
          <w:rFonts w:hint="eastAsia" w:ascii="宋体" w:hAnsi="宋体" w:cs="宋体"/>
          <w:bCs/>
          <w:sz w:val="24"/>
          <w:highlight w:val="none"/>
          <w:lang w:val="en-US" w:eastAsia="zh-CN"/>
        </w:rPr>
        <w:t>在钉钉群中</w:t>
      </w:r>
      <w:r>
        <w:rPr>
          <w:rFonts w:hint="eastAsia" w:ascii="宋体" w:hAnsi="宋体" w:eastAsia="宋体" w:cs="宋体"/>
          <w:bCs/>
          <w:sz w:val="24"/>
          <w:highlight w:val="none"/>
        </w:rPr>
        <w:t>参加开标会议，供应商未参加开标的，视同认可开标结果，磋商小组成员不得参加开标活动。</w:t>
      </w:r>
    </w:p>
    <w:p w14:paraId="784CBDCA">
      <w:pPr>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开标会议在有关监督部门的监督下，由采购代理机构组织并主持。</w:t>
      </w:r>
    </w:p>
    <w:p w14:paraId="7A2DBF92">
      <w:pPr>
        <w:pageBreakBefore w:val="0"/>
        <w:kinsoku/>
        <w:wordWrap/>
        <w:overflowPunct/>
        <w:topLinePunct w:val="0"/>
        <w:bidi w:val="0"/>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3.开标时，在《磋商响应性文件》递交截止时间前，递交法定代表人或被授权代表签字盖章的书面撤回通知的《磋商响应性文件》不予开封。</w:t>
      </w:r>
    </w:p>
    <w:p w14:paraId="75EDB2E8">
      <w:pPr>
        <w:pStyle w:val="4"/>
        <w:pageBreakBefore w:val="0"/>
        <w:kinsoku/>
        <w:wordWrap/>
        <w:overflowPunct/>
        <w:topLinePunct w:val="0"/>
        <w:autoSpaceDE/>
        <w:autoSpaceDN/>
        <w:bidi w:val="0"/>
        <w:spacing w:before="0" w:after="0" w:line="560" w:lineRule="exact"/>
        <w:rPr>
          <w:rFonts w:hint="eastAsia" w:ascii="宋体" w:hAnsi="宋体" w:eastAsia="宋体" w:cs="宋体"/>
          <w:color w:val="000000"/>
          <w:highlight w:val="none"/>
        </w:rPr>
      </w:pPr>
      <w:bookmarkStart w:id="369" w:name="_Toc22556"/>
      <w:r>
        <w:rPr>
          <w:rFonts w:hint="eastAsia" w:ascii="宋体" w:hAnsi="宋体" w:eastAsia="宋体" w:cs="宋体"/>
          <w:color w:val="000000"/>
          <w:highlight w:val="none"/>
        </w:rPr>
        <w:t>（二）开标程序</w:t>
      </w:r>
      <w:bookmarkEnd w:id="369"/>
    </w:p>
    <w:p w14:paraId="36498B00">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主持人按下列程序进行开标：</w:t>
      </w:r>
    </w:p>
    <w:p w14:paraId="4E9BB82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1.宣布开标纪律；</w:t>
      </w:r>
    </w:p>
    <w:p w14:paraId="509CEA76">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2.公布在投标截止时间前递交磋商响应性文件的供应商名称，并点名确认供应商是否参加会议；</w:t>
      </w:r>
    </w:p>
    <w:p w14:paraId="2897B27D">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3.宣布采购代理机构工作人员、监督人、采购人代表等有关人员姓名；</w:t>
      </w:r>
    </w:p>
    <w:p w14:paraId="62F548AC">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4.磋商</w:t>
      </w:r>
    </w:p>
    <w:p w14:paraId="2FB6E64E">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开标结束。</w:t>
      </w:r>
    </w:p>
    <w:p w14:paraId="64273122">
      <w:pPr>
        <w:pStyle w:val="4"/>
        <w:pageBreakBefore w:val="0"/>
        <w:kinsoku/>
        <w:wordWrap/>
        <w:overflowPunct/>
        <w:topLinePunct w:val="0"/>
        <w:autoSpaceDE/>
        <w:autoSpaceDN/>
        <w:bidi w:val="0"/>
        <w:spacing w:before="0" w:after="0" w:line="560" w:lineRule="exact"/>
        <w:rPr>
          <w:rFonts w:hint="eastAsia" w:ascii="宋体" w:hAnsi="宋体" w:eastAsia="宋体" w:cs="宋体"/>
          <w:color w:val="000000"/>
          <w:highlight w:val="none"/>
        </w:rPr>
      </w:pPr>
      <w:bookmarkStart w:id="370" w:name="_Toc6556"/>
      <w:r>
        <w:rPr>
          <w:rFonts w:hint="eastAsia" w:ascii="宋体" w:hAnsi="宋体" w:eastAsia="宋体" w:cs="宋体"/>
          <w:color w:val="000000"/>
          <w:highlight w:val="none"/>
          <w:lang w:eastAsia="zh-CN"/>
        </w:rPr>
        <w:t>（三）</w:t>
      </w:r>
      <w:r>
        <w:rPr>
          <w:rFonts w:hint="eastAsia" w:ascii="宋体" w:hAnsi="宋体" w:eastAsia="宋体" w:cs="宋体"/>
          <w:color w:val="000000"/>
          <w:highlight w:val="none"/>
        </w:rPr>
        <w:t>开标异议</w:t>
      </w:r>
      <w:bookmarkEnd w:id="370"/>
    </w:p>
    <w:p w14:paraId="34479360">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供应商对开标有异议的，应当在开标现场提出，招标机构及磋商小组当场</w:t>
      </w:r>
      <w:r>
        <w:rPr>
          <w:rFonts w:hint="eastAsia" w:ascii="宋体" w:hAnsi="宋体" w:cs="宋体"/>
          <w:bCs/>
          <w:sz w:val="24"/>
          <w:highlight w:val="none"/>
          <w:lang w:eastAsia="zh-CN"/>
        </w:rPr>
        <w:t>作出</w:t>
      </w:r>
      <w:r>
        <w:rPr>
          <w:rFonts w:hint="eastAsia" w:ascii="宋体" w:hAnsi="宋体" w:eastAsia="宋体" w:cs="宋体"/>
          <w:bCs/>
          <w:sz w:val="24"/>
          <w:highlight w:val="none"/>
        </w:rPr>
        <w:t>答复，并制作记录。</w:t>
      </w:r>
    </w:p>
    <w:bookmarkEnd w:id="227"/>
    <w:bookmarkEnd w:id="228"/>
    <w:bookmarkEnd w:id="229"/>
    <w:bookmarkEnd w:id="230"/>
    <w:bookmarkEnd w:id="231"/>
    <w:bookmarkEnd w:id="232"/>
    <w:bookmarkEnd w:id="233"/>
    <w:bookmarkEnd w:id="234"/>
    <w:p w14:paraId="26491287">
      <w:pPr>
        <w:pStyle w:val="3"/>
        <w:pageBreakBefore w:val="0"/>
        <w:kinsoku/>
        <w:wordWrap/>
        <w:overflowPunct/>
        <w:topLinePunct w:val="0"/>
        <w:autoSpaceDE/>
        <w:autoSpaceDN/>
        <w:bidi w:val="0"/>
        <w:spacing w:line="560" w:lineRule="exact"/>
        <w:rPr>
          <w:rFonts w:hint="eastAsia" w:ascii="宋体" w:hAnsi="宋体" w:eastAsia="宋体" w:cs="宋体"/>
          <w:highlight w:val="none"/>
        </w:rPr>
      </w:pPr>
      <w:bookmarkStart w:id="371" w:name="_Toc19982"/>
      <w:bookmarkStart w:id="372" w:name="_Toc398912358"/>
      <w:bookmarkStart w:id="373" w:name="_Toc390078432"/>
      <w:bookmarkStart w:id="374" w:name="_Toc185307768"/>
      <w:bookmarkStart w:id="375" w:name="_Toc390084398"/>
      <w:bookmarkStart w:id="376" w:name="_Toc390084874"/>
      <w:bookmarkStart w:id="377" w:name="_Toc390084938"/>
      <w:bookmarkStart w:id="378" w:name="_Toc389731543"/>
      <w:r>
        <w:rPr>
          <w:rFonts w:hint="eastAsia" w:ascii="宋体" w:hAnsi="宋体" w:eastAsia="宋体" w:cs="宋体"/>
          <w:highlight w:val="none"/>
        </w:rPr>
        <w:t>七、评标原则及评标办法</w:t>
      </w:r>
      <w:bookmarkEnd w:id="371"/>
      <w:bookmarkEnd w:id="372"/>
    </w:p>
    <w:p w14:paraId="4D61B819">
      <w:pPr>
        <w:pStyle w:val="4"/>
        <w:pageBreakBefore w:val="0"/>
        <w:kinsoku/>
        <w:wordWrap/>
        <w:overflowPunct/>
        <w:topLinePunct w:val="0"/>
        <w:autoSpaceDE/>
        <w:autoSpaceDN/>
        <w:bidi w:val="0"/>
        <w:spacing w:before="0" w:after="0" w:line="560" w:lineRule="exact"/>
        <w:rPr>
          <w:rFonts w:hint="eastAsia" w:ascii="宋体" w:hAnsi="宋体" w:eastAsia="宋体" w:cs="宋体"/>
          <w:highlight w:val="none"/>
        </w:rPr>
      </w:pPr>
      <w:bookmarkStart w:id="379" w:name="_Toc26962"/>
      <w:r>
        <w:rPr>
          <w:rFonts w:hint="eastAsia" w:ascii="宋体" w:hAnsi="宋体" w:eastAsia="宋体" w:cs="宋体"/>
          <w:highlight w:val="none"/>
        </w:rPr>
        <w:t>（一）评标原则</w:t>
      </w:r>
      <w:bookmarkEnd w:id="379"/>
    </w:p>
    <w:p w14:paraId="45C1805A">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评标工作遵循“公开、公平、公正、诚信”的原则，对所有供应商一视同仁、公平对待。</w:t>
      </w:r>
    </w:p>
    <w:p w14:paraId="60AC8637">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评标活动依法进行，任何单位和个人不得非法干预、阻挠采购人采购代理机构的正常工作或者影响评标过程和结果。 </w:t>
      </w:r>
    </w:p>
    <w:p w14:paraId="4BA46F62">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评标人员严格遵守国家的有关保密法律、法规的规定，严格自律，同时接受有关部门的监督、审查。</w:t>
      </w:r>
    </w:p>
    <w:p w14:paraId="387AD60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评标只对实质上响应磋商文件要求的有效磋商响应性文件进行评审。 </w:t>
      </w:r>
    </w:p>
    <w:p w14:paraId="353CA614">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评标将依据磋商文件确定的标准和方法，结合磋商响应性文件及其补充文件进行，不得忽视磋商响应性文件的实质性内容进行评标。</w:t>
      </w:r>
    </w:p>
    <w:p w14:paraId="40DADDA2">
      <w:pPr>
        <w:pageBreakBefore w:val="0"/>
        <w:kinsoku/>
        <w:wordWrap/>
        <w:overflowPunct/>
        <w:topLinePunct w:val="0"/>
        <w:autoSpaceDE/>
        <w:autoSpaceDN/>
        <w:bidi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次采购项目定标采用“综合评分法”。“综合评分法”是指在最大限度地满足磋商文件实质性要求前提下，以投标报价、技术响应程度、售后服务、商务等综合实力多个因素作为评审指标，全面比较各磋商响应性文件质量、价格、交货期以及供应商的售后服务、资信情况等因素客观地进行评审，使评审的结果能准确地反映供应商的实际情况，并将各指标量化计分，按总得分排列顺序，确定成交人的方法。总得分最高的供应商作为拟成交人。</w:t>
      </w:r>
    </w:p>
    <w:p w14:paraId="02CC8A2A">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采购人、采购代理机构不向投标商承诺最低价成交，对未成交的投标商不</w:t>
      </w:r>
      <w:r>
        <w:rPr>
          <w:rFonts w:hint="eastAsia" w:ascii="宋体" w:hAnsi="宋体" w:cs="宋体"/>
          <w:sz w:val="24"/>
          <w:highlight w:val="none"/>
          <w:lang w:eastAsia="zh-CN"/>
        </w:rPr>
        <w:t>做任何解释</w:t>
      </w:r>
      <w:r>
        <w:rPr>
          <w:rFonts w:hint="eastAsia" w:ascii="宋体" w:hAnsi="宋体" w:eastAsia="宋体" w:cs="宋体"/>
          <w:sz w:val="24"/>
          <w:highlight w:val="none"/>
        </w:rPr>
        <w:t>说明。</w:t>
      </w:r>
    </w:p>
    <w:p w14:paraId="014A98F1">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从开标直至宣布授予成交人合同前，评标人员不得向供应商或与该招投标过程无关的其他人透露对磋商响应性文件的评审、澄清、比较、成交候选人的推荐情况以及与评标有关的其他情况。 </w:t>
      </w:r>
    </w:p>
    <w:p w14:paraId="3CC3C00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供应商申报的关于资质、业绩等文件和材料必须真实准确，不得弄虚作假。 </w:t>
      </w:r>
    </w:p>
    <w:p w14:paraId="01F69432">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供应商不得以任何形式搜集评标机密，不得以任何形式干扰评标或授标工作。 </w:t>
      </w:r>
    </w:p>
    <w:p w14:paraId="67607AC4">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供应商在磋商响应性文件的评审、澄清、比较以及授予合同过程中对评标人员施加影响的任何行为，都将导致被取消投标资格。 </w:t>
      </w:r>
    </w:p>
    <w:p w14:paraId="358A72EA">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供应商应具备较强的技术力量及综合实力，在众多项目中业绩、信誉良好，并能确保本次采购的长远售后服务。</w:t>
      </w:r>
    </w:p>
    <w:p w14:paraId="52B2A1C6">
      <w:pPr>
        <w:pStyle w:val="4"/>
        <w:pageBreakBefore w:val="0"/>
        <w:kinsoku/>
        <w:wordWrap/>
        <w:overflowPunct/>
        <w:topLinePunct w:val="0"/>
        <w:autoSpaceDE/>
        <w:autoSpaceDN/>
        <w:bidi w:val="0"/>
        <w:spacing w:before="0" w:after="0" w:line="560" w:lineRule="exact"/>
        <w:rPr>
          <w:rFonts w:hint="eastAsia" w:ascii="宋体" w:hAnsi="宋体" w:eastAsia="宋体" w:cs="宋体"/>
          <w:highlight w:val="none"/>
        </w:rPr>
      </w:pPr>
      <w:bookmarkStart w:id="380" w:name="_Toc17259"/>
      <w:r>
        <w:rPr>
          <w:rFonts w:hint="eastAsia" w:ascii="宋体" w:hAnsi="宋体" w:eastAsia="宋体" w:cs="宋体"/>
          <w:highlight w:val="none"/>
        </w:rPr>
        <w:t>（二）会议组成成员的职责</w:t>
      </w:r>
      <w:bookmarkEnd w:id="373"/>
      <w:bookmarkEnd w:id="374"/>
      <w:bookmarkEnd w:id="375"/>
      <w:bookmarkEnd w:id="376"/>
      <w:bookmarkEnd w:id="377"/>
      <w:bookmarkEnd w:id="378"/>
      <w:bookmarkEnd w:id="380"/>
    </w:p>
    <w:p w14:paraId="29B422D5">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1.采购人：在监督部门监督下，根据《中华人民共和国政府采购法》规定构成磋商小组成员之一。</w:t>
      </w:r>
    </w:p>
    <w:p w14:paraId="5297BE5C">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2.磋商小组：由采购人代表1人和专家库随机抽取的专家2人组成，评标委员会成员为3人单数。</w:t>
      </w:r>
    </w:p>
    <w:p w14:paraId="3960755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2.1评审专家与参加采购活动的供应商存在下列利害关系之一的</w:t>
      </w:r>
      <w:r>
        <w:rPr>
          <w:rFonts w:hint="eastAsia" w:ascii="宋体" w:hAnsi="宋体" w:cs="宋体"/>
          <w:sz w:val="24"/>
          <w:highlight w:val="none"/>
          <w:lang w:eastAsia="zh-CN"/>
        </w:rPr>
        <w:t>，</w:t>
      </w:r>
      <w:r>
        <w:rPr>
          <w:rFonts w:hint="eastAsia" w:ascii="宋体" w:hAnsi="宋体" w:eastAsia="宋体" w:cs="宋体"/>
          <w:sz w:val="24"/>
          <w:highlight w:val="none"/>
        </w:rPr>
        <w:t>应当回避</w:t>
      </w:r>
      <w:r>
        <w:rPr>
          <w:rFonts w:hint="eastAsia" w:ascii="宋体" w:hAnsi="宋体" w:cs="宋体"/>
          <w:sz w:val="24"/>
          <w:highlight w:val="none"/>
          <w:lang w:eastAsia="zh-CN"/>
        </w:rPr>
        <w:t>：</w:t>
      </w:r>
    </w:p>
    <w:p w14:paraId="2AE632E3">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（1）参加采购活动前三年内</w:t>
      </w:r>
      <w:r>
        <w:rPr>
          <w:rFonts w:hint="eastAsia" w:ascii="宋体" w:hAnsi="宋体" w:cs="宋体"/>
          <w:sz w:val="24"/>
          <w:highlight w:val="none"/>
          <w:lang w:eastAsia="zh-CN"/>
        </w:rPr>
        <w:t>，</w:t>
      </w:r>
      <w:r>
        <w:rPr>
          <w:rFonts w:hint="eastAsia" w:ascii="宋体" w:hAnsi="宋体" w:eastAsia="宋体" w:cs="宋体"/>
          <w:sz w:val="24"/>
          <w:highlight w:val="none"/>
        </w:rPr>
        <w:t>与供应商存在劳动关系</w:t>
      </w:r>
      <w:r>
        <w:rPr>
          <w:rFonts w:hint="eastAsia" w:ascii="宋体" w:hAnsi="宋体" w:cs="宋体"/>
          <w:sz w:val="24"/>
          <w:highlight w:val="none"/>
          <w:lang w:eastAsia="zh-CN"/>
        </w:rPr>
        <w:t>，</w:t>
      </w:r>
      <w:r>
        <w:rPr>
          <w:rFonts w:hint="eastAsia" w:ascii="宋体" w:hAnsi="宋体" w:eastAsia="宋体" w:cs="宋体"/>
          <w:sz w:val="24"/>
          <w:highlight w:val="none"/>
        </w:rPr>
        <w:t>或者担任过供应商的董事、监事</w:t>
      </w:r>
      <w:r>
        <w:rPr>
          <w:rFonts w:hint="eastAsia" w:ascii="宋体" w:hAnsi="宋体" w:cs="宋体"/>
          <w:sz w:val="24"/>
          <w:highlight w:val="none"/>
          <w:lang w:eastAsia="zh-CN"/>
        </w:rPr>
        <w:t>，</w:t>
      </w:r>
      <w:r>
        <w:rPr>
          <w:rFonts w:hint="eastAsia" w:ascii="宋体" w:hAnsi="宋体" w:eastAsia="宋体" w:cs="宋体"/>
          <w:sz w:val="24"/>
          <w:highlight w:val="none"/>
        </w:rPr>
        <w:t>或者是供应商的控股股东或实际控制人</w:t>
      </w:r>
      <w:r>
        <w:rPr>
          <w:rFonts w:hint="eastAsia" w:ascii="宋体" w:hAnsi="宋体" w:cs="宋体"/>
          <w:sz w:val="24"/>
          <w:highlight w:val="none"/>
          <w:lang w:eastAsia="zh-CN"/>
        </w:rPr>
        <w:t>；</w:t>
      </w:r>
    </w:p>
    <w:p w14:paraId="232038E9">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（2）与供应商的法定代表人或者负责人有夫妻、直系血亲、三代以内旁系血亲或者近姻亲关系</w:t>
      </w:r>
      <w:r>
        <w:rPr>
          <w:rFonts w:hint="eastAsia" w:ascii="宋体" w:hAnsi="宋体" w:cs="宋体"/>
          <w:sz w:val="24"/>
          <w:highlight w:val="none"/>
          <w:lang w:eastAsia="zh-CN"/>
        </w:rPr>
        <w:t>；</w:t>
      </w:r>
    </w:p>
    <w:p w14:paraId="349ACB7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（3）与供应商有其他可能影响政府采购活动公平、公正进行的关系。</w:t>
      </w:r>
    </w:p>
    <w:p w14:paraId="0E3E6B79">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评审专家发现本人与参加采购活动的供应商有利害关系的</w:t>
      </w:r>
      <w:r>
        <w:rPr>
          <w:rFonts w:hint="eastAsia" w:ascii="宋体" w:hAnsi="宋体" w:cs="宋体"/>
          <w:sz w:val="24"/>
          <w:highlight w:val="none"/>
          <w:lang w:eastAsia="zh-CN"/>
        </w:rPr>
        <w:t>，</w:t>
      </w:r>
      <w:r>
        <w:rPr>
          <w:rFonts w:hint="eastAsia" w:ascii="宋体" w:hAnsi="宋体" w:eastAsia="宋体" w:cs="宋体"/>
          <w:sz w:val="24"/>
          <w:highlight w:val="none"/>
        </w:rPr>
        <w:t>应当主动提出回避。采购人或者采购代理机构发现评审专家与参加采购活动的供应商有利害关系的</w:t>
      </w:r>
      <w:r>
        <w:rPr>
          <w:rFonts w:hint="eastAsia" w:ascii="宋体" w:hAnsi="宋体" w:cs="宋体"/>
          <w:sz w:val="24"/>
          <w:highlight w:val="none"/>
          <w:lang w:eastAsia="zh-CN"/>
        </w:rPr>
        <w:t>，</w:t>
      </w:r>
      <w:r>
        <w:rPr>
          <w:rFonts w:hint="eastAsia" w:ascii="宋体" w:hAnsi="宋体" w:eastAsia="宋体" w:cs="宋体"/>
          <w:sz w:val="24"/>
          <w:highlight w:val="none"/>
        </w:rPr>
        <w:t>应当要求其回避。</w:t>
      </w:r>
    </w:p>
    <w:p w14:paraId="38262FB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政府采购评审专家与供应商存在利害关系未回避的，处2万元以上5万元以下的罚款，禁止其参加政府采购评审活动。</w:t>
      </w:r>
    </w:p>
    <w:p w14:paraId="6A7803A4">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评审专家应当严格遵守评审工作纪律</w:t>
      </w:r>
      <w:r>
        <w:rPr>
          <w:rFonts w:hint="eastAsia" w:ascii="宋体" w:hAnsi="宋体" w:cs="宋体"/>
          <w:sz w:val="24"/>
          <w:highlight w:val="none"/>
          <w:lang w:eastAsia="zh-CN"/>
        </w:rPr>
        <w:t>，</w:t>
      </w:r>
      <w:r>
        <w:rPr>
          <w:rFonts w:hint="eastAsia" w:ascii="宋体" w:hAnsi="宋体" w:eastAsia="宋体" w:cs="宋体"/>
          <w:sz w:val="24"/>
          <w:highlight w:val="none"/>
        </w:rPr>
        <w:t>按照客观、公正、审慎的原则</w:t>
      </w:r>
      <w:r>
        <w:rPr>
          <w:rFonts w:hint="eastAsia" w:ascii="宋体" w:hAnsi="宋体" w:cs="宋体"/>
          <w:sz w:val="24"/>
          <w:highlight w:val="none"/>
          <w:lang w:eastAsia="zh-CN"/>
        </w:rPr>
        <w:t>，</w:t>
      </w:r>
      <w:r>
        <w:rPr>
          <w:rFonts w:hint="eastAsia" w:ascii="宋体" w:hAnsi="宋体" w:eastAsia="宋体" w:cs="宋体"/>
          <w:sz w:val="24"/>
          <w:highlight w:val="none"/>
        </w:rPr>
        <w:t>根据采购文件规定的评审程序、评审方法和评审标准进行独立评审。</w:t>
      </w:r>
    </w:p>
    <w:p w14:paraId="4692CEF9">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评标委员会负责具体评标事务，并独立履行下列职责：</w:t>
      </w:r>
    </w:p>
    <w:p w14:paraId="3C227A10">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（1）审查、评价磋商响应性文件是否符合磋商文件的商务、技术等实质性要求；</w:t>
      </w:r>
    </w:p>
    <w:p w14:paraId="5C94ECE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（2）要求供应商对磋商响应性文件有关事项作出澄清或者说明；</w:t>
      </w:r>
    </w:p>
    <w:p w14:paraId="75A6BC40">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（3）对磋商响应性文件进行比较和评价；</w:t>
      </w:r>
    </w:p>
    <w:p w14:paraId="121C0C1C">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（4）确定成交候选人名单，以及根据采购人委托直接确定成交人；</w:t>
      </w:r>
    </w:p>
    <w:p w14:paraId="314171C2">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（5）向采购人、采购代理机构或者有关部门报告评标中发现的违法行为。</w:t>
      </w:r>
    </w:p>
    <w:p w14:paraId="3722C72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政府采购评审专家未按照采购文件规定的评审程序、评审方法和评审标准进行独立评审或者泄露评审文件、评审情况的，由财政部门给予警告，并处2000元以上2万元以下的罚款；影响成交、成交结果的，处2万元以上5万元以下的罚款，禁止其参加政府采购评审活动。</w:t>
      </w:r>
    </w:p>
    <w:p w14:paraId="514B13B5">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2.3磋商小组及其成员不得有下列行为：</w:t>
      </w:r>
    </w:p>
    <w:p w14:paraId="1147A6FD">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（1）确定参与评标至评标结束前私自接触供应商；</w:t>
      </w:r>
    </w:p>
    <w:p w14:paraId="6091F432">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（2）接受供应商提出的与磋商响应性文件不一致的澄清或者说明，财政部87号令第五十一条规定的情形除外；</w:t>
      </w:r>
    </w:p>
    <w:p w14:paraId="1029B5BE">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（3）违反评标纪律发表倾向性意见或者征询采购人的倾向性意见；</w:t>
      </w:r>
    </w:p>
    <w:p w14:paraId="0F52A4D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（4）对需要专业判断的主观评审因素协商评分；</w:t>
      </w:r>
    </w:p>
    <w:p w14:paraId="7BC19C11">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（5）在评标过程中擅离职守，影响评标程序正常进行的；</w:t>
      </w:r>
    </w:p>
    <w:p w14:paraId="4E2DF425">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（6）记录、复制或者带走任何评标资料；</w:t>
      </w:r>
    </w:p>
    <w:p w14:paraId="5799513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磋商小组成员有前款第一至五项行为之一的，其评审意见无效，并不得获取评审劳务报酬和报销异地评审差旅费。</w:t>
      </w:r>
    </w:p>
    <w:p w14:paraId="38DCA4A1">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政府采购评审专家收受采购人、采购代理机构、供应商贿赂或者获取其他不正当利益，构成犯罪的，依法追究刑事责任；尚不构成犯罪的，处2万元以上5万元以下的罚款，禁止其参加政府采购评审活动。</w:t>
      </w:r>
    </w:p>
    <w:p w14:paraId="21F2617E">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政府采购评审专家有上述违法行为的，其评审意见无效，不得获取评审费；有违法所得的，没收违法所得；给他人造成损失的，依法承担民事责任。</w:t>
      </w:r>
    </w:p>
    <w:p w14:paraId="27BE0B0A">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bookmarkStart w:id="381" w:name="_Toc389731544"/>
      <w:bookmarkStart w:id="382" w:name="_Toc390084399"/>
      <w:bookmarkStart w:id="383" w:name="_Toc390084875"/>
      <w:bookmarkStart w:id="384" w:name="_Toc390084939"/>
      <w:bookmarkStart w:id="385" w:name="_Toc390078433"/>
      <w:bookmarkStart w:id="386" w:name="_Toc185307771"/>
      <w:r>
        <w:rPr>
          <w:rFonts w:hint="eastAsia" w:ascii="宋体" w:hAnsi="宋体" w:eastAsia="宋体" w:cs="宋体"/>
          <w:sz w:val="24"/>
          <w:highlight w:val="none"/>
        </w:rPr>
        <w:t>3.采购代理机构：根据《中华人民共和国政府采购法</w:t>
      </w:r>
      <w:r>
        <w:rPr>
          <w:rFonts w:hint="eastAsia" w:ascii="宋体" w:hAnsi="宋体" w:cs="宋体"/>
          <w:sz w:val="24"/>
          <w:highlight w:val="none"/>
          <w:lang w:eastAsia="zh-CN"/>
        </w:rPr>
        <w:t>》《</w:t>
      </w:r>
      <w:r>
        <w:rPr>
          <w:rFonts w:hint="eastAsia" w:ascii="宋体" w:hAnsi="宋体" w:eastAsia="宋体" w:cs="宋体"/>
          <w:sz w:val="24"/>
          <w:highlight w:val="none"/>
        </w:rPr>
        <w:t>中华人民共和国政府采购法实施条例》及《政府采购竞争性磋商采购方式管理暂行办法》（财库</w:t>
      </w:r>
      <w:r>
        <w:rPr>
          <w:rFonts w:hint="eastAsia" w:ascii="宋体" w:hAnsi="宋体" w:cs="宋体"/>
          <w:sz w:val="24"/>
          <w:highlight w:val="none"/>
          <w:lang w:eastAsia="zh-CN"/>
        </w:rPr>
        <w:t>〔2014〕214号</w:t>
      </w:r>
      <w:r>
        <w:rPr>
          <w:rFonts w:hint="eastAsia" w:ascii="宋体" w:hAnsi="宋体" w:eastAsia="宋体" w:cs="宋体"/>
          <w:sz w:val="24"/>
          <w:highlight w:val="none"/>
        </w:rPr>
        <w:t>）的规定，由采购代理公司工作人员负责核对评审专家身份和采购人代表授权函，对评审专家在政府采购活动中的职责履行情况予以记录，并及时将有关违法违规行为向财政部门报告；宣布评标纪律；公布供应商名单，告知评审专家应当回避的情形；组织磋商小组推选磋商组长，采购人代表不得担任组长；在评标期间采取必要的通讯管理措施，保证评标活动不受外界干扰；根据磋商小组的要求介绍政府采购相关政策法规、磋商文件；维护评标秩序，监督磋商小组依照竞争性磋商文件规定的评标程序、方法和标准进行独立评审，及时制止和纠正采购人代表、评审专家的倾向性言论或者违法违规行为；评审工作完成后，按照规定向评审专家支付劳务报酬和异地评审差旅费，不得向评审专家以外的其他人员支付评审劳务报酬；处理与评标有关的其他事项。</w:t>
      </w:r>
    </w:p>
    <w:p w14:paraId="30B4A0E1">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4.监督部门：根据国家有关法律、法规规定</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rPr>
        <w:t>对</w:t>
      </w:r>
      <w:r>
        <w:rPr>
          <w:rFonts w:hint="eastAsia" w:ascii="宋体" w:hAnsi="宋体" w:eastAsia="宋体" w:cs="宋体"/>
          <w:sz w:val="24"/>
          <w:highlight w:val="none"/>
        </w:rPr>
        <w:t>整个开标评标过程进行监督</w:t>
      </w:r>
      <w:r>
        <w:rPr>
          <w:rFonts w:hint="eastAsia" w:ascii="宋体" w:hAnsi="宋体" w:cs="宋体"/>
          <w:sz w:val="24"/>
          <w:highlight w:val="none"/>
          <w:lang w:eastAsia="zh-CN"/>
        </w:rPr>
        <w:t>，</w:t>
      </w:r>
      <w:r>
        <w:rPr>
          <w:rFonts w:hint="eastAsia" w:ascii="宋体" w:hAnsi="宋体" w:eastAsia="宋体" w:cs="宋体"/>
          <w:sz w:val="24"/>
          <w:highlight w:val="none"/>
        </w:rPr>
        <w:t xml:space="preserve"> 其他任何单位和个人不得参与或非法干预正常的评审工作和评审结果，保证评标的公正性</w:t>
      </w:r>
      <w:r>
        <w:rPr>
          <w:rFonts w:hint="eastAsia" w:ascii="宋体" w:hAnsi="宋体" w:cs="宋体"/>
          <w:sz w:val="24"/>
          <w:highlight w:val="none"/>
          <w:lang w:eastAsia="zh-CN"/>
        </w:rPr>
        <w:t>，</w:t>
      </w:r>
      <w:r>
        <w:rPr>
          <w:rFonts w:hint="eastAsia" w:ascii="宋体" w:hAnsi="宋体" w:eastAsia="宋体" w:cs="宋体"/>
          <w:sz w:val="24"/>
          <w:highlight w:val="none"/>
        </w:rPr>
        <w:t>防止违法行为的产生。</w:t>
      </w:r>
    </w:p>
    <w:p w14:paraId="159FCB9D">
      <w:pPr>
        <w:pageBreakBefore w:val="0"/>
        <w:kinsoku/>
        <w:wordWrap/>
        <w:overflowPunct/>
        <w:topLinePunct w:val="0"/>
        <w:autoSpaceDE/>
        <w:autoSpaceDN/>
        <w:bidi w:val="0"/>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5.审核小组：由监督部门和采购代理公司项目主持人、项目负责人共同组成，负责对磋商小组填写的商务打分表和技术打分表最终统计结果进行审核，审核无误后由磋商小组签字确认。</w:t>
      </w:r>
    </w:p>
    <w:p w14:paraId="49B787C5">
      <w:pPr>
        <w:pStyle w:val="4"/>
        <w:pageBreakBefore w:val="0"/>
        <w:kinsoku/>
        <w:wordWrap/>
        <w:overflowPunct/>
        <w:topLinePunct w:val="0"/>
        <w:autoSpaceDE/>
        <w:autoSpaceDN/>
        <w:bidi w:val="0"/>
        <w:snapToGrid w:val="0"/>
        <w:spacing w:before="0" w:after="0" w:line="560" w:lineRule="exact"/>
        <w:rPr>
          <w:rFonts w:hint="eastAsia" w:ascii="宋体" w:hAnsi="宋体" w:eastAsia="宋体" w:cs="宋体"/>
          <w:szCs w:val="28"/>
          <w:highlight w:val="none"/>
        </w:rPr>
      </w:pPr>
      <w:bookmarkStart w:id="387" w:name="_Toc28774"/>
      <w:r>
        <w:rPr>
          <w:rFonts w:hint="eastAsia" w:ascii="宋体" w:hAnsi="宋体" w:eastAsia="宋体" w:cs="宋体"/>
          <w:highlight w:val="none"/>
        </w:rPr>
        <w:t>（三）评标办法</w:t>
      </w:r>
      <w:bookmarkEnd w:id="381"/>
      <w:bookmarkEnd w:id="382"/>
      <w:bookmarkEnd w:id="383"/>
      <w:bookmarkEnd w:id="384"/>
      <w:bookmarkEnd w:id="385"/>
      <w:bookmarkEnd w:id="387"/>
    </w:p>
    <w:p w14:paraId="54EE7A2B">
      <w:pPr>
        <w:pStyle w:val="20"/>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1.此次采购项目评标采用“</w:t>
      </w:r>
      <w:r>
        <w:rPr>
          <w:rFonts w:hint="eastAsia" w:ascii="宋体" w:hAnsi="宋体" w:eastAsia="宋体" w:cs="宋体"/>
          <w:b/>
          <w:sz w:val="24"/>
          <w:highlight w:val="none"/>
        </w:rPr>
        <w:t>综合评分法”</w:t>
      </w:r>
      <w:r>
        <w:rPr>
          <w:rFonts w:hint="eastAsia" w:ascii="宋体" w:hAnsi="宋体" w:eastAsia="宋体" w:cs="宋体"/>
          <w:sz w:val="24"/>
          <w:highlight w:val="none"/>
        </w:rPr>
        <w:t>。磋商小组以开标、评标情况为基本依据，对符合条件的《磋商响应性文件》及供应商进行综合评审打分，总分值设定为</w:t>
      </w:r>
      <w:r>
        <w:rPr>
          <w:rFonts w:hint="eastAsia" w:ascii="宋体" w:hAnsi="宋体" w:eastAsia="宋体" w:cs="宋体"/>
          <w:b/>
          <w:sz w:val="24"/>
          <w:highlight w:val="none"/>
        </w:rPr>
        <w:t>100</w:t>
      </w:r>
      <w:r>
        <w:rPr>
          <w:rFonts w:hint="eastAsia" w:ascii="宋体" w:hAnsi="宋体" w:eastAsia="宋体" w:cs="宋体"/>
          <w:sz w:val="24"/>
          <w:highlight w:val="none"/>
        </w:rPr>
        <w:t>分。</w:t>
      </w:r>
    </w:p>
    <w:p w14:paraId="149A91A7">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综合评分法中的价格分统一采用“低价优先法”计算，即满足《磋商文件》要求且磋商价格最低的投标报价为磋商基准价，其价格分为满分。其他供应商的价格分统一按照下列公式计算：磋商报价得分＝（磋商基准价/磋商报价）×价格权值×100。</w:t>
      </w:r>
    </w:p>
    <w:p w14:paraId="63C19552">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3.供应商综合评分最终总分值为商务部分、技术部分和投标报价三部分得分总和。</w:t>
      </w:r>
    </w:p>
    <w:p w14:paraId="5630F865">
      <w:pPr>
        <w:pStyle w:val="4"/>
        <w:pageBreakBefore w:val="0"/>
        <w:kinsoku/>
        <w:wordWrap/>
        <w:overflowPunct/>
        <w:topLinePunct w:val="0"/>
        <w:autoSpaceDE/>
        <w:autoSpaceDN/>
        <w:bidi w:val="0"/>
        <w:spacing w:before="0" w:after="0" w:line="560" w:lineRule="exact"/>
        <w:rPr>
          <w:rFonts w:hint="eastAsia" w:ascii="宋体" w:hAnsi="宋体" w:eastAsia="宋体" w:cs="宋体"/>
          <w:highlight w:val="none"/>
        </w:rPr>
      </w:pPr>
      <w:bookmarkStart w:id="388" w:name="_Toc390084876"/>
      <w:bookmarkStart w:id="389" w:name="_Toc390078434"/>
      <w:bookmarkStart w:id="390" w:name="_Toc390084940"/>
      <w:bookmarkStart w:id="391" w:name="_Toc15055"/>
      <w:bookmarkStart w:id="392" w:name="_Toc389731545"/>
      <w:bookmarkStart w:id="393" w:name="_Toc390084400"/>
      <w:bookmarkStart w:id="394" w:name="_Toc185307772"/>
      <w:r>
        <w:rPr>
          <w:rFonts w:hint="eastAsia" w:ascii="宋体" w:hAnsi="宋体" w:eastAsia="宋体" w:cs="宋体"/>
          <w:highlight w:val="none"/>
        </w:rPr>
        <w:t>（四）评标程序</w:t>
      </w:r>
      <w:bookmarkEnd w:id="388"/>
      <w:bookmarkEnd w:id="389"/>
      <w:bookmarkEnd w:id="390"/>
      <w:bookmarkEnd w:id="391"/>
      <w:bookmarkEnd w:id="392"/>
      <w:bookmarkEnd w:id="393"/>
      <w:bookmarkEnd w:id="394"/>
      <w:bookmarkStart w:id="395" w:name="_Toc185307773"/>
    </w:p>
    <w:bookmarkEnd w:id="395"/>
    <w:p w14:paraId="0D9BEB61">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1.初审：</w:t>
      </w:r>
    </w:p>
    <w:p w14:paraId="72BD9B27">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资格性审查：依据《政府采购货物和服务采购投标管理办法》（财政部令第87号）第44条的规定，由磋商小组对供应商资格进行审查，以确定供应商是否具备投标资格。</w:t>
      </w:r>
    </w:p>
    <w:p w14:paraId="6EE73BC4">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资格性审查有一项不符合的，按无效投标处理，资格审查主要审查以下内容：</w:t>
      </w:r>
    </w:p>
    <w:p w14:paraId="53FB060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满足《中华人民共和国政府采购法》第二十二条规定；</w:t>
      </w:r>
    </w:p>
    <w:p w14:paraId="73B76307">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（1）具有独立承担民事责任的能力（须提供有效的营业执照、组织机构代码证、税务登记证（三证合一只需提供营业执照副本）；</w:t>
      </w:r>
    </w:p>
    <w:p w14:paraId="01BCA2E5">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（2）具有良好的商业信誉和健全的财务会计制度（须提供</w:t>
      </w:r>
      <w:r>
        <w:rPr>
          <w:rFonts w:hint="eastAsia" w:ascii="宋体" w:hAnsi="宋体" w:eastAsia="宋体" w:cs="宋体"/>
          <w:sz w:val="24"/>
          <w:highlight w:val="none"/>
          <w:lang w:val="en-US" w:eastAsia="zh-CN"/>
        </w:rPr>
        <w:t>近18个月内完整的</w:t>
      </w:r>
      <w:r>
        <w:rPr>
          <w:rFonts w:hint="eastAsia" w:ascii="宋体" w:hAnsi="宋体" w:eastAsia="宋体" w:cs="宋体"/>
          <w:sz w:val="24"/>
          <w:highlight w:val="none"/>
        </w:rPr>
        <w:t>财务审计报告或开户银行出具的资信证明文件，注册不足1年的以营业执照实际成立期限为准，并按实际成立期限之日起提供财务报表）；</w:t>
      </w:r>
    </w:p>
    <w:p w14:paraId="2640E68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（3）具有履行合同所必需的设备和专业技术能力（需提交企业声明函原件）；</w:t>
      </w:r>
    </w:p>
    <w:p w14:paraId="22D296C5">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（4）有依法缴纳税收和社会保障资金的良好记录（须提供</w:t>
      </w:r>
      <w:r>
        <w:rPr>
          <w:rFonts w:hint="eastAsia" w:ascii="宋体" w:hAnsi="宋体" w:eastAsia="宋体" w:cs="宋体"/>
          <w:sz w:val="24"/>
          <w:highlight w:val="none"/>
          <w:lang w:val="en-US" w:eastAsia="zh-CN"/>
        </w:rPr>
        <w:t>近6个月内</w:t>
      </w:r>
      <w:r>
        <w:rPr>
          <w:rFonts w:hint="eastAsia" w:ascii="宋体" w:hAnsi="宋体" w:eastAsia="宋体" w:cs="宋体"/>
          <w:sz w:val="24"/>
          <w:highlight w:val="none"/>
        </w:rPr>
        <w:t>任意1个月</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纳税凭证</w:t>
      </w:r>
      <w:r>
        <w:rPr>
          <w:rFonts w:hint="eastAsia" w:ascii="宋体" w:hAnsi="宋体" w:eastAsia="宋体" w:cs="宋体"/>
          <w:sz w:val="24"/>
          <w:highlight w:val="none"/>
          <w:lang w:val="en-US" w:eastAsia="zh-CN"/>
        </w:rPr>
        <w:t>和</w:t>
      </w:r>
      <w:r>
        <w:rPr>
          <w:rFonts w:hint="eastAsia" w:ascii="宋体" w:hAnsi="宋体" w:eastAsia="宋体" w:cs="宋体"/>
          <w:sz w:val="24"/>
          <w:highlight w:val="none"/>
        </w:rPr>
        <w:t>缴纳社会保险凭证的证明资料</w:t>
      </w:r>
      <w:r>
        <w:rPr>
          <w:rFonts w:hint="eastAsia" w:ascii="宋体" w:hAnsi="宋体" w:cs="宋体"/>
          <w:sz w:val="24"/>
          <w:highlight w:val="none"/>
          <w:lang w:eastAsia="zh-CN"/>
        </w:rPr>
        <w:t>；</w:t>
      </w:r>
      <w:r>
        <w:rPr>
          <w:rFonts w:hint="eastAsia" w:ascii="宋体" w:hAnsi="宋体" w:eastAsia="宋体" w:cs="宋体"/>
          <w:sz w:val="24"/>
          <w:szCs w:val="24"/>
          <w:highlight w:val="none"/>
          <w:lang w:val="en-US" w:eastAsia="zh-CN"/>
        </w:rPr>
        <w:t>未达到起征点的需提供相关证明材料</w:t>
      </w:r>
      <w:r>
        <w:rPr>
          <w:rFonts w:hint="eastAsia" w:ascii="宋体" w:hAnsi="宋体" w:eastAsia="宋体" w:cs="宋体"/>
          <w:sz w:val="24"/>
          <w:highlight w:val="none"/>
        </w:rPr>
        <w:t>）；</w:t>
      </w:r>
    </w:p>
    <w:p w14:paraId="6EF2683C">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（5）参加本次政府采购活动前三年内，在经营活动中没有重大违法记录（需提交企业声明函原件）。</w:t>
      </w:r>
    </w:p>
    <w:p w14:paraId="3D45410C">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（6）法律、行政法规规定的其他条件。</w:t>
      </w:r>
    </w:p>
    <w:p w14:paraId="52C7194E">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本项目的特定资格要求：</w:t>
      </w:r>
    </w:p>
    <w:p w14:paraId="51E63FC8">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（1）提供法定代表人资格证明、法人身份证复印件（法定代表人参与投标时提供）；或法人授权函、被授权人身份证复印件（非法定代表人参与投标时提供）；</w:t>
      </w:r>
    </w:p>
    <w:p w14:paraId="22E13C5E">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供应商未被列入“信用中国”网站记录失信被执行人或重大税收违法案件当事人名单或政府采购严重违法失信行为记录名单（须提供“信用中国”网站查询结果截图）；供应商不处于中国政府采购网政府采购严重违法失信行为信息记录中的禁止参加政府采购活动执行期（须提供“中国政府采购网”企业查询结果截图）查询结果（以招标公告发布之日起至递交投标文件截止时间前在“信用中国”网站、中国政府采购网查询结果为准，如相关记录已失效，供应商需提供相关证明资料）。</w:t>
      </w:r>
    </w:p>
    <w:p w14:paraId="3074DE1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1.3本项目（是/否）接受联合体：否（成交单位不允许以任何形式进行分包或转包，需提供声明函</w:t>
      </w:r>
      <w:r>
        <w:rPr>
          <w:rFonts w:hint="eastAsia" w:ascii="宋体" w:hAnsi="宋体" w:cs="宋体"/>
          <w:sz w:val="24"/>
          <w:highlight w:val="none"/>
          <w:lang w:val="en-US" w:eastAsia="zh-CN"/>
        </w:rPr>
        <w:t>原件</w:t>
      </w:r>
      <w:r>
        <w:rPr>
          <w:rFonts w:hint="eastAsia" w:ascii="宋体" w:hAnsi="宋体" w:eastAsia="宋体" w:cs="宋体"/>
          <w:sz w:val="24"/>
          <w:highlight w:val="none"/>
          <w:lang w:val="en-US" w:eastAsia="zh-CN"/>
        </w:rPr>
        <w:t>）。</w:t>
      </w:r>
    </w:p>
    <w:p w14:paraId="426A8544">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1.4</w:t>
      </w:r>
      <w:r>
        <w:rPr>
          <w:rFonts w:hint="eastAsia" w:ascii="宋体" w:hAnsi="宋体" w:eastAsia="宋体" w:cs="宋体"/>
          <w:sz w:val="24"/>
          <w:highlight w:val="none"/>
        </w:rPr>
        <w:t>符合性审查：依据《磋商文件》的规定，从《磋商响应性文件》的有效性、完整性和对《磋商文件》的响应程度进行审查，以确定是否对《磋商文件》的实质性要求做出响应。</w:t>
      </w:r>
    </w:p>
    <w:p w14:paraId="4EA3BFB2">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符合性审查时有下列情形之一的，由磋商小组按无效《磋商响应性文件》处理：</w:t>
      </w:r>
    </w:p>
    <w:p w14:paraId="6E12BA3A">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《磋商响应性文件》未按照《磋商文件》规定要求签署、盖章的；</w:t>
      </w:r>
    </w:p>
    <w:p w14:paraId="49C886C1">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不具备《磋商文件》中规定的资格要求的；</w:t>
      </w:r>
    </w:p>
    <w:p w14:paraId="0FC8BFBA">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报价超过《磋商文件》中规定的预算金额或者最高限价的；</w:t>
      </w:r>
    </w:p>
    <w:p w14:paraId="60E1ED53">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《磋商响应性文件》含有采购人不能接受的附加条件的；</w:t>
      </w:r>
    </w:p>
    <w:p w14:paraId="3850C955">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《磋商响应性文件》填写潦草，字迹或数据难以辨认的；</w:t>
      </w:r>
    </w:p>
    <w:p w14:paraId="6CEAA6D5">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《磋商响应性文件》中更改之处未加盖公章的；</w:t>
      </w:r>
    </w:p>
    <w:p w14:paraId="5C5E5826">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《磋商响应性文件》不完整，填写漏项，无法确认供应商责任或投标意向的；</w:t>
      </w:r>
    </w:p>
    <w:p w14:paraId="71D8E59D">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《磋商响应性文件》内容不真实，提供虚假证明文件、虚假技术参数的； </w:t>
      </w:r>
    </w:p>
    <w:p w14:paraId="146B437D">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《磋商响应性文件》不满足采购人技术参数要求或严重偏离的；</w:t>
      </w:r>
    </w:p>
    <w:p w14:paraId="5C16060E">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《磋商响应性文件》中投标的对象不明确的；</w:t>
      </w:r>
    </w:p>
    <w:p w14:paraId="70BEFB17">
      <w:pPr>
        <w:pageBreakBefore w:val="0"/>
        <w:numPr>
          <w:ilvl w:val="0"/>
          <w:numId w:val="7"/>
        </w:numPr>
        <w:kinsoku/>
        <w:wordWrap/>
        <w:overflowPunct/>
        <w:topLinePunct w:val="0"/>
        <w:autoSpaceDE/>
        <w:autoSpaceDN/>
        <w:bidi w:val="0"/>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法律、法规和磋商文件规定的其他无效情形。</w:t>
      </w:r>
    </w:p>
    <w:p w14:paraId="26E7C8E7">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实质上没有响应《磋商文件》要求的《磋商响应性文件》将被拒绝。</w:t>
      </w:r>
    </w:p>
    <w:p w14:paraId="089D85D5">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供应商不得通过修正或</w:t>
      </w:r>
      <w:r>
        <w:rPr>
          <w:rFonts w:hint="eastAsia" w:ascii="宋体" w:hAnsi="宋体" w:cs="宋体"/>
          <w:sz w:val="24"/>
          <w:highlight w:val="none"/>
          <w:lang w:val="en-US" w:eastAsia="zh-CN"/>
        </w:rPr>
        <w:t>撤销</w:t>
      </w:r>
      <w:r>
        <w:rPr>
          <w:rFonts w:hint="eastAsia" w:ascii="宋体" w:hAnsi="宋体" w:eastAsia="宋体" w:cs="宋体"/>
          <w:sz w:val="24"/>
          <w:highlight w:val="none"/>
        </w:rPr>
        <w:t>不符合要求的偏离或保留从而使其《磋商响应性文件》成为实质上响应的《磋商响应性文件》。</w:t>
      </w:r>
    </w:p>
    <w:p w14:paraId="1B35E4D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3.详细评审</w:t>
      </w:r>
    </w:p>
    <w:p w14:paraId="1E91E57C">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（1）磋商小组所有成员应当集中与单一供应商分别进行磋商，并给予所有参加磋商的供应商平等的磋商机会。</w:t>
      </w:r>
    </w:p>
    <w:p w14:paraId="7A111FA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根据《政府采购竞争性磋商采购方式管理暂行办法》第二十条规定，在磋商过程中，磋商小组可以根据竞争性磋商文件和磋商情况实质性变动采购需求中的技术、服务要求以及合同草案条款，但不得变动竞争性磋商文件中的其他内容。实质性变动的内容，须经采购人代表确认。</w:t>
      </w:r>
    </w:p>
    <w:p w14:paraId="1C60414B">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对竞争性磋商文件做出的实质性变动是竞争性磋商文件的有效组成部分，磋商小组应当及时以书面形式同时通知所有参加磋商的供应商。</w:t>
      </w:r>
    </w:p>
    <w:p w14:paraId="72101129">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当按照竞争性磋商文件的变动情况和磋商小组的要求重新提交磋商响应性文件，并由其法定代表人或其委托代理人签字或者加盖公章。由委托代理人签字的，应当附法定代表人授权书。供应商为自然人的，应当由本人签字并附身份证明。</w:t>
      </w:r>
    </w:p>
    <w:p w14:paraId="06E2BDC4">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根据《政府采购竞争性磋商采购方式管理暂行办法》第二十一条规定，竞争性磋商文件能够详细列明采购标的的技术、服务要求的，磋商结束后，磋商小组应当要求所有实质性响应的供应商在规定时间内提交最后报价，提交最后报价的供应商不得少于3家。</w:t>
      </w:r>
    </w:p>
    <w:p w14:paraId="685237EA">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竞争性磋商文件不能详细列明采购标的的技术、服务要求的，需经磋商由供应商提供最终设计方案或解决方案的，磋商结束后，磋商小组应当按照少数服从多数的原则投票推荐3家以上供应商的设计方案或者解决方案，并要求其在规定时间内提交最后报价。</w:t>
      </w:r>
    </w:p>
    <w:p w14:paraId="594B666F">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最后报价是供应商磋商响应性文件的有效组成部分。市场竞争不充分的科研项目以及需要扶持的科技成果转化项目提交最后报价的供应商可以为2家。</w:t>
      </w:r>
    </w:p>
    <w:p w14:paraId="4AD6403D">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根据财政部文件“财库〔2015〕124号关于政府采购竞争性磋商采购方式管理暂行办法有关问题的补充通知”之规定：为了深入推进政府采购制度改革和政府购买服务工作，促进实现“物有所值”价值目标，提高政府采购效率，现就《财政部关于印发</w:t>
      </w:r>
      <w:r>
        <w:rPr>
          <w:rFonts w:hint="eastAsia" w:ascii="宋体" w:hAnsi="宋体" w:cs="宋体"/>
          <w:sz w:val="24"/>
          <w:highlight w:val="none"/>
          <w:lang w:eastAsia="zh-CN"/>
        </w:rPr>
        <w:t>〈</w:t>
      </w:r>
      <w:r>
        <w:rPr>
          <w:rFonts w:hint="eastAsia" w:ascii="宋体" w:hAnsi="宋体" w:eastAsia="宋体" w:cs="宋体"/>
          <w:sz w:val="24"/>
          <w:highlight w:val="none"/>
        </w:rPr>
        <w:t>政府采购竞争性磋商采购方式管理暂行办法</w:t>
      </w:r>
      <w:r>
        <w:rPr>
          <w:rFonts w:hint="eastAsia" w:ascii="宋体" w:hAnsi="宋体" w:cs="宋体"/>
          <w:sz w:val="24"/>
          <w:highlight w:val="none"/>
          <w:lang w:eastAsia="zh-CN"/>
        </w:rPr>
        <w:t>〉的通知》</w:t>
      </w:r>
      <w:r>
        <w:rPr>
          <w:rFonts w:hint="eastAsia" w:ascii="宋体" w:hAnsi="宋体" w:eastAsia="宋体" w:cs="宋体"/>
          <w:sz w:val="24"/>
          <w:highlight w:val="none"/>
        </w:rPr>
        <w:t>（财库〔2014〕214号）有关问题补充通知如下：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D05666E">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（5）本项目共两次报价，供应商的第二轮（最终报价采用网上报价的形式进行，即磋商时应答人不必到达现场）报价为最终报价，是参与评标的唯一价格，以最终磋商报价为成交价格。</w:t>
      </w:r>
    </w:p>
    <w:p w14:paraId="3A0AA3DD">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已提交磋商响应性文件的供应商，在提交最后报价之前，可以根据磋商情况退出磋商。采购人、采购代理机构应当退还退出磋商的供应商的磋商保证金。</w:t>
      </w:r>
    </w:p>
    <w:p w14:paraId="1B524214">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（6）经磋商确定最终采购需求和提交最后报价的供应商后，由磋商小组采用综合评分法对提交最后报价的供应商的响应文件和最后报价进行综合评分。</w:t>
      </w:r>
    </w:p>
    <w:p w14:paraId="3EE3BDAE">
      <w:pPr>
        <w:pStyle w:val="4"/>
        <w:pageBreakBefore w:val="0"/>
        <w:kinsoku/>
        <w:wordWrap/>
        <w:overflowPunct/>
        <w:topLinePunct w:val="0"/>
        <w:bidi w:val="0"/>
        <w:spacing w:before="0" w:after="0" w:line="520" w:lineRule="exact"/>
        <w:rPr>
          <w:rFonts w:hint="eastAsia" w:ascii="宋体" w:hAnsi="宋体" w:eastAsia="宋体" w:cs="宋体"/>
          <w:highlight w:val="none"/>
        </w:rPr>
      </w:pPr>
      <w:bookmarkStart w:id="396" w:name="_Toc7669"/>
      <w:r>
        <w:rPr>
          <w:rFonts w:hint="eastAsia" w:ascii="宋体" w:hAnsi="宋体" w:eastAsia="宋体" w:cs="宋体"/>
          <w:szCs w:val="28"/>
          <w:highlight w:val="none"/>
        </w:rPr>
        <w:t>（五）</w:t>
      </w:r>
      <w:r>
        <w:rPr>
          <w:rFonts w:hint="eastAsia" w:ascii="宋体" w:hAnsi="宋体" w:eastAsia="宋体" w:cs="宋体"/>
          <w:highlight w:val="none"/>
        </w:rPr>
        <w:t>综合评分表</w:t>
      </w:r>
      <w:bookmarkEnd w:id="396"/>
    </w:p>
    <w:tbl>
      <w:tblPr>
        <w:tblStyle w:val="40"/>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6179"/>
        <w:gridCol w:w="800"/>
        <w:gridCol w:w="1792"/>
      </w:tblGrid>
      <w:tr w14:paraId="4BD9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41" w:type="dxa"/>
            <w:noWrap w:val="0"/>
            <w:vAlign w:val="center"/>
          </w:tcPr>
          <w:p w14:paraId="4D4E6A42">
            <w:pPr>
              <w:ind w:left="0" w:leftChars="-1" w:hanging="2" w:firstLine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序号</w:t>
            </w:r>
          </w:p>
        </w:tc>
        <w:tc>
          <w:tcPr>
            <w:tcW w:w="6179" w:type="dxa"/>
            <w:noWrap w:val="0"/>
            <w:vAlign w:val="center"/>
          </w:tcPr>
          <w:p w14:paraId="5AA87286">
            <w:pPr>
              <w:ind w:left="-508" w:leftChars="-242" w:firstLine="583" w:firstLineChars="242"/>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项目</w:t>
            </w:r>
          </w:p>
        </w:tc>
        <w:tc>
          <w:tcPr>
            <w:tcW w:w="800" w:type="dxa"/>
            <w:noWrap w:val="0"/>
            <w:vAlign w:val="center"/>
          </w:tcPr>
          <w:p w14:paraId="394B6A77">
            <w:pPr>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分值</w:t>
            </w:r>
          </w:p>
        </w:tc>
        <w:tc>
          <w:tcPr>
            <w:tcW w:w="1792" w:type="dxa"/>
            <w:noWrap w:val="0"/>
            <w:vAlign w:val="center"/>
          </w:tcPr>
          <w:p w14:paraId="0F9D9407">
            <w:pPr>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分值证明文件对应磋商响应性文件的页码</w:t>
            </w:r>
          </w:p>
        </w:tc>
      </w:tr>
      <w:tr w14:paraId="70B4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1" w:type="dxa"/>
            <w:noWrap w:val="0"/>
            <w:vAlign w:val="center"/>
          </w:tcPr>
          <w:p w14:paraId="19CB5FE6">
            <w:pPr>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一</w:t>
            </w:r>
          </w:p>
        </w:tc>
        <w:tc>
          <w:tcPr>
            <w:tcW w:w="6179" w:type="dxa"/>
            <w:noWrap w:val="0"/>
            <w:vAlign w:val="center"/>
          </w:tcPr>
          <w:p w14:paraId="6B3E1590">
            <w:pPr>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商务</w:t>
            </w:r>
          </w:p>
        </w:tc>
        <w:tc>
          <w:tcPr>
            <w:tcW w:w="800" w:type="dxa"/>
            <w:noWrap w:val="0"/>
            <w:vAlign w:val="center"/>
          </w:tcPr>
          <w:p w14:paraId="07A08B3B">
            <w:pPr>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13</w:t>
            </w:r>
            <w:r>
              <w:rPr>
                <w:rFonts w:hint="eastAsia" w:ascii="宋体" w:hAnsi="宋体" w:eastAsia="宋体" w:cs="宋体"/>
                <w:b/>
                <w:color w:val="auto"/>
                <w:sz w:val="24"/>
                <w:highlight w:val="none"/>
                <w:lang w:val="en-US" w:eastAsia="zh-CN"/>
              </w:rPr>
              <w:t>分</w:t>
            </w:r>
          </w:p>
        </w:tc>
        <w:tc>
          <w:tcPr>
            <w:tcW w:w="1792" w:type="dxa"/>
            <w:noWrap w:val="0"/>
            <w:vAlign w:val="center"/>
          </w:tcPr>
          <w:p w14:paraId="62722398">
            <w:pPr>
              <w:jc w:val="center"/>
              <w:rPr>
                <w:rFonts w:hint="eastAsia" w:ascii="宋体" w:hAnsi="宋体" w:eastAsia="宋体" w:cs="宋体"/>
                <w:b/>
                <w:color w:val="auto"/>
                <w:sz w:val="24"/>
                <w:highlight w:val="none"/>
              </w:rPr>
            </w:pPr>
          </w:p>
        </w:tc>
      </w:tr>
      <w:tr w14:paraId="3DF6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noWrap w:val="0"/>
            <w:vAlign w:val="center"/>
          </w:tcPr>
          <w:p w14:paraId="6BAE0F9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6179" w:type="dxa"/>
            <w:noWrap w:val="0"/>
            <w:vAlign w:val="center"/>
          </w:tcPr>
          <w:p w14:paraId="2DBBE501">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2"/>
                <w:szCs w:val="22"/>
                <w:highlight w:val="none"/>
                <w:lang w:val="zh-CN" w:eastAsia="zh-CN" w:bidi="ar"/>
              </w:rPr>
            </w:pPr>
            <w:r>
              <w:rPr>
                <w:rFonts w:hint="eastAsia" w:ascii="宋体" w:hAnsi="宋体" w:eastAsia="宋体" w:cs="宋体"/>
                <w:b w:val="0"/>
                <w:bCs w:val="0"/>
                <w:color w:val="auto"/>
                <w:kern w:val="0"/>
                <w:sz w:val="22"/>
                <w:szCs w:val="22"/>
                <w:highlight w:val="none"/>
                <w:lang w:val="zh-CN" w:eastAsia="zh-CN" w:bidi="ar"/>
              </w:rPr>
              <w:t>供应商提供近三年（202</w:t>
            </w:r>
            <w:r>
              <w:rPr>
                <w:rFonts w:hint="eastAsia" w:ascii="宋体" w:hAnsi="宋体" w:cs="宋体"/>
                <w:b w:val="0"/>
                <w:bCs w:val="0"/>
                <w:color w:val="auto"/>
                <w:kern w:val="0"/>
                <w:sz w:val="22"/>
                <w:szCs w:val="22"/>
                <w:highlight w:val="none"/>
                <w:lang w:val="en-US" w:eastAsia="zh-CN" w:bidi="ar"/>
              </w:rPr>
              <w:t>2</w:t>
            </w:r>
            <w:r>
              <w:rPr>
                <w:rFonts w:hint="eastAsia" w:ascii="宋体" w:hAnsi="宋体" w:eastAsia="宋体" w:cs="宋体"/>
                <w:b w:val="0"/>
                <w:bCs w:val="0"/>
                <w:color w:val="auto"/>
                <w:kern w:val="0"/>
                <w:sz w:val="22"/>
                <w:szCs w:val="22"/>
                <w:highlight w:val="none"/>
                <w:lang w:val="zh-CN" w:eastAsia="zh-CN" w:bidi="ar"/>
              </w:rPr>
              <w:t>年</w:t>
            </w:r>
            <w:r>
              <w:rPr>
                <w:rFonts w:hint="eastAsia" w:ascii="宋体" w:hAnsi="宋体" w:cs="宋体"/>
                <w:b w:val="0"/>
                <w:bCs w:val="0"/>
                <w:color w:val="auto"/>
                <w:kern w:val="0"/>
                <w:sz w:val="22"/>
                <w:szCs w:val="22"/>
                <w:highlight w:val="none"/>
                <w:lang w:val="en-US" w:eastAsia="zh-CN" w:bidi="ar"/>
              </w:rPr>
              <w:t>8</w:t>
            </w:r>
            <w:r>
              <w:rPr>
                <w:rFonts w:hint="eastAsia" w:ascii="宋体" w:hAnsi="宋体" w:eastAsia="宋体" w:cs="宋体"/>
                <w:b w:val="0"/>
                <w:bCs w:val="0"/>
                <w:color w:val="auto"/>
                <w:kern w:val="0"/>
                <w:sz w:val="22"/>
                <w:szCs w:val="22"/>
                <w:highlight w:val="none"/>
                <w:lang w:val="zh-CN" w:eastAsia="zh-CN" w:bidi="ar"/>
              </w:rPr>
              <w:t>月</w:t>
            </w:r>
            <w:r>
              <w:rPr>
                <w:rFonts w:hint="eastAsia" w:ascii="宋体" w:hAnsi="宋体" w:cs="宋体"/>
                <w:b w:val="0"/>
                <w:bCs w:val="0"/>
                <w:color w:val="auto"/>
                <w:kern w:val="0"/>
                <w:sz w:val="22"/>
                <w:szCs w:val="22"/>
                <w:highlight w:val="none"/>
                <w:lang w:val="en-US" w:eastAsia="zh-CN" w:bidi="ar"/>
              </w:rPr>
              <w:t>1日</w:t>
            </w:r>
            <w:r>
              <w:rPr>
                <w:rFonts w:hint="eastAsia" w:ascii="宋体" w:hAnsi="宋体" w:eastAsia="宋体" w:cs="宋体"/>
                <w:b w:val="0"/>
                <w:bCs w:val="0"/>
                <w:color w:val="auto"/>
                <w:kern w:val="0"/>
                <w:sz w:val="22"/>
                <w:szCs w:val="22"/>
                <w:highlight w:val="none"/>
                <w:lang w:val="zh-CN" w:eastAsia="zh-CN" w:bidi="ar"/>
              </w:rPr>
              <w:t>至今）同类项目的业绩证明。每提供1项得2分，满分6分；须提供中标通知书（成交通知书）及合同扫描件加盖公章，未提供相关证明材料或提供证明材料不全者不得分。</w:t>
            </w:r>
          </w:p>
        </w:tc>
        <w:tc>
          <w:tcPr>
            <w:tcW w:w="800" w:type="dxa"/>
            <w:noWrap w:val="0"/>
            <w:vAlign w:val="center"/>
          </w:tcPr>
          <w:p w14:paraId="4C49EE4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分</w:t>
            </w:r>
          </w:p>
        </w:tc>
        <w:tc>
          <w:tcPr>
            <w:tcW w:w="1792" w:type="dxa"/>
            <w:noWrap w:val="0"/>
            <w:vAlign w:val="center"/>
          </w:tcPr>
          <w:p w14:paraId="1DD6C0B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color w:val="auto"/>
                <w:sz w:val="24"/>
                <w:szCs w:val="24"/>
                <w:highlight w:val="none"/>
                <w:lang w:val="en-US" w:eastAsia="zh-CN"/>
              </w:rPr>
            </w:pPr>
          </w:p>
        </w:tc>
      </w:tr>
      <w:tr w14:paraId="5577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noWrap w:val="0"/>
            <w:vAlign w:val="center"/>
          </w:tcPr>
          <w:p w14:paraId="7ADD46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right="0" w:rightChars="0" w:firstLine="240" w:firstLineChars="1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179" w:type="dxa"/>
            <w:noWrap w:val="0"/>
            <w:vAlign w:val="center"/>
          </w:tcPr>
          <w:p w14:paraId="368EE940">
            <w:pPr>
              <w:pageBreakBefore w:val="0"/>
              <w:widowControl/>
              <w:kinsoku/>
              <w:wordWrap/>
              <w:overflowPunct/>
              <w:topLinePunct w:val="0"/>
              <w:autoSpaceDE/>
              <w:autoSpaceDN/>
              <w:bidi w:val="0"/>
              <w:snapToGrid/>
              <w:spacing w:line="440" w:lineRule="exact"/>
              <w:jc w:val="left"/>
              <w:rPr>
                <w:rFonts w:hint="default" w:ascii="宋体" w:hAnsi="宋体" w:eastAsia="宋体" w:cs="宋体"/>
                <w:b w:val="0"/>
                <w:bCs w:val="0"/>
                <w:color w:val="auto"/>
                <w:kern w:val="0"/>
                <w:sz w:val="22"/>
                <w:szCs w:val="22"/>
                <w:highlight w:val="none"/>
                <w:lang w:val="en-US" w:eastAsia="zh-CN" w:bidi="ar"/>
              </w:rPr>
            </w:pPr>
            <w:r>
              <w:rPr>
                <w:rFonts w:hint="default" w:ascii="宋体" w:hAnsi="宋体" w:eastAsia="宋体" w:cs="宋体"/>
                <w:b w:val="0"/>
                <w:bCs w:val="0"/>
                <w:color w:val="auto"/>
                <w:kern w:val="0"/>
                <w:sz w:val="22"/>
                <w:szCs w:val="22"/>
                <w:highlight w:val="none"/>
                <w:lang w:val="en-US" w:eastAsia="zh-CN" w:bidi="ar"/>
              </w:rPr>
              <w:t>根据相关要求，提供产品质量证明材料（检验报告或合格证等）的得</w:t>
            </w:r>
            <w:r>
              <w:rPr>
                <w:rFonts w:hint="eastAsia" w:ascii="宋体" w:hAnsi="宋体" w:cs="宋体"/>
                <w:b w:val="0"/>
                <w:bCs w:val="0"/>
                <w:color w:val="auto"/>
                <w:kern w:val="0"/>
                <w:sz w:val="22"/>
                <w:szCs w:val="22"/>
                <w:highlight w:val="none"/>
                <w:lang w:val="en-US" w:eastAsia="zh-CN" w:bidi="ar"/>
              </w:rPr>
              <w:t>3</w:t>
            </w:r>
            <w:r>
              <w:rPr>
                <w:rFonts w:hint="default" w:ascii="宋体" w:hAnsi="宋体" w:eastAsia="宋体" w:cs="宋体"/>
                <w:b w:val="0"/>
                <w:bCs w:val="0"/>
                <w:color w:val="auto"/>
                <w:kern w:val="0"/>
                <w:sz w:val="22"/>
                <w:szCs w:val="22"/>
                <w:highlight w:val="none"/>
                <w:lang w:val="en-US" w:eastAsia="zh-CN" w:bidi="ar"/>
              </w:rPr>
              <w:t>分，不提供不得分。</w:t>
            </w:r>
          </w:p>
        </w:tc>
        <w:tc>
          <w:tcPr>
            <w:tcW w:w="800" w:type="dxa"/>
            <w:noWrap w:val="0"/>
            <w:vAlign w:val="center"/>
          </w:tcPr>
          <w:p w14:paraId="2948EC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宋体" w:hAnsi="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3分</w:t>
            </w:r>
          </w:p>
        </w:tc>
        <w:tc>
          <w:tcPr>
            <w:tcW w:w="1792" w:type="dxa"/>
            <w:noWrap w:val="0"/>
            <w:vAlign w:val="center"/>
          </w:tcPr>
          <w:p w14:paraId="1D59C10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szCs w:val="24"/>
                <w:highlight w:val="none"/>
              </w:rPr>
            </w:pPr>
          </w:p>
        </w:tc>
      </w:tr>
      <w:tr w14:paraId="0879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noWrap w:val="0"/>
            <w:vAlign w:val="center"/>
          </w:tcPr>
          <w:p w14:paraId="260B34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right="0" w:rightChars="0" w:firstLine="240" w:firstLineChars="1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179" w:type="dxa"/>
            <w:noWrap w:val="0"/>
            <w:vAlign w:val="center"/>
          </w:tcPr>
          <w:p w14:paraId="20520999">
            <w:pPr>
              <w:pageBreakBefore w:val="0"/>
              <w:widowControl/>
              <w:kinsoku/>
              <w:wordWrap/>
              <w:overflowPunct/>
              <w:topLinePunct w:val="0"/>
              <w:autoSpaceDE/>
              <w:autoSpaceDN/>
              <w:bidi w:val="0"/>
              <w:snapToGrid/>
              <w:spacing w:line="440" w:lineRule="exact"/>
              <w:jc w:val="left"/>
              <w:rPr>
                <w:rFonts w:hint="default" w:ascii="宋体" w:hAnsi="宋体" w:eastAsia="宋体" w:cs="宋体"/>
                <w:b w:val="0"/>
                <w:bCs w:val="0"/>
                <w:color w:val="auto"/>
                <w:kern w:val="0"/>
                <w:sz w:val="22"/>
                <w:szCs w:val="22"/>
                <w:highlight w:val="none"/>
                <w:lang w:val="en-US" w:eastAsia="zh-CN" w:bidi="ar"/>
              </w:rPr>
            </w:pPr>
            <w:r>
              <w:rPr>
                <w:rFonts w:hint="default" w:ascii="宋体" w:hAnsi="宋体" w:eastAsia="宋体" w:cs="宋体"/>
                <w:b w:val="0"/>
                <w:bCs w:val="0"/>
                <w:color w:val="auto"/>
                <w:kern w:val="0"/>
                <w:sz w:val="22"/>
                <w:szCs w:val="22"/>
                <w:highlight w:val="none"/>
                <w:lang w:val="en-US" w:eastAsia="zh-CN" w:bidi="ar"/>
              </w:rPr>
              <w:t>供应商付款方式、交付期、交付地点、质保期均响应要求得4分，响应一项得1分，均不响应不得分。</w:t>
            </w:r>
          </w:p>
        </w:tc>
        <w:tc>
          <w:tcPr>
            <w:tcW w:w="800" w:type="dxa"/>
            <w:noWrap w:val="0"/>
            <w:vAlign w:val="center"/>
          </w:tcPr>
          <w:p w14:paraId="046D21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宋体" w:hAnsi="宋体" w:cs="宋体"/>
                <w:b w:val="0"/>
                <w:bCs w:val="0"/>
                <w:color w:val="auto"/>
                <w:kern w:val="0"/>
                <w:sz w:val="24"/>
                <w:szCs w:val="24"/>
                <w:highlight w:val="none"/>
                <w:lang w:val="en-US" w:eastAsia="zh-CN" w:bidi="ar"/>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tc>
        <w:tc>
          <w:tcPr>
            <w:tcW w:w="1792" w:type="dxa"/>
            <w:noWrap w:val="0"/>
            <w:vAlign w:val="center"/>
          </w:tcPr>
          <w:p w14:paraId="62497BC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szCs w:val="24"/>
                <w:highlight w:val="none"/>
              </w:rPr>
            </w:pPr>
          </w:p>
        </w:tc>
      </w:tr>
      <w:tr w14:paraId="13E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41" w:type="dxa"/>
            <w:noWrap w:val="0"/>
            <w:vAlign w:val="center"/>
          </w:tcPr>
          <w:p w14:paraId="59CB6F6F">
            <w:pPr>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二</w:t>
            </w:r>
          </w:p>
        </w:tc>
        <w:tc>
          <w:tcPr>
            <w:tcW w:w="6179" w:type="dxa"/>
            <w:noWrap w:val="0"/>
            <w:vAlign w:val="center"/>
          </w:tcPr>
          <w:p w14:paraId="64B79014">
            <w:pPr>
              <w:jc w:val="center"/>
              <w:rPr>
                <w:rFonts w:hint="eastAsia" w:ascii="宋体" w:hAnsi="宋体" w:eastAsia="宋体" w:cs="宋体"/>
                <w:b/>
                <w:bCs w:val="0"/>
                <w:color w:val="auto"/>
                <w:sz w:val="24"/>
                <w:highlight w:val="none"/>
                <w:lang w:val="zh-CN"/>
              </w:rPr>
            </w:pPr>
            <w:r>
              <w:rPr>
                <w:rFonts w:hint="eastAsia" w:ascii="宋体" w:hAnsi="宋体" w:eastAsia="宋体" w:cs="宋体"/>
                <w:b/>
                <w:bCs w:val="0"/>
                <w:color w:val="auto"/>
                <w:sz w:val="24"/>
                <w:highlight w:val="none"/>
                <w:lang w:val="zh-CN"/>
              </w:rPr>
              <w:t>技术</w:t>
            </w:r>
          </w:p>
        </w:tc>
        <w:tc>
          <w:tcPr>
            <w:tcW w:w="800" w:type="dxa"/>
            <w:noWrap w:val="0"/>
            <w:vAlign w:val="center"/>
          </w:tcPr>
          <w:p w14:paraId="49EA6627">
            <w:pPr>
              <w:jc w:val="center"/>
              <w:rPr>
                <w:rFonts w:hint="eastAsia" w:ascii="宋体" w:hAnsi="宋体" w:eastAsia="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57</w:t>
            </w:r>
            <w:r>
              <w:rPr>
                <w:rFonts w:hint="eastAsia" w:ascii="宋体" w:hAnsi="宋体" w:eastAsia="宋体" w:cs="宋体"/>
                <w:b/>
                <w:bCs w:val="0"/>
                <w:color w:val="auto"/>
                <w:sz w:val="24"/>
                <w:highlight w:val="none"/>
                <w:lang w:val="en-US" w:eastAsia="zh-CN"/>
              </w:rPr>
              <w:t>分</w:t>
            </w:r>
          </w:p>
        </w:tc>
        <w:tc>
          <w:tcPr>
            <w:tcW w:w="1792" w:type="dxa"/>
            <w:noWrap w:val="0"/>
            <w:vAlign w:val="center"/>
          </w:tcPr>
          <w:p w14:paraId="14360892">
            <w:pPr>
              <w:jc w:val="center"/>
              <w:rPr>
                <w:rFonts w:hint="eastAsia" w:ascii="宋体" w:hAnsi="宋体" w:eastAsia="宋体" w:cs="宋体"/>
                <w:b/>
                <w:bCs w:val="0"/>
                <w:color w:val="auto"/>
                <w:sz w:val="24"/>
                <w:highlight w:val="none"/>
              </w:rPr>
            </w:pPr>
          </w:p>
        </w:tc>
      </w:tr>
      <w:tr w14:paraId="372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41" w:type="dxa"/>
            <w:noWrap w:val="0"/>
            <w:vAlign w:val="center"/>
          </w:tcPr>
          <w:p w14:paraId="1537CF13">
            <w:pPr>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1</w:t>
            </w:r>
          </w:p>
        </w:tc>
        <w:tc>
          <w:tcPr>
            <w:tcW w:w="6179" w:type="dxa"/>
            <w:noWrap w:val="0"/>
            <w:vAlign w:val="center"/>
          </w:tcPr>
          <w:p w14:paraId="6EEBC510">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2"/>
                <w:szCs w:val="22"/>
                <w:highlight w:val="none"/>
                <w:lang w:val="zh-CN" w:eastAsia="zh-CN" w:bidi="ar"/>
              </w:rPr>
            </w:pPr>
            <w:r>
              <w:rPr>
                <w:rFonts w:hint="eastAsia" w:ascii="宋体" w:hAnsi="宋体" w:eastAsia="宋体" w:cs="宋体"/>
                <w:b w:val="0"/>
                <w:bCs w:val="0"/>
                <w:color w:val="auto"/>
                <w:kern w:val="0"/>
                <w:sz w:val="22"/>
                <w:szCs w:val="22"/>
                <w:highlight w:val="none"/>
                <w:lang w:val="zh-CN" w:eastAsia="zh-CN" w:bidi="ar"/>
              </w:rPr>
              <w:t>所投货物的性能、特点满足采购需求。技术参数符合</w:t>
            </w:r>
            <w:r>
              <w:rPr>
                <w:rFonts w:hint="eastAsia" w:ascii="宋体" w:hAnsi="宋体" w:cs="宋体"/>
                <w:b w:val="0"/>
                <w:bCs w:val="0"/>
                <w:color w:val="auto"/>
                <w:kern w:val="0"/>
                <w:sz w:val="22"/>
                <w:szCs w:val="22"/>
                <w:highlight w:val="none"/>
                <w:lang w:val="en-US" w:eastAsia="zh-CN" w:bidi="ar"/>
              </w:rPr>
              <w:t>磋商</w:t>
            </w:r>
            <w:r>
              <w:rPr>
                <w:rFonts w:hint="eastAsia" w:ascii="宋体" w:hAnsi="宋体" w:eastAsia="宋体" w:cs="宋体"/>
                <w:b w:val="0"/>
                <w:bCs w:val="0"/>
                <w:color w:val="auto"/>
                <w:kern w:val="0"/>
                <w:sz w:val="22"/>
                <w:szCs w:val="22"/>
                <w:highlight w:val="none"/>
                <w:lang w:val="zh-CN" w:eastAsia="zh-CN" w:bidi="ar"/>
              </w:rPr>
              <w:t>文件要求没有负偏离得</w:t>
            </w:r>
            <w:r>
              <w:rPr>
                <w:rFonts w:hint="eastAsia" w:ascii="宋体" w:hAnsi="宋体" w:cs="宋体"/>
                <w:b w:val="0"/>
                <w:bCs w:val="0"/>
                <w:color w:val="auto"/>
                <w:kern w:val="0"/>
                <w:sz w:val="22"/>
                <w:szCs w:val="22"/>
                <w:highlight w:val="none"/>
                <w:lang w:val="en-US" w:eastAsia="zh-CN" w:bidi="ar"/>
              </w:rPr>
              <w:t>15.9</w:t>
            </w:r>
            <w:r>
              <w:rPr>
                <w:rFonts w:hint="eastAsia" w:ascii="宋体" w:hAnsi="宋体" w:eastAsia="宋体" w:cs="宋体"/>
                <w:b w:val="0"/>
                <w:bCs w:val="0"/>
                <w:color w:val="auto"/>
                <w:kern w:val="0"/>
                <w:sz w:val="22"/>
                <w:szCs w:val="22"/>
                <w:highlight w:val="none"/>
                <w:lang w:val="zh-CN" w:eastAsia="zh-CN" w:bidi="ar"/>
              </w:rPr>
              <w:t>分；技术参数中每出现1条技术规格指标未实质性响应或负偏离的扣</w:t>
            </w:r>
            <w:r>
              <w:rPr>
                <w:rFonts w:hint="eastAsia" w:ascii="宋体" w:hAnsi="宋体" w:cs="宋体"/>
                <w:b w:val="0"/>
                <w:bCs w:val="0"/>
                <w:color w:val="auto"/>
                <w:kern w:val="0"/>
                <w:sz w:val="22"/>
                <w:szCs w:val="22"/>
                <w:highlight w:val="none"/>
                <w:lang w:val="en-US" w:eastAsia="zh-CN" w:bidi="ar"/>
              </w:rPr>
              <w:t>0.1</w:t>
            </w:r>
            <w:r>
              <w:rPr>
                <w:rFonts w:hint="eastAsia" w:ascii="宋体" w:hAnsi="宋体" w:eastAsia="宋体" w:cs="宋体"/>
                <w:b w:val="0"/>
                <w:bCs w:val="0"/>
                <w:color w:val="auto"/>
                <w:kern w:val="0"/>
                <w:sz w:val="22"/>
                <w:szCs w:val="22"/>
                <w:highlight w:val="none"/>
                <w:lang w:val="zh-CN" w:eastAsia="zh-CN" w:bidi="ar"/>
              </w:rPr>
              <w:t>分，扣完为止。</w:t>
            </w:r>
          </w:p>
        </w:tc>
        <w:tc>
          <w:tcPr>
            <w:tcW w:w="800" w:type="dxa"/>
            <w:noWrap w:val="0"/>
            <w:vAlign w:val="center"/>
          </w:tcPr>
          <w:p w14:paraId="53224970">
            <w:pPr>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15.9</w:t>
            </w:r>
            <w:r>
              <w:rPr>
                <w:rFonts w:hint="eastAsia" w:ascii="宋体" w:hAnsi="宋体" w:eastAsia="宋体" w:cs="宋体"/>
                <w:b w:val="0"/>
                <w:bCs w:val="0"/>
                <w:color w:val="auto"/>
                <w:kern w:val="0"/>
                <w:sz w:val="24"/>
                <w:szCs w:val="24"/>
                <w:highlight w:val="none"/>
                <w:lang w:val="en-US" w:eastAsia="zh-CN" w:bidi="ar"/>
              </w:rPr>
              <w:t>分</w:t>
            </w:r>
          </w:p>
        </w:tc>
        <w:tc>
          <w:tcPr>
            <w:tcW w:w="1792" w:type="dxa"/>
            <w:noWrap w:val="0"/>
            <w:vAlign w:val="center"/>
          </w:tcPr>
          <w:p w14:paraId="2474BE81">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4"/>
                <w:szCs w:val="24"/>
                <w:highlight w:val="none"/>
                <w:lang w:val="zh-CN" w:eastAsia="zh-CN" w:bidi="ar"/>
              </w:rPr>
            </w:pPr>
          </w:p>
        </w:tc>
      </w:tr>
      <w:tr w14:paraId="1697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41" w:type="dxa"/>
            <w:noWrap w:val="0"/>
            <w:vAlign w:val="center"/>
          </w:tcPr>
          <w:p w14:paraId="55A69988">
            <w:pPr>
              <w:pageBreakBefore w:val="0"/>
              <w:widowControl/>
              <w:kinsoku/>
              <w:wordWrap/>
              <w:overflowPunct/>
              <w:topLinePunct w:val="0"/>
              <w:autoSpaceDE/>
              <w:autoSpaceDN/>
              <w:bidi w:val="0"/>
              <w:snapToGrid/>
              <w:spacing w:line="440" w:lineRule="exact"/>
              <w:jc w:val="center"/>
              <w:rPr>
                <w:rFonts w:hint="default" w:ascii="宋体" w:hAnsi="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2</w:t>
            </w:r>
          </w:p>
        </w:tc>
        <w:tc>
          <w:tcPr>
            <w:tcW w:w="6179" w:type="dxa"/>
            <w:noWrap w:val="0"/>
            <w:vAlign w:val="center"/>
          </w:tcPr>
          <w:p w14:paraId="14EB619C">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2"/>
                <w:szCs w:val="22"/>
                <w:highlight w:val="none"/>
                <w:lang w:val="zh-CN" w:eastAsia="zh-CN" w:bidi="ar"/>
              </w:rPr>
            </w:pPr>
            <w:r>
              <w:rPr>
                <w:rFonts w:hint="eastAsia" w:ascii="宋体" w:hAnsi="宋体" w:eastAsia="宋体" w:cs="宋体"/>
                <w:b w:val="0"/>
                <w:bCs w:val="0"/>
                <w:color w:val="auto"/>
                <w:kern w:val="0"/>
                <w:sz w:val="22"/>
                <w:szCs w:val="22"/>
                <w:highlight w:val="none"/>
                <w:lang w:val="zh-CN" w:eastAsia="zh-CN" w:bidi="ar"/>
              </w:rPr>
              <w:t xml:space="preserve">根据投标人所制定的实施方案 </w:t>
            </w:r>
            <w:r>
              <w:rPr>
                <w:rFonts w:hint="eastAsia" w:ascii="宋体" w:hAnsi="宋体" w:cs="宋体"/>
                <w:b w:val="0"/>
                <w:bCs w:val="0"/>
                <w:color w:val="auto"/>
                <w:kern w:val="0"/>
                <w:sz w:val="22"/>
                <w:szCs w:val="22"/>
                <w:highlight w:val="none"/>
                <w:lang w:val="zh-CN" w:eastAsia="zh-CN" w:bidi="ar"/>
              </w:rPr>
              <w:t>（</w:t>
            </w:r>
            <w:r>
              <w:rPr>
                <w:rFonts w:hint="eastAsia" w:ascii="宋体" w:hAnsi="宋体" w:eastAsia="宋体" w:cs="宋体"/>
                <w:b w:val="0"/>
                <w:bCs w:val="0"/>
                <w:color w:val="auto"/>
                <w:kern w:val="0"/>
                <w:sz w:val="22"/>
                <w:szCs w:val="22"/>
                <w:highlight w:val="none"/>
                <w:lang w:val="zh-CN" w:eastAsia="zh-CN" w:bidi="ar"/>
              </w:rPr>
              <w:t>包含供货方案、</w:t>
            </w:r>
            <w:r>
              <w:rPr>
                <w:rFonts w:hint="eastAsia" w:ascii="宋体" w:hAnsi="宋体" w:eastAsia="宋体" w:cs="宋体"/>
                <w:b w:val="0"/>
                <w:bCs w:val="0"/>
                <w:color w:val="auto"/>
                <w:kern w:val="0"/>
                <w:sz w:val="22"/>
                <w:szCs w:val="22"/>
                <w:highlight w:val="none"/>
                <w:lang w:val="en-US" w:eastAsia="zh-CN" w:bidi="ar"/>
              </w:rPr>
              <w:t>配送</w:t>
            </w:r>
            <w:r>
              <w:rPr>
                <w:rFonts w:hint="eastAsia" w:ascii="宋体" w:hAnsi="宋体" w:eastAsia="宋体" w:cs="宋体"/>
                <w:b w:val="0"/>
                <w:bCs w:val="0"/>
                <w:color w:val="auto"/>
                <w:kern w:val="0"/>
                <w:sz w:val="22"/>
                <w:szCs w:val="22"/>
                <w:highlight w:val="none"/>
                <w:lang w:val="zh-CN" w:eastAsia="zh-CN" w:bidi="ar"/>
              </w:rPr>
              <w:t>方案、验收方案</w:t>
            </w:r>
            <w:r>
              <w:rPr>
                <w:rFonts w:hint="eastAsia" w:ascii="宋体" w:hAnsi="宋体" w:cs="宋体"/>
                <w:b w:val="0"/>
                <w:bCs w:val="0"/>
                <w:color w:val="auto"/>
                <w:kern w:val="0"/>
                <w:sz w:val="22"/>
                <w:szCs w:val="22"/>
                <w:highlight w:val="none"/>
                <w:lang w:val="zh-CN" w:eastAsia="zh-CN" w:bidi="ar"/>
              </w:rPr>
              <w:t>）</w:t>
            </w:r>
            <w:r>
              <w:rPr>
                <w:rFonts w:hint="eastAsia" w:ascii="宋体" w:hAnsi="宋体" w:eastAsia="宋体" w:cs="宋体"/>
                <w:b w:val="0"/>
                <w:bCs w:val="0"/>
                <w:color w:val="auto"/>
                <w:kern w:val="0"/>
                <w:sz w:val="22"/>
                <w:szCs w:val="22"/>
                <w:highlight w:val="none"/>
                <w:lang w:val="zh-CN" w:eastAsia="zh-CN" w:bidi="ar"/>
              </w:rPr>
              <w:t xml:space="preserve"> 进行综合打分：实施方案详细，内容完整、条理清晰、重点突出，具有合理性、针对性、可行性。1.货物保证：保证货品是全新的、未使用过</w:t>
            </w:r>
            <w:r>
              <w:rPr>
                <w:rFonts w:hint="eastAsia" w:ascii="宋体" w:hAnsi="宋体" w:cs="宋体"/>
                <w:b w:val="0"/>
                <w:bCs w:val="0"/>
                <w:color w:val="auto"/>
                <w:kern w:val="0"/>
                <w:sz w:val="22"/>
                <w:szCs w:val="22"/>
                <w:highlight w:val="none"/>
                <w:lang w:val="zh-CN" w:eastAsia="zh-CN" w:bidi="ar"/>
              </w:rPr>
              <w:t>的</w:t>
            </w:r>
            <w:r>
              <w:rPr>
                <w:rFonts w:hint="eastAsia" w:ascii="宋体" w:hAnsi="宋体" w:eastAsia="宋体" w:cs="宋体"/>
                <w:b w:val="0"/>
                <w:bCs w:val="0"/>
                <w:color w:val="auto"/>
                <w:kern w:val="0"/>
                <w:sz w:val="22"/>
                <w:szCs w:val="22"/>
                <w:highlight w:val="none"/>
                <w:lang w:val="zh-CN" w:eastAsia="zh-CN" w:bidi="ar"/>
              </w:rPr>
              <w:t>，是经过合法渠道进货的原装合格正品，完全符合规定的质量、规格和性能的要求；2.货物检验：出货前有专人对货品的质量、规格、数量，物品的表面、配备备品备件等物品详细检查，不出现规格、数量不符现象；3.货品运输：货品包装装车措施可以达到运输途中遇到减振、冲击、卸货过程中完好无损；4.货品验收：按照合同履约时间送达到指定地方，外观良好，数量、规格、各项证书齐全，达到验收标准；5.对物品备品备件的</w:t>
            </w:r>
            <w:r>
              <w:rPr>
                <w:rFonts w:hint="eastAsia" w:ascii="宋体" w:hAnsi="宋体" w:eastAsia="宋体" w:cs="宋体"/>
                <w:b w:val="0"/>
                <w:bCs w:val="0"/>
                <w:color w:val="auto"/>
                <w:kern w:val="0"/>
                <w:sz w:val="22"/>
                <w:szCs w:val="22"/>
                <w:highlight w:val="none"/>
                <w:lang w:val="en-US" w:eastAsia="zh-CN" w:bidi="ar"/>
              </w:rPr>
              <w:t>安排</w:t>
            </w:r>
            <w:r>
              <w:rPr>
                <w:rFonts w:hint="eastAsia" w:ascii="宋体" w:hAnsi="宋体" w:eastAsia="宋体" w:cs="宋体"/>
                <w:b w:val="0"/>
                <w:bCs w:val="0"/>
                <w:color w:val="auto"/>
                <w:kern w:val="0"/>
                <w:sz w:val="22"/>
                <w:szCs w:val="22"/>
                <w:highlight w:val="none"/>
                <w:lang w:val="zh-CN" w:eastAsia="zh-CN" w:bidi="ar"/>
              </w:rPr>
              <w:t>、使用、操作等技术要求，有专业人员讲解；</w:t>
            </w:r>
            <w:r>
              <w:rPr>
                <w:rFonts w:hint="eastAsia" w:ascii="宋体" w:hAnsi="宋体" w:eastAsia="宋体" w:cs="宋体"/>
                <w:b w:val="0"/>
                <w:bCs w:val="0"/>
                <w:smallCaps w:val="0"/>
                <w:color w:val="auto"/>
                <w:kern w:val="0"/>
                <w:sz w:val="22"/>
                <w:szCs w:val="22"/>
                <w:highlight w:val="none"/>
                <w:lang w:val="en-US" w:eastAsia="zh-CN" w:bidi="ar"/>
              </w:rPr>
              <w:t>针对本项目制定的</w:t>
            </w:r>
            <w:r>
              <w:rPr>
                <w:rFonts w:hint="eastAsia" w:ascii="宋体" w:hAnsi="宋体" w:eastAsia="宋体" w:cs="宋体"/>
                <w:b w:val="0"/>
                <w:bCs w:val="0"/>
                <w:smallCaps w:val="0"/>
                <w:color w:val="auto"/>
                <w:kern w:val="0"/>
                <w:sz w:val="22"/>
                <w:szCs w:val="22"/>
                <w:highlight w:val="none"/>
                <w:lang w:val="zh-CN" w:eastAsia="zh-CN" w:bidi="ar"/>
              </w:rPr>
              <w:t>实施</w:t>
            </w:r>
            <w:r>
              <w:rPr>
                <w:rFonts w:hint="eastAsia" w:ascii="宋体" w:hAnsi="宋体" w:eastAsia="宋体" w:cs="宋体"/>
                <w:b w:val="0"/>
                <w:bCs w:val="0"/>
                <w:smallCaps w:val="0"/>
                <w:color w:val="auto"/>
                <w:kern w:val="0"/>
                <w:sz w:val="22"/>
                <w:szCs w:val="22"/>
                <w:highlight w:val="none"/>
                <w:lang w:val="en-US" w:eastAsia="zh-CN" w:bidi="ar"/>
              </w:rPr>
              <w:t>方案详细</w:t>
            </w:r>
            <w:r>
              <w:rPr>
                <w:rFonts w:hint="eastAsia" w:ascii="宋体" w:hAnsi="宋体" w:eastAsia="宋体" w:cs="宋体"/>
                <w:b w:val="0"/>
                <w:bCs w:val="0"/>
                <w:smallCaps w:val="0"/>
                <w:color w:val="auto"/>
                <w:kern w:val="0"/>
                <w:sz w:val="22"/>
                <w:szCs w:val="22"/>
                <w:highlight w:val="none"/>
                <w:lang w:val="zh-CN" w:eastAsia="zh-CN" w:bidi="ar"/>
              </w:rPr>
              <w:t>、</w:t>
            </w:r>
            <w:r>
              <w:rPr>
                <w:rFonts w:hint="eastAsia" w:ascii="宋体" w:hAnsi="宋体" w:eastAsia="宋体" w:cs="宋体"/>
                <w:b w:val="0"/>
                <w:bCs w:val="0"/>
                <w:smallCaps w:val="0"/>
                <w:color w:val="auto"/>
                <w:kern w:val="0"/>
                <w:sz w:val="22"/>
                <w:szCs w:val="22"/>
                <w:highlight w:val="none"/>
                <w:lang w:val="en-US" w:eastAsia="zh-CN" w:bidi="ar"/>
              </w:rPr>
              <w:t>内容完整</w:t>
            </w:r>
            <w:r>
              <w:rPr>
                <w:rFonts w:hint="eastAsia" w:ascii="宋体" w:hAnsi="宋体" w:eastAsia="宋体" w:cs="宋体"/>
                <w:b w:val="0"/>
                <w:bCs w:val="0"/>
                <w:smallCaps w:val="0"/>
                <w:color w:val="auto"/>
                <w:kern w:val="0"/>
                <w:sz w:val="22"/>
                <w:szCs w:val="22"/>
                <w:highlight w:val="none"/>
                <w:lang w:val="zh-CN" w:eastAsia="zh-CN" w:bidi="ar"/>
              </w:rPr>
              <w:t>、</w:t>
            </w:r>
            <w:r>
              <w:rPr>
                <w:rFonts w:hint="eastAsia" w:ascii="宋体" w:hAnsi="宋体" w:cs="宋体"/>
                <w:b w:val="0"/>
                <w:bCs w:val="0"/>
                <w:smallCaps w:val="0"/>
                <w:color w:val="auto"/>
                <w:kern w:val="0"/>
                <w:sz w:val="22"/>
                <w:szCs w:val="22"/>
                <w:highlight w:val="none"/>
                <w:lang w:val="en-US" w:eastAsia="zh-CN" w:bidi="ar"/>
              </w:rPr>
              <w:t>条理</w:t>
            </w:r>
            <w:r>
              <w:rPr>
                <w:rFonts w:hint="eastAsia" w:ascii="宋体" w:hAnsi="宋体" w:eastAsia="宋体" w:cs="宋体"/>
                <w:b w:val="0"/>
                <w:bCs w:val="0"/>
                <w:smallCaps w:val="0"/>
                <w:color w:val="auto"/>
                <w:kern w:val="0"/>
                <w:sz w:val="22"/>
                <w:szCs w:val="22"/>
                <w:highlight w:val="none"/>
                <w:lang w:val="en-US" w:eastAsia="zh-CN" w:bidi="ar"/>
              </w:rPr>
              <w:t>清晰、突出重点、供货</w:t>
            </w:r>
            <w:r>
              <w:rPr>
                <w:rFonts w:hint="eastAsia" w:ascii="宋体" w:hAnsi="宋体" w:eastAsia="宋体" w:cs="宋体"/>
                <w:b w:val="0"/>
                <w:bCs w:val="0"/>
                <w:smallCaps w:val="0"/>
                <w:color w:val="auto"/>
                <w:kern w:val="0"/>
                <w:sz w:val="22"/>
                <w:szCs w:val="22"/>
                <w:highlight w:val="none"/>
                <w:lang w:val="zh-CN" w:eastAsia="zh-CN" w:bidi="ar"/>
              </w:rPr>
              <w:t>进度安排合理，且针对性强、完全符合或优于采购实际需求的得</w:t>
            </w:r>
            <w:r>
              <w:rPr>
                <w:rFonts w:hint="eastAsia" w:ascii="宋体" w:hAnsi="宋体" w:eastAsia="宋体" w:cs="宋体"/>
                <w:b w:val="0"/>
                <w:bCs w:val="0"/>
                <w:smallCaps w:val="0"/>
                <w:color w:val="auto"/>
                <w:kern w:val="0"/>
                <w:sz w:val="22"/>
                <w:szCs w:val="22"/>
                <w:highlight w:val="none"/>
                <w:lang w:val="en-US" w:eastAsia="zh-CN" w:bidi="ar"/>
              </w:rPr>
              <w:t>1</w:t>
            </w:r>
            <w:r>
              <w:rPr>
                <w:rFonts w:hint="eastAsia" w:ascii="宋体" w:hAnsi="宋体" w:cs="宋体"/>
                <w:b w:val="0"/>
                <w:bCs w:val="0"/>
                <w:smallCaps w:val="0"/>
                <w:color w:val="auto"/>
                <w:kern w:val="0"/>
                <w:sz w:val="22"/>
                <w:szCs w:val="22"/>
                <w:highlight w:val="none"/>
                <w:lang w:val="en-US" w:eastAsia="zh-CN" w:bidi="ar"/>
              </w:rPr>
              <w:t>3</w:t>
            </w:r>
            <w:r>
              <w:rPr>
                <w:rFonts w:hint="eastAsia" w:ascii="宋体" w:hAnsi="宋体" w:eastAsia="宋体" w:cs="宋体"/>
                <w:b w:val="0"/>
                <w:bCs w:val="0"/>
                <w:smallCaps w:val="0"/>
                <w:color w:val="auto"/>
                <w:kern w:val="0"/>
                <w:sz w:val="22"/>
                <w:szCs w:val="22"/>
                <w:highlight w:val="none"/>
                <w:lang w:val="zh-CN" w:eastAsia="zh-CN" w:bidi="ar"/>
              </w:rPr>
              <w:t>分；</w:t>
            </w:r>
            <w:r>
              <w:rPr>
                <w:rFonts w:hint="eastAsia" w:ascii="宋体" w:hAnsi="宋体" w:eastAsia="宋体" w:cs="宋体"/>
                <w:b w:val="0"/>
                <w:bCs w:val="0"/>
                <w:smallCaps w:val="0"/>
                <w:color w:val="auto"/>
                <w:kern w:val="0"/>
                <w:sz w:val="22"/>
                <w:szCs w:val="22"/>
                <w:highlight w:val="none"/>
                <w:lang w:val="en-US" w:eastAsia="zh-CN" w:bidi="ar"/>
              </w:rPr>
              <w:t>实施方案能够满足本项目要求，但内容不够详实，有一定</w:t>
            </w:r>
            <w:r>
              <w:rPr>
                <w:rFonts w:hint="eastAsia" w:ascii="宋体" w:hAnsi="宋体" w:cs="宋体"/>
                <w:b w:val="0"/>
                <w:bCs w:val="0"/>
                <w:smallCaps w:val="0"/>
                <w:color w:val="auto"/>
                <w:kern w:val="0"/>
                <w:sz w:val="22"/>
                <w:szCs w:val="22"/>
                <w:highlight w:val="none"/>
                <w:lang w:val="en-US" w:eastAsia="zh-CN" w:bidi="ar"/>
              </w:rPr>
              <w:t>可行性</w:t>
            </w:r>
            <w:r>
              <w:rPr>
                <w:rFonts w:hint="eastAsia" w:ascii="宋体" w:hAnsi="宋体" w:eastAsia="宋体" w:cs="宋体"/>
                <w:b w:val="0"/>
                <w:bCs w:val="0"/>
                <w:smallCaps w:val="0"/>
                <w:color w:val="auto"/>
                <w:kern w:val="0"/>
                <w:sz w:val="22"/>
                <w:szCs w:val="22"/>
                <w:highlight w:val="none"/>
                <w:lang w:val="en-US" w:eastAsia="zh-CN" w:bidi="ar"/>
              </w:rPr>
              <w:t>的得1</w:t>
            </w:r>
            <w:r>
              <w:rPr>
                <w:rFonts w:hint="eastAsia" w:ascii="宋体" w:hAnsi="宋体" w:cs="宋体"/>
                <w:b w:val="0"/>
                <w:bCs w:val="0"/>
                <w:smallCaps w:val="0"/>
                <w:color w:val="auto"/>
                <w:kern w:val="0"/>
                <w:sz w:val="22"/>
                <w:szCs w:val="22"/>
                <w:highlight w:val="none"/>
                <w:lang w:val="en-US" w:eastAsia="zh-CN" w:bidi="ar"/>
              </w:rPr>
              <w:t>0</w:t>
            </w:r>
            <w:r>
              <w:rPr>
                <w:rFonts w:hint="eastAsia" w:ascii="宋体" w:hAnsi="宋体" w:eastAsia="宋体" w:cs="宋体"/>
                <w:b w:val="0"/>
                <w:bCs w:val="0"/>
                <w:smallCaps w:val="0"/>
                <w:color w:val="auto"/>
                <w:kern w:val="0"/>
                <w:sz w:val="22"/>
                <w:szCs w:val="22"/>
                <w:highlight w:val="none"/>
                <w:lang w:val="en-US" w:eastAsia="zh-CN" w:bidi="ar"/>
              </w:rPr>
              <w:t>分，实施方案有明显漏洞，内容存在明显缺失的</w:t>
            </w:r>
            <w:r>
              <w:rPr>
                <w:rFonts w:hint="eastAsia" w:ascii="宋体" w:hAnsi="宋体" w:cs="宋体"/>
                <w:b w:val="0"/>
                <w:bCs w:val="0"/>
                <w:smallCaps w:val="0"/>
                <w:color w:val="auto"/>
                <w:kern w:val="0"/>
                <w:sz w:val="22"/>
                <w:szCs w:val="22"/>
                <w:highlight w:val="none"/>
                <w:lang w:val="en-US" w:eastAsia="zh-CN" w:bidi="ar"/>
              </w:rPr>
              <w:t>，尚且可行的</w:t>
            </w:r>
            <w:r>
              <w:rPr>
                <w:rFonts w:hint="eastAsia" w:ascii="宋体" w:hAnsi="宋体" w:eastAsia="宋体" w:cs="宋体"/>
                <w:b w:val="0"/>
                <w:bCs w:val="0"/>
                <w:smallCaps w:val="0"/>
                <w:color w:val="auto"/>
                <w:kern w:val="0"/>
                <w:sz w:val="22"/>
                <w:szCs w:val="22"/>
                <w:highlight w:val="none"/>
                <w:lang w:val="en-US" w:eastAsia="zh-CN" w:bidi="ar"/>
              </w:rPr>
              <w:t>得</w:t>
            </w:r>
            <w:r>
              <w:rPr>
                <w:rFonts w:hint="eastAsia" w:ascii="宋体" w:hAnsi="宋体" w:cs="宋体"/>
                <w:b w:val="0"/>
                <w:bCs w:val="0"/>
                <w:smallCaps w:val="0"/>
                <w:color w:val="auto"/>
                <w:kern w:val="0"/>
                <w:sz w:val="22"/>
                <w:szCs w:val="22"/>
                <w:highlight w:val="none"/>
                <w:lang w:val="en-US" w:eastAsia="zh-CN" w:bidi="ar"/>
              </w:rPr>
              <w:t>6</w:t>
            </w:r>
            <w:r>
              <w:rPr>
                <w:rFonts w:hint="eastAsia" w:ascii="宋体" w:hAnsi="宋体" w:eastAsia="宋体" w:cs="宋体"/>
                <w:b w:val="0"/>
                <w:bCs w:val="0"/>
                <w:smallCaps w:val="0"/>
                <w:color w:val="auto"/>
                <w:kern w:val="0"/>
                <w:sz w:val="22"/>
                <w:szCs w:val="22"/>
                <w:highlight w:val="none"/>
                <w:lang w:val="en-US" w:eastAsia="zh-CN" w:bidi="ar"/>
              </w:rPr>
              <w:t>分，实施方案完全不能满足项目要求的得</w:t>
            </w:r>
            <w:r>
              <w:rPr>
                <w:rFonts w:hint="eastAsia" w:ascii="宋体" w:hAnsi="宋体" w:cs="宋体"/>
                <w:b w:val="0"/>
                <w:bCs w:val="0"/>
                <w:smallCaps w:val="0"/>
                <w:color w:val="auto"/>
                <w:kern w:val="0"/>
                <w:sz w:val="22"/>
                <w:szCs w:val="22"/>
                <w:highlight w:val="none"/>
                <w:lang w:val="en-US" w:eastAsia="zh-CN" w:bidi="ar"/>
              </w:rPr>
              <w:t>3</w:t>
            </w:r>
            <w:r>
              <w:rPr>
                <w:rFonts w:hint="eastAsia" w:ascii="宋体" w:hAnsi="宋体" w:eastAsia="宋体" w:cs="宋体"/>
                <w:b w:val="0"/>
                <w:bCs w:val="0"/>
                <w:smallCaps w:val="0"/>
                <w:color w:val="auto"/>
                <w:kern w:val="0"/>
                <w:sz w:val="22"/>
                <w:szCs w:val="22"/>
                <w:highlight w:val="none"/>
                <w:lang w:val="en-US" w:eastAsia="zh-CN" w:bidi="ar"/>
              </w:rPr>
              <w:t>分，</w:t>
            </w:r>
            <w:r>
              <w:rPr>
                <w:rFonts w:hint="eastAsia" w:ascii="宋体" w:hAnsi="宋体" w:cs="宋体"/>
                <w:b w:val="0"/>
                <w:bCs w:val="0"/>
                <w:color w:val="auto"/>
                <w:kern w:val="0"/>
                <w:sz w:val="22"/>
                <w:szCs w:val="22"/>
                <w:highlight w:val="none"/>
                <w:lang w:val="en-US" w:eastAsia="zh-CN" w:bidi="ar"/>
              </w:rPr>
              <w:t>不提供</w:t>
            </w:r>
            <w:r>
              <w:rPr>
                <w:rFonts w:hint="eastAsia" w:ascii="宋体" w:hAnsi="宋体" w:eastAsia="宋体" w:cs="宋体"/>
                <w:b w:val="0"/>
                <w:bCs w:val="0"/>
                <w:color w:val="auto"/>
                <w:kern w:val="0"/>
                <w:sz w:val="22"/>
                <w:szCs w:val="22"/>
                <w:highlight w:val="none"/>
                <w:lang w:val="zh-CN" w:eastAsia="zh-CN" w:bidi="ar"/>
              </w:rPr>
              <w:t>不得分。</w:t>
            </w:r>
          </w:p>
        </w:tc>
        <w:tc>
          <w:tcPr>
            <w:tcW w:w="800" w:type="dxa"/>
            <w:noWrap w:val="0"/>
            <w:vAlign w:val="center"/>
          </w:tcPr>
          <w:p w14:paraId="550BD082">
            <w:pPr>
              <w:pageBreakBefore w:val="0"/>
              <w:widowControl/>
              <w:kinsoku/>
              <w:wordWrap/>
              <w:overflowPunct/>
              <w:topLinePunct w:val="0"/>
              <w:autoSpaceDE/>
              <w:autoSpaceDN/>
              <w:bidi w:val="0"/>
              <w:snapToGrid/>
              <w:spacing w:line="440" w:lineRule="exact"/>
              <w:jc w:val="center"/>
              <w:rPr>
                <w:rFonts w:hint="default" w:ascii="宋体" w:hAnsi="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13</w:t>
            </w:r>
          </w:p>
        </w:tc>
        <w:tc>
          <w:tcPr>
            <w:tcW w:w="1792" w:type="dxa"/>
            <w:noWrap w:val="0"/>
            <w:vAlign w:val="center"/>
          </w:tcPr>
          <w:p w14:paraId="78CA2060">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4"/>
                <w:szCs w:val="24"/>
                <w:highlight w:val="none"/>
                <w:lang w:val="zh-CN" w:eastAsia="zh-CN" w:bidi="ar"/>
              </w:rPr>
            </w:pPr>
          </w:p>
        </w:tc>
      </w:tr>
      <w:tr w14:paraId="440E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41" w:type="dxa"/>
            <w:noWrap w:val="0"/>
            <w:vAlign w:val="center"/>
          </w:tcPr>
          <w:p w14:paraId="78DBAC4F">
            <w:pPr>
              <w:pageBreakBefore w:val="0"/>
              <w:widowControl/>
              <w:kinsoku/>
              <w:wordWrap/>
              <w:overflowPunct/>
              <w:topLinePunct w:val="0"/>
              <w:autoSpaceDE/>
              <w:autoSpaceDN/>
              <w:bidi w:val="0"/>
              <w:snapToGrid/>
              <w:spacing w:line="440" w:lineRule="exact"/>
              <w:jc w:val="center"/>
              <w:rPr>
                <w:rFonts w:hint="eastAsia" w:ascii="宋体" w:hAnsi="宋体" w:cs="宋体"/>
                <w:b w:val="0"/>
                <w:bCs w:val="0"/>
                <w:color w:val="auto"/>
                <w:kern w:val="0"/>
                <w:sz w:val="24"/>
                <w:szCs w:val="24"/>
                <w:highlight w:val="none"/>
                <w:lang w:val="en-US" w:eastAsia="zh-CN" w:bidi="ar"/>
              </w:rPr>
            </w:pPr>
          </w:p>
        </w:tc>
        <w:tc>
          <w:tcPr>
            <w:tcW w:w="6179" w:type="dxa"/>
            <w:noWrap w:val="0"/>
            <w:vAlign w:val="center"/>
          </w:tcPr>
          <w:p w14:paraId="7D39D0AA">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2"/>
                <w:szCs w:val="22"/>
                <w:highlight w:val="none"/>
                <w:lang w:val="zh-CN" w:eastAsia="zh-CN" w:bidi="ar"/>
              </w:rPr>
            </w:pPr>
            <w:r>
              <w:rPr>
                <w:rFonts w:hint="eastAsia" w:ascii="宋体" w:hAnsi="宋体" w:eastAsia="宋体" w:cs="宋体"/>
                <w:b w:val="0"/>
                <w:bCs w:val="0"/>
                <w:color w:val="auto"/>
                <w:kern w:val="0"/>
                <w:sz w:val="22"/>
                <w:szCs w:val="22"/>
                <w:highlight w:val="none"/>
                <w:lang w:val="zh-CN" w:eastAsia="zh-CN" w:bidi="ar"/>
              </w:rPr>
              <w:t>质量保证与管理：根据质量保证体系和管理措施的完备性、针对性、可行性进行评分。质量保证体系和管理措施</w:t>
            </w:r>
            <w:r>
              <w:rPr>
                <w:rFonts w:hint="eastAsia" w:ascii="宋体" w:hAnsi="宋体" w:eastAsia="宋体" w:cs="宋体"/>
                <w:b w:val="0"/>
                <w:bCs w:val="0"/>
                <w:smallCaps w:val="0"/>
                <w:color w:val="auto"/>
                <w:kern w:val="0"/>
                <w:sz w:val="22"/>
                <w:szCs w:val="22"/>
                <w:highlight w:val="none"/>
                <w:lang w:val="zh-CN" w:eastAsia="zh-CN" w:bidi="ar"/>
              </w:rPr>
              <w:t>完全符合或优于采购实际需求的得</w:t>
            </w:r>
            <w:r>
              <w:rPr>
                <w:rFonts w:hint="eastAsia" w:ascii="宋体" w:hAnsi="宋体" w:cs="宋体"/>
                <w:b w:val="0"/>
                <w:bCs w:val="0"/>
                <w:color w:val="auto"/>
                <w:kern w:val="0"/>
                <w:sz w:val="22"/>
                <w:szCs w:val="22"/>
                <w:highlight w:val="none"/>
                <w:lang w:val="en-US" w:eastAsia="zh-CN" w:bidi="ar"/>
              </w:rPr>
              <w:t>13</w:t>
            </w:r>
            <w:r>
              <w:rPr>
                <w:rFonts w:hint="eastAsia" w:ascii="宋体" w:hAnsi="宋体" w:eastAsia="宋体" w:cs="宋体"/>
                <w:b w:val="0"/>
                <w:bCs w:val="0"/>
                <w:color w:val="auto"/>
                <w:kern w:val="0"/>
                <w:sz w:val="22"/>
                <w:szCs w:val="22"/>
                <w:highlight w:val="none"/>
                <w:lang w:val="zh-CN" w:eastAsia="zh-CN" w:bidi="ar"/>
              </w:rPr>
              <w:t>分；质量保证体系和管理措施内容</w:t>
            </w:r>
            <w:r>
              <w:rPr>
                <w:rFonts w:hint="eastAsia" w:ascii="宋体" w:hAnsi="宋体" w:eastAsia="宋体" w:cs="宋体"/>
                <w:b w:val="0"/>
                <w:bCs w:val="0"/>
                <w:smallCaps w:val="0"/>
                <w:color w:val="auto"/>
                <w:kern w:val="0"/>
                <w:sz w:val="22"/>
                <w:szCs w:val="22"/>
                <w:highlight w:val="none"/>
                <w:lang w:val="en-US" w:eastAsia="zh-CN" w:bidi="ar"/>
              </w:rPr>
              <w:t>能够满足本项目要求，但内容不够详实，有一定</w:t>
            </w:r>
            <w:r>
              <w:rPr>
                <w:rFonts w:hint="eastAsia" w:ascii="宋体" w:hAnsi="宋体" w:cs="宋体"/>
                <w:b w:val="0"/>
                <w:bCs w:val="0"/>
                <w:smallCaps w:val="0"/>
                <w:color w:val="auto"/>
                <w:kern w:val="0"/>
                <w:sz w:val="22"/>
                <w:szCs w:val="22"/>
                <w:highlight w:val="none"/>
                <w:lang w:val="en-US" w:eastAsia="zh-CN" w:bidi="ar"/>
              </w:rPr>
              <w:t>可行性</w:t>
            </w:r>
            <w:r>
              <w:rPr>
                <w:rFonts w:hint="eastAsia" w:ascii="宋体" w:hAnsi="宋体" w:eastAsia="宋体" w:cs="宋体"/>
                <w:b w:val="0"/>
                <w:bCs w:val="0"/>
                <w:smallCaps w:val="0"/>
                <w:color w:val="auto"/>
                <w:kern w:val="0"/>
                <w:sz w:val="22"/>
                <w:szCs w:val="22"/>
                <w:highlight w:val="none"/>
                <w:lang w:val="en-US" w:eastAsia="zh-CN" w:bidi="ar"/>
              </w:rPr>
              <w:t>的得</w:t>
            </w:r>
            <w:r>
              <w:rPr>
                <w:rFonts w:hint="eastAsia" w:ascii="宋体" w:hAnsi="宋体" w:cs="宋体"/>
                <w:b w:val="0"/>
                <w:bCs w:val="0"/>
                <w:color w:val="auto"/>
                <w:kern w:val="0"/>
                <w:sz w:val="22"/>
                <w:szCs w:val="22"/>
                <w:highlight w:val="none"/>
                <w:lang w:val="en-US" w:eastAsia="zh-CN" w:bidi="ar"/>
              </w:rPr>
              <w:t>10</w:t>
            </w:r>
            <w:r>
              <w:rPr>
                <w:rFonts w:hint="eastAsia" w:ascii="宋体" w:hAnsi="宋体" w:eastAsia="宋体" w:cs="宋体"/>
                <w:b w:val="0"/>
                <w:bCs w:val="0"/>
                <w:color w:val="auto"/>
                <w:kern w:val="0"/>
                <w:sz w:val="22"/>
                <w:szCs w:val="22"/>
                <w:highlight w:val="none"/>
                <w:lang w:val="zh-CN" w:eastAsia="zh-CN" w:bidi="ar"/>
              </w:rPr>
              <w:t>分；质量保证体系和管理措施内容</w:t>
            </w:r>
            <w:r>
              <w:rPr>
                <w:rFonts w:hint="eastAsia" w:ascii="宋体" w:hAnsi="宋体" w:eastAsia="宋体" w:cs="宋体"/>
                <w:b w:val="0"/>
                <w:bCs w:val="0"/>
                <w:smallCaps w:val="0"/>
                <w:color w:val="auto"/>
                <w:kern w:val="0"/>
                <w:sz w:val="22"/>
                <w:szCs w:val="22"/>
                <w:highlight w:val="none"/>
                <w:lang w:val="en-US" w:eastAsia="zh-CN" w:bidi="ar"/>
              </w:rPr>
              <w:t>有明显漏洞，内容存在明显缺失</w:t>
            </w:r>
            <w:r>
              <w:rPr>
                <w:rFonts w:hint="eastAsia" w:ascii="宋体" w:hAnsi="宋体" w:cs="宋体"/>
                <w:b w:val="0"/>
                <w:bCs w:val="0"/>
                <w:smallCaps w:val="0"/>
                <w:color w:val="auto"/>
                <w:kern w:val="0"/>
                <w:sz w:val="22"/>
                <w:szCs w:val="22"/>
                <w:highlight w:val="none"/>
                <w:lang w:val="en-US" w:eastAsia="zh-CN" w:bidi="ar"/>
              </w:rPr>
              <w:t>，尚且可行</w:t>
            </w:r>
            <w:r>
              <w:rPr>
                <w:rFonts w:hint="eastAsia" w:ascii="宋体" w:hAnsi="宋体" w:eastAsia="宋体" w:cs="宋体"/>
                <w:b w:val="0"/>
                <w:bCs w:val="0"/>
                <w:smallCaps w:val="0"/>
                <w:color w:val="auto"/>
                <w:kern w:val="0"/>
                <w:sz w:val="22"/>
                <w:szCs w:val="22"/>
                <w:highlight w:val="none"/>
                <w:lang w:val="en-US" w:eastAsia="zh-CN" w:bidi="ar"/>
              </w:rPr>
              <w:t>的得</w:t>
            </w:r>
            <w:r>
              <w:rPr>
                <w:rFonts w:hint="eastAsia" w:ascii="宋体" w:hAnsi="宋体" w:cs="宋体"/>
                <w:b w:val="0"/>
                <w:bCs w:val="0"/>
                <w:color w:val="auto"/>
                <w:kern w:val="0"/>
                <w:sz w:val="22"/>
                <w:szCs w:val="22"/>
                <w:highlight w:val="none"/>
                <w:lang w:val="en-US" w:eastAsia="zh-CN" w:bidi="ar"/>
              </w:rPr>
              <w:t>6</w:t>
            </w:r>
            <w:r>
              <w:rPr>
                <w:rFonts w:hint="eastAsia" w:ascii="宋体" w:hAnsi="宋体" w:eastAsia="宋体" w:cs="宋体"/>
                <w:b w:val="0"/>
                <w:bCs w:val="0"/>
                <w:color w:val="auto"/>
                <w:kern w:val="0"/>
                <w:sz w:val="22"/>
                <w:szCs w:val="22"/>
                <w:highlight w:val="none"/>
                <w:lang w:val="zh-CN" w:eastAsia="zh-CN" w:bidi="ar"/>
              </w:rPr>
              <w:t>分；质量保证体系和管理措施内容</w:t>
            </w:r>
            <w:r>
              <w:rPr>
                <w:rFonts w:hint="eastAsia" w:ascii="宋体" w:hAnsi="宋体" w:eastAsia="宋体" w:cs="宋体"/>
                <w:b w:val="0"/>
                <w:bCs w:val="0"/>
                <w:smallCaps w:val="0"/>
                <w:color w:val="auto"/>
                <w:kern w:val="0"/>
                <w:sz w:val="22"/>
                <w:szCs w:val="22"/>
                <w:highlight w:val="none"/>
                <w:lang w:val="en-US" w:eastAsia="zh-CN" w:bidi="ar"/>
              </w:rPr>
              <w:t>完全不能满足项目要求的得</w:t>
            </w:r>
            <w:r>
              <w:rPr>
                <w:rFonts w:hint="eastAsia" w:ascii="宋体" w:hAnsi="宋体" w:cs="宋体"/>
                <w:b w:val="0"/>
                <w:bCs w:val="0"/>
                <w:color w:val="auto"/>
                <w:kern w:val="0"/>
                <w:sz w:val="22"/>
                <w:szCs w:val="22"/>
                <w:highlight w:val="none"/>
                <w:lang w:val="en-US" w:eastAsia="zh-CN" w:bidi="ar"/>
              </w:rPr>
              <w:t>3</w:t>
            </w:r>
            <w:r>
              <w:rPr>
                <w:rFonts w:hint="eastAsia" w:ascii="宋体" w:hAnsi="宋体" w:eastAsia="宋体" w:cs="宋体"/>
                <w:b w:val="0"/>
                <w:bCs w:val="0"/>
                <w:color w:val="auto"/>
                <w:kern w:val="0"/>
                <w:sz w:val="22"/>
                <w:szCs w:val="22"/>
                <w:highlight w:val="none"/>
                <w:lang w:val="en-US" w:eastAsia="zh-CN" w:bidi="ar"/>
              </w:rPr>
              <w:t>分，</w:t>
            </w:r>
            <w:r>
              <w:rPr>
                <w:rFonts w:hint="eastAsia" w:ascii="宋体" w:hAnsi="宋体" w:eastAsia="宋体" w:cs="宋体"/>
                <w:b w:val="0"/>
                <w:bCs w:val="0"/>
                <w:color w:val="auto"/>
                <w:kern w:val="0"/>
                <w:sz w:val="22"/>
                <w:szCs w:val="22"/>
                <w:highlight w:val="none"/>
                <w:lang w:val="zh-CN" w:eastAsia="zh-CN" w:bidi="ar"/>
              </w:rPr>
              <w:t xml:space="preserve">不提供不得分。 </w:t>
            </w:r>
          </w:p>
        </w:tc>
        <w:tc>
          <w:tcPr>
            <w:tcW w:w="800" w:type="dxa"/>
            <w:noWrap w:val="0"/>
            <w:vAlign w:val="center"/>
          </w:tcPr>
          <w:p w14:paraId="7DF74ECB">
            <w:pPr>
              <w:pageBreakBefore w:val="0"/>
              <w:widowControl/>
              <w:kinsoku/>
              <w:wordWrap/>
              <w:overflowPunct/>
              <w:topLinePunct w:val="0"/>
              <w:autoSpaceDE/>
              <w:autoSpaceDN/>
              <w:bidi w:val="0"/>
              <w:snapToGrid/>
              <w:spacing w:line="440" w:lineRule="exact"/>
              <w:jc w:val="center"/>
              <w:rPr>
                <w:rFonts w:hint="default" w:ascii="宋体" w:hAnsi="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13</w:t>
            </w:r>
          </w:p>
        </w:tc>
        <w:tc>
          <w:tcPr>
            <w:tcW w:w="1792" w:type="dxa"/>
            <w:noWrap w:val="0"/>
            <w:vAlign w:val="center"/>
          </w:tcPr>
          <w:p w14:paraId="062F4A16">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4"/>
                <w:szCs w:val="24"/>
                <w:highlight w:val="none"/>
                <w:lang w:val="zh-CN" w:eastAsia="zh-CN" w:bidi="ar"/>
              </w:rPr>
            </w:pPr>
          </w:p>
        </w:tc>
      </w:tr>
      <w:tr w14:paraId="27B6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41" w:type="dxa"/>
            <w:noWrap w:val="0"/>
            <w:vAlign w:val="center"/>
          </w:tcPr>
          <w:p w14:paraId="5960EB9F">
            <w:pPr>
              <w:pageBreakBefore w:val="0"/>
              <w:kinsoku/>
              <w:wordWrap/>
              <w:overflowPunct/>
              <w:topLinePunct w:val="0"/>
              <w:autoSpaceDE/>
              <w:autoSpaceDN/>
              <w:bidi w:val="0"/>
              <w:snapToGrid/>
              <w:spacing w:line="440" w:lineRule="exact"/>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w:t>
            </w:r>
          </w:p>
        </w:tc>
        <w:tc>
          <w:tcPr>
            <w:tcW w:w="6179" w:type="dxa"/>
            <w:noWrap w:val="0"/>
            <w:vAlign w:val="center"/>
          </w:tcPr>
          <w:p w14:paraId="010CD9EE">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2"/>
                <w:szCs w:val="22"/>
                <w:highlight w:val="none"/>
                <w:lang w:val="zh-CN" w:eastAsia="zh-CN" w:bidi="ar"/>
              </w:rPr>
            </w:pPr>
            <w:r>
              <w:rPr>
                <w:rFonts w:hint="eastAsia" w:ascii="宋体" w:hAnsi="宋体" w:eastAsia="宋体" w:cs="宋体"/>
                <w:b w:val="0"/>
                <w:bCs w:val="0"/>
                <w:color w:val="auto"/>
                <w:kern w:val="0"/>
                <w:sz w:val="22"/>
                <w:szCs w:val="22"/>
                <w:highlight w:val="none"/>
                <w:lang w:val="zh-CN" w:eastAsia="zh-CN" w:bidi="ar"/>
              </w:rPr>
              <w:t>售后服务方案齐全，包含但不限于以下内容：售后服务承诺书、售后服务内容、应急预案、时间安排、售后服务优惠措施、备品备件库、售后服务流程、售后服务规范等，以上内容全部制定，</w:t>
            </w:r>
            <w:r>
              <w:rPr>
                <w:rFonts w:hint="eastAsia" w:ascii="宋体" w:hAnsi="宋体" w:eastAsia="宋体" w:cs="宋体"/>
                <w:b w:val="0"/>
                <w:bCs w:val="0"/>
                <w:smallCaps w:val="0"/>
                <w:color w:val="auto"/>
                <w:kern w:val="0"/>
                <w:sz w:val="22"/>
                <w:szCs w:val="22"/>
                <w:highlight w:val="none"/>
                <w:lang w:val="zh-CN" w:eastAsia="zh-CN" w:bidi="ar"/>
              </w:rPr>
              <w:t>完全符合或优于采购实际需求的得</w:t>
            </w:r>
            <w:r>
              <w:rPr>
                <w:rFonts w:hint="eastAsia" w:ascii="宋体" w:hAnsi="宋体" w:eastAsia="宋体" w:cs="宋体"/>
                <w:b w:val="0"/>
                <w:bCs w:val="0"/>
                <w:color w:val="auto"/>
                <w:kern w:val="0"/>
                <w:sz w:val="22"/>
                <w:szCs w:val="22"/>
                <w:highlight w:val="none"/>
                <w:lang w:val="zh-CN" w:eastAsia="zh-CN" w:bidi="ar"/>
              </w:rPr>
              <w:t>15</w:t>
            </w:r>
            <w:r>
              <w:rPr>
                <w:rFonts w:hint="eastAsia" w:ascii="宋体" w:hAnsi="宋体" w:cs="宋体"/>
                <w:b w:val="0"/>
                <w:bCs w:val="0"/>
                <w:color w:val="auto"/>
                <w:kern w:val="0"/>
                <w:sz w:val="22"/>
                <w:szCs w:val="22"/>
                <w:highlight w:val="none"/>
                <w:lang w:val="en-US" w:eastAsia="zh-CN" w:bidi="ar"/>
              </w:rPr>
              <w:t>.1</w:t>
            </w:r>
            <w:r>
              <w:rPr>
                <w:rFonts w:hint="eastAsia" w:ascii="宋体" w:hAnsi="宋体" w:eastAsia="宋体" w:cs="宋体"/>
                <w:b w:val="0"/>
                <w:bCs w:val="0"/>
                <w:color w:val="auto"/>
                <w:kern w:val="0"/>
                <w:sz w:val="22"/>
                <w:szCs w:val="22"/>
                <w:highlight w:val="none"/>
                <w:lang w:val="zh-CN" w:eastAsia="zh-CN" w:bidi="ar"/>
              </w:rPr>
              <w:t>分；以上内容制定能够满足招标文件要求，</w:t>
            </w:r>
            <w:r>
              <w:rPr>
                <w:rFonts w:hint="eastAsia" w:ascii="宋体" w:hAnsi="宋体" w:cs="宋体"/>
                <w:b w:val="0"/>
                <w:bCs w:val="0"/>
                <w:smallCaps w:val="0"/>
                <w:color w:val="auto"/>
                <w:kern w:val="0"/>
                <w:sz w:val="22"/>
                <w:szCs w:val="22"/>
                <w:highlight w:val="none"/>
                <w:lang w:val="en-US" w:eastAsia="zh-CN" w:bidi="ar"/>
              </w:rPr>
              <w:t>具</w:t>
            </w:r>
            <w:r>
              <w:rPr>
                <w:rFonts w:hint="eastAsia" w:ascii="宋体" w:hAnsi="宋体" w:eastAsia="宋体" w:cs="宋体"/>
                <w:b w:val="0"/>
                <w:bCs w:val="0"/>
                <w:smallCaps w:val="0"/>
                <w:color w:val="auto"/>
                <w:kern w:val="0"/>
                <w:sz w:val="22"/>
                <w:szCs w:val="22"/>
                <w:highlight w:val="none"/>
                <w:lang w:val="en-US" w:eastAsia="zh-CN" w:bidi="ar"/>
              </w:rPr>
              <w:t>有一定</w:t>
            </w:r>
            <w:r>
              <w:rPr>
                <w:rFonts w:hint="eastAsia" w:ascii="宋体" w:hAnsi="宋体" w:cs="宋体"/>
                <w:b w:val="0"/>
                <w:bCs w:val="0"/>
                <w:smallCaps w:val="0"/>
                <w:color w:val="auto"/>
                <w:kern w:val="0"/>
                <w:sz w:val="22"/>
                <w:szCs w:val="22"/>
                <w:highlight w:val="none"/>
                <w:lang w:val="en-US" w:eastAsia="zh-CN" w:bidi="ar"/>
              </w:rPr>
              <w:t>可行性</w:t>
            </w:r>
            <w:r>
              <w:rPr>
                <w:rFonts w:hint="eastAsia" w:ascii="宋体" w:hAnsi="宋体" w:eastAsia="宋体" w:cs="宋体"/>
                <w:b w:val="0"/>
                <w:bCs w:val="0"/>
                <w:smallCaps w:val="0"/>
                <w:color w:val="auto"/>
                <w:kern w:val="0"/>
                <w:sz w:val="22"/>
                <w:szCs w:val="22"/>
                <w:highlight w:val="none"/>
                <w:lang w:val="en-US" w:eastAsia="zh-CN" w:bidi="ar"/>
              </w:rPr>
              <w:t>的得</w:t>
            </w:r>
            <w:r>
              <w:rPr>
                <w:rFonts w:hint="eastAsia" w:ascii="宋体" w:hAnsi="宋体" w:cs="宋体"/>
                <w:b w:val="0"/>
                <w:bCs w:val="0"/>
                <w:color w:val="auto"/>
                <w:kern w:val="0"/>
                <w:sz w:val="22"/>
                <w:szCs w:val="22"/>
                <w:highlight w:val="none"/>
                <w:lang w:val="en-US" w:eastAsia="zh-CN" w:bidi="ar"/>
              </w:rPr>
              <w:t>11</w:t>
            </w:r>
            <w:r>
              <w:rPr>
                <w:rFonts w:hint="eastAsia" w:ascii="宋体" w:hAnsi="宋体" w:eastAsia="宋体" w:cs="宋体"/>
                <w:b w:val="0"/>
                <w:bCs w:val="0"/>
                <w:color w:val="auto"/>
                <w:kern w:val="0"/>
                <w:sz w:val="22"/>
                <w:szCs w:val="22"/>
                <w:highlight w:val="none"/>
                <w:lang w:val="zh-CN" w:eastAsia="zh-CN" w:bidi="ar"/>
              </w:rPr>
              <w:t>分；售后服务方案</w:t>
            </w:r>
            <w:r>
              <w:rPr>
                <w:rFonts w:hint="eastAsia" w:ascii="宋体" w:hAnsi="宋体" w:eastAsia="宋体" w:cs="宋体"/>
                <w:b w:val="0"/>
                <w:bCs w:val="0"/>
                <w:color w:val="auto"/>
                <w:kern w:val="0"/>
                <w:sz w:val="22"/>
                <w:szCs w:val="22"/>
                <w:highlight w:val="none"/>
                <w:lang w:val="en-US" w:eastAsia="zh-CN" w:bidi="ar"/>
              </w:rPr>
              <w:t>有</w:t>
            </w:r>
            <w:r>
              <w:rPr>
                <w:rFonts w:hint="eastAsia" w:ascii="宋体" w:hAnsi="宋体" w:eastAsia="宋体" w:cs="宋体"/>
                <w:b w:val="0"/>
                <w:bCs w:val="0"/>
                <w:smallCaps w:val="0"/>
                <w:color w:val="auto"/>
                <w:kern w:val="0"/>
                <w:sz w:val="22"/>
                <w:szCs w:val="22"/>
                <w:highlight w:val="none"/>
                <w:lang w:val="en-US" w:eastAsia="zh-CN" w:bidi="ar"/>
              </w:rPr>
              <w:t>明显漏洞，内容存在明显缺失</w:t>
            </w:r>
            <w:r>
              <w:rPr>
                <w:rFonts w:hint="eastAsia" w:ascii="宋体" w:hAnsi="宋体" w:cs="宋体"/>
                <w:b w:val="0"/>
                <w:bCs w:val="0"/>
                <w:smallCaps w:val="0"/>
                <w:color w:val="auto"/>
                <w:kern w:val="0"/>
                <w:sz w:val="22"/>
                <w:szCs w:val="22"/>
                <w:highlight w:val="none"/>
                <w:lang w:val="en-US" w:eastAsia="zh-CN" w:bidi="ar"/>
              </w:rPr>
              <w:t>，尚且可行</w:t>
            </w:r>
            <w:r>
              <w:rPr>
                <w:rFonts w:hint="eastAsia" w:ascii="宋体" w:hAnsi="宋体" w:eastAsia="宋体" w:cs="宋体"/>
                <w:b w:val="0"/>
                <w:bCs w:val="0"/>
                <w:smallCaps w:val="0"/>
                <w:color w:val="auto"/>
                <w:kern w:val="0"/>
                <w:sz w:val="22"/>
                <w:szCs w:val="22"/>
                <w:highlight w:val="none"/>
                <w:lang w:val="en-US" w:eastAsia="zh-CN" w:bidi="ar"/>
              </w:rPr>
              <w:t>的得</w:t>
            </w:r>
            <w:r>
              <w:rPr>
                <w:rFonts w:hint="eastAsia" w:ascii="宋体" w:hAnsi="宋体" w:cs="宋体"/>
                <w:b w:val="0"/>
                <w:bCs w:val="0"/>
                <w:color w:val="auto"/>
                <w:kern w:val="0"/>
                <w:sz w:val="22"/>
                <w:szCs w:val="22"/>
                <w:highlight w:val="none"/>
                <w:lang w:val="en-US" w:eastAsia="zh-CN" w:bidi="ar"/>
              </w:rPr>
              <w:t>7</w:t>
            </w:r>
            <w:r>
              <w:rPr>
                <w:rFonts w:hint="eastAsia" w:ascii="宋体" w:hAnsi="宋体" w:eastAsia="宋体" w:cs="宋体"/>
                <w:b w:val="0"/>
                <w:bCs w:val="0"/>
                <w:color w:val="auto"/>
                <w:kern w:val="0"/>
                <w:sz w:val="22"/>
                <w:szCs w:val="22"/>
                <w:highlight w:val="none"/>
                <w:lang w:val="zh-CN" w:eastAsia="zh-CN" w:bidi="ar"/>
              </w:rPr>
              <w:t>分；内容</w:t>
            </w:r>
            <w:r>
              <w:rPr>
                <w:rFonts w:hint="eastAsia" w:ascii="宋体" w:hAnsi="宋体" w:eastAsia="宋体" w:cs="宋体"/>
                <w:b w:val="0"/>
                <w:bCs w:val="0"/>
                <w:smallCaps w:val="0"/>
                <w:color w:val="auto"/>
                <w:kern w:val="0"/>
                <w:sz w:val="22"/>
                <w:szCs w:val="22"/>
                <w:highlight w:val="none"/>
                <w:lang w:val="en-US" w:eastAsia="zh-CN" w:bidi="ar"/>
              </w:rPr>
              <w:t>完全不能满足项目要求的得</w:t>
            </w:r>
            <w:r>
              <w:rPr>
                <w:rFonts w:hint="eastAsia" w:ascii="宋体" w:hAnsi="宋体" w:cs="宋体"/>
                <w:b w:val="0"/>
                <w:bCs w:val="0"/>
                <w:color w:val="auto"/>
                <w:kern w:val="0"/>
                <w:sz w:val="22"/>
                <w:szCs w:val="22"/>
                <w:highlight w:val="none"/>
                <w:lang w:val="en-US" w:eastAsia="zh-CN" w:bidi="ar"/>
              </w:rPr>
              <w:t>3</w:t>
            </w:r>
            <w:r>
              <w:rPr>
                <w:rFonts w:hint="eastAsia" w:ascii="宋体" w:hAnsi="宋体" w:eastAsia="宋体" w:cs="宋体"/>
                <w:b w:val="0"/>
                <w:bCs w:val="0"/>
                <w:color w:val="auto"/>
                <w:kern w:val="0"/>
                <w:sz w:val="22"/>
                <w:szCs w:val="22"/>
                <w:highlight w:val="none"/>
                <w:lang w:val="zh-CN" w:eastAsia="zh-CN" w:bidi="ar"/>
              </w:rPr>
              <w:t>分；</w:t>
            </w:r>
            <w:r>
              <w:rPr>
                <w:rFonts w:hint="eastAsia" w:ascii="宋体" w:hAnsi="宋体" w:cs="宋体"/>
                <w:b w:val="0"/>
                <w:bCs w:val="0"/>
                <w:color w:val="auto"/>
                <w:kern w:val="0"/>
                <w:sz w:val="22"/>
                <w:szCs w:val="22"/>
                <w:highlight w:val="none"/>
                <w:lang w:val="en-US" w:eastAsia="zh-CN" w:bidi="ar"/>
              </w:rPr>
              <w:t>不提供</w:t>
            </w:r>
            <w:r>
              <w:rPr>
                <w:rFonts w:hint="eastAsia" w:ascii="宋体" w:hAnsi="宋体" w:eastAsia="宋体" w:cs="宋体"/>
                <w:b w:val="0"/>
                <w:bCs w:val="0"/>
                <w:color w:val="auto"/>
                <w:kern w:val="0"/>
                <w:sz w:val="22"/>
                <w:szCs w:val="22"/>
                <w:highlight w:val="none"/>
                <w:lang w:val="zh-CN" w:eastAsia="zh-CN" w:bidi="ar"/>
              </w:rPr>
              <w:t>不得分。</w:t>
            </w:r>
          </w:p>
        </w:tc>
        <w:tc>
          <w:tcPr>
            <w:tcW w:w="800" w:type="dxa"/>
            <w:noWrap w:val="0"/>
            <w:vAlign w:val="center"/>
          </w:tcPr>
          <w:p w14:paraId="0F3FE50A">
            <w:pPr>
              <w:pageBreakBefore w:val="0"/>
              <w:kinsoku/>
              <w:wordWrap/>
              <w:overflowPunct/>
              <w:topLinePunct w:val="0"/>
              <w:autoSpaceDE/>
              <w:autoSpaceDN/>
              <w:bidi w:val="0"/>
              <w:snapToGrid/>
              <w:spacing w:line="44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15.1分</w:t>
            </w:r>
          </w:p>
        </w:tc>
        <w:tc>
          <w:tcPr>
            <w:tcW w:w="1792" w:type="dxa"/>
            <w:noWrap w:val="0"/>
            <w:vAlign w:val="center"/>
          </w:tcPr>
          <w:p w14:paraId="7F8D5C1A">
            <w:pPr>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4"/>
                <w:szCs w:val="24"/>
                <w:highlight w:val="none"/>
                <w:lang w:val="zh-CN" w:eastAsia="zh-CN" w:bidi="ar"/>
              </w:rPr>
            </w:pPr>
          </w:p>
        </w:tc>
      </w:tr>
      <w:tr w14:paraId="6453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1" w:type="dxa"/>
            <w:noWrap w:val="0"/>
            <w:vAlign w:val="center"/>
          </w:tcPr>
          <w:p w14:paraId="4A6209E3">
            <w:pPr>
              <w:pageBreakBefore w:val="0"/>
              <w:kinsoku/>
              <w:wordWrap/>
              <w:overflowPunct/>
              <w:topLinePunct w:val="0"/>
              <w:autoSpaceDE/>
              <w:autoSpaceDN/>
              <w:bidi w:val="0"/>
              <w:snapToGrid/>
              <w:spacing w:line="440" w:lineRule="exact"/>
              <w:jc w:val="center"/>
              <w:rPr>
                <w:rFonts w:hint="eastAsia" w:ascii="宋体" w:hAnsi="宋体" w:eastAsia="宋体" w:cs="宋体"/>
                <w:b/>
                <w:color w:val="auto"/>
                <w:sz w:val="24"/>
                <w:highlight w:val="none"/>
              </w:rPr>
            </w:pPr>
            <w:r>
              <w:rPr>
                <w:rFonts w:hint="eastAsia" w:ascii="宋体" w:hAnsi="宋体" w:eastAsia="宋体" w:cs="宋体"/>
                <w:b/>
                <w:bCs w:val="0"/>
                <w:color w:val="auto"/>
                <w:sz w:val="24"/>
                <w:highlight w:val="none"/>
              </w:rPr>
              <w:t>三</w:t>
            </w:r>
          </w:p>
        </w:tc>
        <w:tc>
          <w:tcPr>
            <w:tcW w:w="6179" w:type="dxa"/>
            <w:noWrap w:val="0"/>
            <w:vAlign w:val="center"/>
          </w:tcPr>
          <w:p w14:paraId="6D7A5963">
            <w:pPr>
              <w:pageBreakBefore w:val="0"/>
              <w:kinsoku/>
              <w:wordWrap/>
              <w:overflowPunct/>
              <w:topLinePunct w:val="0"/>
              <w:autoSpaceDE/>
              <w:autoSpaceDN/>
              <w:bidi w:val="0"/>
              <w:snapToGrid/>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2592" w:type="dxa"/>
            <w:gridSpan w:val="2"/>
            <w:noWrap w:val="0"/>
            <w:vAlign w:val="center"/>
          </w:tcPr>
          <w:p w14:paraId="1B33D8D3">
            <w:pPr>
              <w:pageBreakBefore w:val="0"/>
              <w:kinsoku/>
              <w:wordWrap/>
              <w:overflowPunct/>
              <w:topLinePunct w:val="0"/>
              <w:autoSpaceDE/>
              <w:autoSpaceDN/>
              <w:bidi w:val="0"/>
              <w:snapToGrid/>
              <w:spacing w:line="440" w:lineRule="exac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30</w:t>
            </w:r>
            <w:r>
              <w:rPr>
                <w:rFonts w:hint="eastAsia" w:ascii="宋体" w:hAnsi="宋体" w:eastAsia="宋体" w:cs="宋体"/>
                <w:b/>
                <w:color w:val="auto"/>
                <w:sz w:val="24"/>
                <w:highlight w:val="none"/>
                <w:lang w:val="en-US" w:eastAsia="zh-CN"/>
              </w:rPr>
              <w:t>分</w:t>
            </w:r>
          </w:p>
        </w:tc>
      </w:tr>
      <w:tr w14:paraId="4D3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noWrap w:val="0"/>
            <w:vAlign w:val="center"/>
          </w:tcPr>
          <w:p w14:paraId="16B89111">
            <w:pPr>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6179" w:type="dxa"/>
            <w:noWrap w:val="0"/>
            <w:vAlign w:val="center"/>
          </w:tcPr>
          <w:p w14:paraId="67447966">
            <w:pPr>
              <w:pageBreakBefore w:val="0"/>
              <w:kinsoku/>
              <w:wordWrap/>
              <w:overflowPunct/>
              <w:topLinePunct w:val="0"/>
              <w:autoSpaceDE/>
              <w:autoSpaceDN/>
              <w:bidi w:val="0"/>
              <w:snapToGrid/>
              <w:spacing w:line="440" w:lineRule="exact"/>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zh-CN" w:eastAsia="zh-CN" w:bidi="ar"/>
              </w:rPr>
              <w:t>采用低价优先法计算，即满足磋商文件要求且磋商价格最低的投标报价为磋商基准价，其价格分为满分。磋商报价得分＝（磋商基准价/最后磋商报价）×30%×100，注：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c>
          <w:tcPr>
            <w:tcW w:w="2592" w:type="dxa"/>
            <w:gridSpan w:val="2"/>
            <w:noWrap w:val="0"/>
            <w:vAlign w:val="center"/>
          </w:tcPr>
          <w:p w14:paraId="607B218D">
            <w:pPr>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供应商报价：</w:t>
            </w:r>
            <w:r>
              <w:rPr>
                <w:rFonts w:hint="eastAsia" w:ascii="宋体" w:hAnsi="宋体" w:eastAsia="宋体" w:cs="宋体"/>
                <w:color w:val="auto"/>
                <w:sz w:val="24"/>
                <w:highlight w:val="none"/>
                <w:u w:val="single"/>
              </w:rPr>
              <w:t xml:space="preserve">             </w:t>
            </w:r>
          </w:p>
          <w:p w14:paraId="66CF6E3E">
            <w:pPr>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评标基准价：</w:t>
            </w:r>
            <w:r>
              <w:rPr>
                <w:rFonts w:hint="eastAsia" w:ascii="宋体" w:hAnsi="宋体" w:eastAsia="宋体" w:cs="宋体"/>
                <w:color w:val="auto"/>
                <w:sz w:val="24"/>
                <w:highlight w:val="none"/>
                <w:u w:val="single"/>
              </w:rPr>
              <w:t xml:space="preserve">              </w:t>
            </w:r>
          </w:p>
        </w:tc>
      </w:tr>
    </w:tbl>
    <w:p w14:paraId="1033D6A5">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特别说明：供应商须将此“综合评分页码对照表”编制到磋商响应性文件商务部分中，且必须准确填写分值证明文件在磋商响应性文件中相对应的页码，对于不填写页码或页码填写有误，影响得分的概不负责。</w:t>
      </w:r>
    </w:p>
    <w:bookmarkEnd w:id="43"/>
    <w:bookmarkEnd w:id="386"/>
    <w:p w14:paraId="4D082F3C">
      <w:pPr>
        <w:spacing w:line="360" w:lineRule="auto"/>
        <w:ind w:firstLine="472" w:firstLineChars="196"/>
        <w:jc w:val="left"/>
        <w:rPr>
          <w:rFonts w:hint="eastAsia" w:ascii="宋体" w:hAnsi="宋体" w:eastAsia="宋体" w:cs="宋体"/>
          <w:b/>
          <w:color w:val="000000"/>
          <w:sz w:val="24"/>
          <w:highlight w:val="none"/>
        </w:rPr>
      </w:pPr>
      <w:bookmarkStart w:id="397" w:name="_Toc390084402"/>
      <w:bookmarkStart w:id="398" w:name="_Toc390084942"/>
      <w:bookmarkStart w:id="399" w:name="_Toc390078436"/>
      <w:bookmarkStart w:id="400" w:name="_Toc390084878"/>
      <w:bookmarkStart w:id="401" w:name="_Toc389731547"/>
      <w:bookmarkStart w:id="402" w:name="_Toc365208833"/>
      <w:bookmarkStart w:id="403" w:name="_Toc352938603"/>
      <w:bookmarkStart w:id="404" w:name="_Toc304794545"/>
      <w:bookmarkStart w:id="405" w:name="_Toc352939538"/>
      <w:bookmarkStart w:id="406" w:name="_Toc352938393"/>
      <w:bookmarkStart w:id="407" w:name="_Toc365216566"/>
      <w:bookmarkStart w:id="408" w:name="_Toc304793816"/>
      <w:bookmarkStart w:id="409" w:name="_Toc365208972"/>
      <w:bookmarkStart w:id="410" w:name="_Toc373314704"/>
      <w:bookmarkStart w:id="411" w:name="_Toc352938907"/>
      <w:bookmarkStart w:id="412" w:name="_Toc352939482"/>
      <w:r>
        <w:rPr>
          <w:rFonts w:hint="eastAsia" w:ascii="宋体" w:hAnsi="宋体" w:eastAsia="宋体" w:cs="宋体"/>
          <w:b/>
          <w:color w:val="000000"/>
          <w:sz w:val="24"/>
          <w:highlight w:val="none"/>
        </w:rPr>
        <w:t>2.政府采购政策评审要求</w:t>
      </w:r>
    </w:p>
    <w:p w14:paraId="385F75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413" w:name="_Toc397067902"/>
      <w:r>
        <w:rPr>
          <w:rFonts w:hint="eastAsia" w:ascii="宋体" w:hAnsi="宋体" w:eastAsia="宋体" w:cs="宋体"/>
          <w:color w:val="auto"/>
          <w:kern w:val="2"/>
          <w:sz w:val="24"/>
          <w:szCs w:val="24"/>
          <w:highlight w:val="none"/>
          <w:lang w:val="en-US" w:eastAsia="zh-CN" w:bidi="ar-SA"/>
        </w:rPr>
        <w:t>（1）根据财政部发布的《政府采购促进中小企业发展管理办法》</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财库〔2020〕46号、财政部司法部关于政府采购支持监狱企业发展有关问题的通知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w:t>
      </w:r>
      <w:r>
        <w:rPr>
          <w:rFonts w:hint="eastAsia" w:ascii="宋体" w:hAnsi="宋体" w:cs="宋体"/>
          <w:color w:val="auto"/>
          <w:kern w:val="2"/>
          <w:sz w:val="24"/>
          <w:szCs w:val="24"/>
          <w:highlight w:val="none"/>
          <w:lang w:val="en-US" w:eastAsia="zh-CN" w:bidi="ar-SA"/>
        </w:rPr>
        <w:t>〔2014〕68号</w:t>
      </w:r>
      <w:r>
        <w:rPr>
          <w:rFonts w:hint="eastAsia" w:ascii="宋体" w:hAnsi="宋体" w:eastAsia="宋体" w:cs="宋体"/>
          <w:color w:val="auto"/>
          <w:kern w:val="2"/>
          <w:sz w:val="24"/>
          <w:szCs w:val="24"/>
          <w:highlight w:val="none"/>
          <w:lang w:val="en-US" w:eastAsia="zh-CN" w:bidi="ar-SA"/>
        </w:rPr>
        <w:t>、财政部、民政部、中国残疾人联合会发布的《关于促进残疾人就业政府采购政策的通知》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w:t>
      </w:r>
      <w:r>
        <w:rPr>
          <w:rFonts w:hint="eastAsia" w:ascii="宋体" w:hAnsi="宋体" w:cs="宋体"/>
          <w:color w:val="auto"/>
          <w:kern w:val="2"/>
          <w:sz w:val="24"/>
          <w:szCs w:val="24"/>
          <w:highlight w:val="none"/>
          <w:lang w:val="en-US" w:eastAsia="zh-CN" w:bidi="ar-SA"/>
        </w:rPr>
        <w:t>〔2017〕141号</w:t>
      </w:r>
      <w:r>
        <w:rPr>
          <w:rFonts w:hint="eastAsia" w:ascii="宋体" w:hAnsi="宋体" w:eastAsia="宋体" w:cs="宋体"/>
          <w:color w:val="auto"/>
          <w:kern w:val="2"/>
          <w:sz w:val="24"/>
          <w:szCs w:val="24"/>
          <w:highlight w:val="none"/>
          <w:lang w:val="en-US" w:eastAsia="zh-CN" w:bidi="ar-SA"/>
        </w:rPr>
        <w:t>规定、《关于进一步加大政府采购支持中小企业力度的通知》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w:t>
      </w:r>
      <w:r>
        <w:rPr>
          <w:rFonts w:hint="eastAsia" w:ascii="宋体" w:hAnsi="宋体" w:cs="宋体"/>
          <w:color w:val="auto"/>
          <w:kern w:val="2"/>
          <w:sz w:val="24"/>
          <w:szCs w:val="24"/>
          <w:highlight w:val="none"/>
          <w:lang w:val="en-US" w:eastAsia="zh-CN" w:bidi="ar-SA"/>
        </w:rPr>
        <w:t>〔2022〕19号</w:t>
      </w:r>
      <w:r>
        <w:rPr>
          <w:rFonts w:hint="eastAsia" w:ascii="宋体" w:hAnsi="宋体" w:eastAsia="宋体" w:cs="宋体"/>
          <w:color w:val="auto"/>
          <w:kern w:val="2"/>
          <w:sz w:val="24"/>
          <w:szCs w:val="24"/>
          <w:highlight w:val="none"/>
          <w:lang w:val="en-US" w:eastAsia="zh-CN" w:bidi="ar-SA"/>
        </w:rPr>
        <w:t xml:space="preserve">，本项目专门面向中小型企业采购，对价格不进行优惠扣除（残疾人福利性单位、监狱企业视同为小型企业）； </w:t>
      </w:r>
    </w:p>
    <w:p w14:paraId="21CAC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（2）根据《节能产品政府采购实施意见》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w:t>
      </w:r>
      <w:r>
        <w:rPr>
          <w:rFonts w:hint="eastAsia" w:ascii="宋体" w:hAnsi="宋体" w:cs="宋体"/>
          <w:color w:val="auto"/>
          <w:kern w:val="2"/>
          <w:sz w:val="24"/>
          <w:szCs w:val="24"/>
          <w:highlight w:val="none"/>
          <w:lang w:val="en-US" w:eastAsia="zh-CN" w:bidi="ar-SA"/>
        </w:rPr>
        <w:t>〔2004〕185号、</w:t>
      </w:r>
      <w:r>
        <w:rPr>
          <w:rFonts w:hint="eastAsia" w:ascii="宋体" w:hAnsi="宋体" w:eastAsia="宋体" w:cs="宋体"/>
          <w:color w:val="auto"/>
          <w:kern w:val="2"/>
          <w:sz w:val="24"/>
          <w:szCs w:val="24"/>
          <w:highlight w:val="none"/>
          <w:lang w:val="en-US" w:eastAsia="zh-CN" w:bidi="ar-SA"/>
        </w:rPr>
        <w:t>《国务院办公厅关于建立政府强制采购节能产品制度的通知》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国办发</w:t>
      </w:r>
      <w:r>
        <w:rPr>
          <w:rFonts w:hint="eastAsia" w:ascii="宋体" w:hAnsi="宋体" w:cs="宋体"/>
          <w:color w:val="auto"/>
          <w:kern w:val="2"/>
          <w:sz w:val="24"/>
          <w:szCs w:val="24"/>
          <w:highlight w:val="none"/>
          <w:lang w:val="en-US" w:eastAsia="zh-CN" w:bidi="ar-SA"/>
        </w:rPr>
        <w:t>〔2007〕51号</w:t>
      </w:r>
      <w:r>
        <w:rPr>
          <w:rFonts w:hint="eastAsia" w:ascii="宋体" w:hAnsi="宋体" w:eastAsia="宋体" w:cs="宋体"/>
          <w:color w:val="auto"/>
          <w:kern w:val="2"/>
          <w:sz w:val="24"/>
          <w:szCs w:val="24"/>
          <w:highlight w:val="none"/>
          <w:lang w:val="en-US" w:eastAsia="zh-CN" w:bidi="ar-SA"/>
        </w:rPr>
        <w:t>、《环境标志产品政府采购实施的意见》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w:t>
      </w:r>
      <w:r>
        <w:rPr>
          <w:rFonts w:hint="eastAsia" w:ascii="宋体" w:hAnsi="宋体" w:cs="宋体"/>
          <w:color w:val="auto"/>
          <w:kern w:val="2"/>
          <w:sz w:val="24"/>
          <w:szCs w:val="24"/>
          <w:highlight w:val="none"/>
          <w:lang w:val="en-US" w:eastAsia="zh-CN" w:bidi="ar-SA"/>
        </w:rPr>
        <w:t>〔2006〕90号</w:t>
      </w:r>
      <w:r>
        <w:rPr>
          <w:rFonts w:hint="eastAsia" w:ascii="宋体" w:hAnsi="宋体" w:eastAsia="宋体" w:cs="宋体"/>
          <w:color w:val="auto"/>
          <w:kern w:val="2"/>
          <w:sz w:val="24"/>
          <w:szCs w:val="24"/>
          <w:highlight w:val="none"/>
          <w:lang w:val="en-US" w:eastAsia="zh-CN" w:bidi="ar-SA"/>
        </w:rPr>
        <w:t>以及《关于调整优化节能产品、环境标志产品政府采购执行机制的通知》财库〔2019〕9号文件要求，本项目所涉及货物，优先采购节能、环境标志产品。</w:t>
      </w:r>
    </w:p>
    <w:p w14:paraId="44D43415">
      <w:pPr>
        <w:spacing w:line="360" w:lineRule="auto"/>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3.计分原则：</w:t>
      </w:r>
    </w:p>
    <w:p w14:paraId="27AA5A0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（1）投标报价得分由磋商小组按照价格分计算公式计算分值。</w:t>
      </w:r>
    </w:p>
    <w:p w14:paraId="0600522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（2）商务部分由磋商小组共同评定唯一的得分。</w:t>
      </w:r>
    </w:p>
    <w:p w14:paraId="0E73D621">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（3）技术部分由磋商小组专家分别打分后，取平均分作为技术分最后得分。</w:t>
      </w:r>
    </w:p>
    <w:p w14:paraId="043F59B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（4）综合评分最终总分值为投标报价、商务部分和技术部分三部分得分总和。评分计算保留2位小数，第三位小数四舍五入。</w:t>
      </w:r>
    </w:p>
    <w:p w14:paraId="52999938">
      <w:pPr>
        <w:spacing w:line="360" w:lineRule="auto"/>
        <w:ind w:firstLine="523" w:firstLineChars="218"/>
        <w:rPr>
          <w:rFonts w:hint="eastAsia" w:ascii="宋体" w:hAnsi="宋体" w:eastAsia="宋体" w:cs="宋体"/>
          <w:sz w:val="24"/>
          <w:highlight w:val="none"/>
        </w:rPr>
      </w:pPr>
      <w:r>
        <w:rPr>
          <w:rFonts w:hint="eastAsia" w:ascii="宋体" w:hAnsi="宋体" w:eastAsia="宋体" w:cs="宋体"/>
          <w:sz w:val="24"/>
          <w:highlight w:val="none"/>
        </w:rPr>
        <w:t>（5）得分相同的，按投标报价由低到高顺序排列。得分且投标报价相同的，按技术指标优劣顺序排列。</w:t>
      </w:r>
    </w:p>
    <w:p w14:paraId="6C29EC71">
      <w:pPr>
        <w:spacing w:line="360" w:lineRule="auto"/>
        <w:ind w:firstLine="523" w:firstLineChars="218"/>
        <w:rPr>
          <w:rFonts w:hint="eastAsia" w:ascii="宋体" w:hAnsi="宋体" w:eastAsia="宋体" w:cs="宋体"/>
          <w:sz w:val="24"/>
          <w:highlight w:val="none"/>
        </w:rPr>
      </w:pPr>
      <w:r>
        <w:rPr>
          <w:rFonts w:hint="eastAsia" w:ascii="宋体" w:hAnsi="宋体" w:eastAsia="宋体" w:cs="宋体"/>
          <w:sz w:val="24"/>
          <w:highlight w:val="none"/>
        </w:rPr>
        <w:t>（6）评标中如遇未考虑到的问题，由磋商小组成员集体研究处理决定。</w:t>
      </w:r>
    </w:p>
    <w:p w14:paraId="00E3BC09">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4.其他注意事项：</w:t>
      </w:r>
    </w:p>
    <w:p w14:paraId="00903362">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（1）评标工作在磋商小组内独立进行。</w:t>
      </w:r>
    </w:p>
    <w:p w14:paraId="627581B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14:paraId="406483F1">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（3）在开标、评标期间，供应商不得向磋商小组成员询问情况，不得进行影响评标结果的活动。</w:t>
      </w:r>
    </w:p>
    <w:p w14:paraId="4520CC09">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（4）采购人、采购机构及磋商小组不向落标方解释原因，不保证最低价成交，不退还磋商响应性文件。</w:t>
      </w:r>
    </w:p>
    <w:p w14:paraId="1912B751">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（5）在采购过程中如供应商有不正当行为时，磋商小组有权中止其投标资格。</w:t>
      </w:r>
    </w:p>
    <w:p w14:paraId="3AEF13A8">
      <w:pPr>
        <w:pStyle w:val="4"/>
        <w:spacing w:before="0" w:after="0" w:line="360" w:lineRule="auto"/>
        <w:rPr>
          <w:rFonts w:hint="eastAsia" w:ascii="宋体" w:hAnsi="宋体" w:eastAsia="宋体" w:cs="宋体"/>
          <w:highlight w:val="none"/>
        </w:rPr>
      </w:pPr>
      <w:bookmarkStart w:id="414" w:name="_Toc389731542"/>
      <w:bookmarkStart w:id="415" w:name="_Toc12019"/>
      <w:bookmarkStart w:id="416" w:name="_Toc390084937"/>
      <w:bookmarkStart w:id="417" w:name="_Toc390078431"/>
      <w:bookmarkStart w:id="418" w:name="_Toc390084873"/>
      <w:bookmarkStart w:id="419" w:name="_Toc390084397"/>
      <w:r>
        <w:rPr>
          <w:rFonts w:hint="eastAsia" w:ascii="宋体" w:hAnsi="宋体" w:eastAsia="宋体" w:cs="宋体"/>
          <w:highlight w:val="none"/>
        </w:rPr>
        <w:t>（六）评标过程中磋商响应性文件的澄清</w:t>
      </w:r>
      <w:bookmarkEnd w:id="414"/>
      <w:bookmarkEnd w:id="415"/>
      <w:bookmarkEnd w:id="416"/>
      <w:bookmarkEnd w:id="417"/>
      <w:bookmarkEnd w:id="418"/>
      <w:bookmarkEnd w:id="419"/>
    </w:p>
    <w:p w14:paraId="0B47353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为有助于对《磋商响应性文件》的审查、评价和比较，评标期间可分别要求供应商</w:t>
      </w:r>
      <w:r>
        <w:rPr>
          <w:rFonts w:hint="eastAsia" w:ascii="宋体" w:hAnsi="宋体" w:eastAsia="宋体" w:cs="宋体"/>
          <w:spacing w:val="-2"/>
          <w:sz w:val="24"/>
          <w:highlight w:val="none"/>
        </w:rPr>
        <w:t>对其《磋商响应性文件》中含义不明确的内容</w:t>
      </w:r>
      <w:r>
        <w:rPr>
          <w:rFonts w:hint="eastAsia" w:ascii="宋体" w:hAnsi="宋体" w:cs="宋体"/>
          <w:spacing w:val="-2"/>
          <w:sz w:val="24"/>
          <w:highlight w:val="none"/>
          <w:lang w:eastAsia="zh-CN"/>
        </w:rPr>
        <w:t>做必要</w:t>
      </w:r>
      <w:r>
        <w:rPr>
          <w:rFonts w:hint="eastAsia" w:ascii="宋体" w:hAnsi="宋体" w:eastAsia="宋体" w:cs="宋体"/>
          <w:spacing w:val="-2"/>
          <w:sz w:val="24"/>
          <w:highlight w:val="none"/>
        </w:rPr>
        <w:t>的澄清或说明，但澄清或说明不得超出《磋商响应性文件》的范围或改变其《磋商响应性文件》实质性内容。有关澄清的要求和答复均应以书面形式提交，澄清的内容为《磋商响应性文件》的组成部分。</w:t>
      </w:r>
    </w:p>
    <w:p w14:paraId="4BC7BE48">
      <w:pPr>
        <w:pStyle w:val="3"/>
        <w:rPr>
          <w:rFonts w:hint="eastAsia" w:ascii="宋体" w:hAnsi="宋体" w:eastAsia="宋体" w:cs="宋体"/>
          <w:highlight w:val="none"/>
        </w:rPr>
      </w:pPr>
      <w:bookmarkStart w:id="420" w:name="_Toc18133"/>
      <w:r>
        <w:rPr>
          <w:rFonts w:hint="eastAsia" w:ascii="宋体" w:hAnsi="宋体" w:eastAsia="宋体" w:cs="宋体"/>
          <w:highlight w:val="none"/>
        </w:rPr>
        <w:t>八</w:t>
      </w:r>
      <w:bookmarkEnd w:id="413"/>
      <w:r>
        <w:rPr>
          <w:rFonts w:hint="eastAsia" w:ascii="宋体" w:hAnsi="宋体" w:eastAsia="宋体" w:cs="宋体"/>
          <w:highlight w:val="none"/>
        </w:rPr>
        <w:t>、定标原则</w:t>
      </w:r>
      <w:bookmarkEnd w:id="420"/>
    </w:p>
    <w:p w14:paraId="514CF18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1.磋商小组按照综合评审打分结果由高到低排名次，推荐前三名的供应商为成交候选人。</w:t>
      </w:r>
    </w:p>
    <w:p w14:paraId="457920C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2.本项目由采购人在磋商小组推荐的成交候选人中确定成交人。</w:t>
      </w:r>
    </w:p>
    <w:p w14:paraId="079A017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3.本项目成交结果将在“</w:t>
      </w:r>
      <w:r>
        <w:rPr>
          <w:rFonts w:hint="eastAsia" w:ascii="宋体" w:hAnsi="宋体" w:cs="宋体"/>
          <w:sz w:val="24"/>
          <w:highlight w:val="none"/>
          <w:lang w:val="en-US" w:eastAsia="zh-CN"/>
        </w:rPr>
        <w:t>中国政府采购网</w:t>
      </w:r>
      <w:r>
        <w:rPr>
          <w:rFonts w:hint="eastAsia" w:ascii="宋体" w:hAnsi="宋体" w:eastAsia="宋体" w:cs="宋体"/>
          <w:sz w:val="24"/>
          <w:highlight w:val="none"/>
        </w:rPr>
        <w:t>”</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甘肃经济信息网</w:t>
      </w:r>
      <w:r>
        <w:rPr>
          <w:rFonts w:hint="eastAsia" w:ascii="宋体" w:hAnsi="宋体" w:eastAsia="宋体" w:cs="宋体"/>
          <w:color w:val="000000"/>
          <w:sz w:val="24"/>
          <w:highlight w:val="none"/>
        </w:rPr>
        <w:t>站</w:t>
      </w:r>
      <w:r>
        <w:rPr>
          <w:rFonts w:hint="eastAsia" w:ascii="宋体" w:hAnsi="宋体" w:eastAsia="宋体" w:cs="宋体"/>
          <w:sz w:val="24"/>
          <w:highlight w:val="none"/>
        </w:rPr>
        <w:t>予以公告。</w:t>
      </w:r>
    </w:p>
    <w:p w14:paraId="1C9057AF">
      <w:pPr>
        <w:pStyle w:val="3"/>
        <w:rPr>
          <w:rFonts w:hint="eastAsia" w:ascii="宋体" w:hAnsi="宋体" w:eastAsia="宋体" w:cs="宋体"/>
          <w:highlight w:val="none"/>
        </w:rPr>
      </w:pPr>
      <w:bookmarkStart w:id="421" w:name="_Toc25887"/>
      <w:r>
        <w:rPr>
          <w:rFonts w:hint="eastAsia" w:ascii="宋体" w:hAnsi="宋体" w:eastAsia="宋体" w:cs="宋体"/>
          <w:highlight w:val="none"/>
        </w:rPr>
        <w:t>九、成交及合同签订</w:t>
      </w:r>
      <w:bookmarkEnd w:id="397"/>
      <w:bookmarkEnd w:id="398"/>
      <w:bookmarkEnd w:id="399"/>
      <w:bookmarkEnd w:id="400"/>
      <w:bookmarkEnd w:id="401"/>
      <w:bookmarkEnd w:id="421"/>
    </w:p>
    <w:p w14:paraId="4D0C925B">
      <w:pPr>
        <w:pStyle w:val="4"/>
        <w:snapToGrid w:val="0"/>
        <w:spacing w:before="0" w:after="0" w:line="360" w:lineRule="auto"/>
        <w:rPr>
          <w:rFonts w:hint="eastAsia" w:ascii="宋体" w:hAnsi="宋体" w:eastAsia="宋体" w:cs="宋体"/>
          <w:bCs/>
          <w:color w:val="000000"/>
          <w:szCs w:val="28"/>
          <w:highlight w:val="none"/>
        </w:rPr>
      </w:pPr>
      <w:bookmarkStart w:id="422" w:name="_Toc128372079"/>
      <w:bookmarkStart w:id="423" w:name="_Toc139965352"/>
      <w:bookmarkStart w:id="424" w:name="_Toc389731548"/>
      <w:bookmarkStart w:id="425" w:name="_Toc390084943"/>
      <w:bookmarkStart w:id="426" w:name="_Toc128372757"/>
      <w:bookmarkStart w:id="427" w:name="_Toc27679"/>
      <w:bookmarkStart w:id="428" w:name="_Toc390084879"/>
      <w:bookmarkStart w:id="429" w:name="_Toc274816736"/>
      <w:bookmarkStart w:id="430" w:name="_Toc390078437"/>
      <w:bookmarkStart w:id="431" w:name="_Toc390084403"/>
      <w:bookmarkStart w:id="432" w:name="_Toc185307750"/>
      <w:bookmarkStart w:id="433" w:name="_Toc128372756"/>
      <w:bookmarkStart w:id="434" w:name="_Toc128372078"/>
      <w:bookmarkStart w:id="435" w:name="_Toc139965351"/>
      <w:r>
        <w:rPr>
          <w:rFonts w:hint="eastAsia" w:ascii="宋体" w:hAnsi="宋体" w:eastAsia="宋体" w:cs="宋体"/>
          <w:bCs/>
          <w:color w:val="000000"/>
          <w:szCs w:val="28"/>
          <w:highlight w:val="none"/>
        </w:rPr>
        <w:t>（一）成交通知书</w:t>
      </w:r>
      <w:bookmarkEnd w:id="422"/>
      <w:bookmarkEnd w:id="423"/>
      <w:bookmarkEnd w:id="424"/>
      <w:bookmarkEnd w:id="425"/>
      <w:bookmarkEnd w:id="426"/>
      <w:bookmarkEnd w:id="427"/>
      <w:bookmarkEnd w:id="428"/>
      <w:bookmarkEnd w:id="429"/>
      <w:bookmarkEnd w:id="430"/>
      <w:bookmarkEnd w:id="431"/>
      <w:bookmarkEnd w:id="432"/>
      <w:bookmarkStart w:id="436" w:name="_Toc390078438"/>
      <w:bookmarkStart w:id="437" w:name="_Toc274816737"/>
      <w:bookmarkStart w:id="438" w:name="_Toc185307751"/>
    </w:p>
    <w:p w14:paraId="6BC07D3B">
      <w:pPr>
        <w:spacing w:line="360" w:lineRule="auto"/>
        <w:ind w:firstLine="480" w:firstLineChars="200"/>
        <w:rPr>
          <w:rFonts w:hint="eastAsia" w:ascii="宋体" w:hAnsi="宋体" w:eastAsia="宋体" w:cs="宋体"/>
          <w:sz w:val="24"/>
          <w:highlight w:val="none"/>
        </w:rPr>
      </w:pPr>
      <w:bookmarkStart w:id="439" w:name="_Toc390086197"/>
      <w:bookmarkStart w:id="440" w:name="_Toc397083991"/>
      <w:bookmarkStart w:id="441" w:name="_Toc390353653"/>
      <w:bookmarkStart w:id="442" w:name="_Toc390084944"/>
      <w:bookmarkStart w:id="443" w:name="_Toc390084880"/>
      <w:bookmarkStart w:id="444" w:name="_Toc390336082"/>
      <w:bookmarkStart w:id="445" w:name="_Toc390353802"/>
      <w:bookmarkStart w:id="446" w:name="_Toc390348492"/>
      <w:bookmarkStart w:id="447" w:name="_Toc390354495"/>
      <w:bookmarkStart w:id="448" w:name="_Toc393998880"/>
      <w:bookmarkStart w:id="449" w:name="_Toc392332920"/>
      <w:bookmarkStart w:id="450" w:name="_Toc390086904"/>
      <w:bookmarkStart w:id="451" w:name="_Toc397083831"/>
      <w:bookmarkStart w:id="452" w:name="_Toc397973601"/>
      <w:bookmarkStart w:id="453" w:name="_Toc390084404"/>
      <w:bookmarkStart w:id="454" w:name="_Toc396291479"/>
      <w:bookmarkStart w:id="455" w:name="_Toc392332813"/>
      <w:bookmarkStart w:id="456" w:name="_Toc396597531"/>
      <w:bookmarkStart w:id="457" w:name="_Toc392189151"/>
      <w:r>
        <w:rPr>
          <w:rFonts w:hint="eastAsia" w:ascii="宋体" w:hAnsi="宋体" w:eastAsia="宋体" w:cs="宋体"/>
          <w:sz w:val="24"/>
          <w:highlight w:val="none"/>
        </w:rPr>
        <w:t>成交结果在公示期满无质疑或投诉后，该结果将作为正式成交或签订《供货合同》的凭据。采购代理机构将以书面形式《成交通知书》通知成交的供应商其投标被接受。在该通知书发出十日内，成交人应与采购人签订供货合同。</w:t>
      </w:r>
      <w:bookmarkEnd w:id="43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Start w:id="458" w:name="_Toc390086198"/>
      <w:bookmarkStart w:id="459" w:name="_Toc390084945"/>
      <w:bookmarkStart w:id="460" w:name="_Toc390084881"/>
      <w:bookmarkStart w:id="461" w:name="_Toc390078439"/>
      <w:bookmarkStart w:id="462" w:name="_Toc390084405"/>
      <w:bookmarkStart w:id="463" w:name="_Toc390336083"/>
      <w:bookmarkStart w:id="464" w:name="_Toc390086905"/>
    </w:p>
    <w:p w14:paraId="2747BD02">
      <w:pPr>
        <w:spacing w:line="360" w:lineRule="auto"/>
        <w:ind w:firstLine="480" w:firstLineChars="200"/>
        <w:rPr>
          <w:rFonts w:hint="eastAsia" w:ascii="宋体" w:hAnsi="宋体" w:eastAsia="宋体" w:cs="宋体"/>
          <w:sz w:val="24"/>
          <w:highlight w:val="none"/>
        </w:rPr>
      </w:pPr>
      <w:bookmarkStart w:id="465" w:name="_Toc392332921"/>
      <w:bookmarkStart w:id="466" w:name="_Toc397083832"/>
      <w:bookmarkStart w:id="467" w:name="_Toc397083992"/>
      <w:bookmarkStart w:id="468" w:name="_Toc390354496"/>
      <w:bookmarkStart w:id="469" w:name="_Toc390353654"/>
      <w:bookmarkStart w:id="470" w:name="_Toc397973602"/>
      <w:bookmarkStart w:id="471" w:name="_Toc392332814"/>
      <w:bookmarkStart w:id="472" w:name="_Toc390348493"/>
      <w:bookmarkStart w:id="473" w:name="_Toc393998881"/>
      <w:bookmarkStart w:id="474" w:name="_Toc390353803"/>
      <w:bookmarkStart w:id="475" w:name="_Toc392189152"/>
      <w:bookmarkStart w:id="476" w:name="_Toc396291480"/>
      <w:bookmarkStart w:id="477" w:name="_Toc396597532"/>
      <w:r>
        <w:rPr>
          <w:rFonts w:hint="eastAsia" w:ascii="宋体" w:hAnsi="宋体" w:eastAsia="宋体" w:cs="宋体"/>
          <w:sz w:val="24"/>
          <w:highlight w:val="none"/>
        </w:rPr>
        <w:t>采购代理机构和采购人没有任何义务向未成交的供应商解释落标的理由，不退还《磋商响应性文件》。</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C8C684E">
      <w:pPr>
        <w:pStyle w:val="4"/>
        <w:snapToGrid w:val="0"/>
        <w:spacing w:before="0" w:after="0" w:line="360" w:lineRule="auto"/>
        <w:rPr>
          <w:rFonts w:hint="eastAsia" w:ascii="宋体" w:hAnsi="宋体" w:eastAsia="宋体" w:cs="宋体"/>
          <w:bCs/>
          <w:color w:val="000000"/>
          <w:szCs w:val="28"/>
          <w:highlight w:val="none"/>
        </w:rPr>
      </w:pPr>
      <w:bookmarkStart w:id="478" w:name="_Toc13945"/>
      <w:bookmarkStart w:id="479" w:name="_Toc390084882"/>
      <w:bookmarkStart w:id="480" w:name="_Toc390084406"/>
      <w:bookmarkStart w:id="481" w:name="_Toc390078440"/>
      <w:bookmarkStart w:id="482" w:name="_Toc390084946"/>
      <w:bookmarkStart w:id="483" w:name="_Toc389731549"/>
      <w:r>
        <w:rPr>
          <w:rFonts w:hint="eastAsia" w:ascii="宋体" w:hAnsi="宋体" w:eastAsia="宋体" w:cs="宋体"/>
          <w:bCs/>
          <w:color w:val="000000"/>
          <w:szCs w:val="28"/>
          <w:highlight w:val="none"/>
        </w:rPr>
        <w:t>（二）合同授予</w:t>
      </w:r>
      <w:bookmarkEnd w:id="433"/>
      <w:bookmarkEnd w:id="434"/>
      <w:bookmarkEnd w:id="435"/>
      <w:r>
        <w:rPr>
          <w:rFonts w:hint="eastAsia" w:ascii="宋体" w:hAnsi="宋体" w:eastAsia="宋体" w:cs="宋体"/>
          <w:bCs/>
          <w:color w:val="000000"/>
          <w:szCs w:val="28"/>
          <w:highlight w:val="none"/>
        </w:rPr>
        <w:t>原则</w:t>
      </w:r>
      <w:bookmarkEnd w:id="437"/>
      <w:bookmarkEnd w:id="438"/>
      <w:bookmarkEnd w:id="478"/>
      <w:bookmarkEnd w:id="479"/>
      <w:bookmarkEnd w:id="480"/>
      <w:bookmarkEnd w:id="481"/>
      <w:bookmarkEnd w:id="482"/>
      <w:bookmarkEnd w:id="483"/>
    </w:p>
    <w:p w14:paraId="5FA29C30">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采购人将把合同授予经磋商小组评议推荐，在法定公示时间后，收到《成交通知书》的供应商。若因成交人违约或因不可抗力等原因不能被授予合同，则合同将授予排序在该成交人之后的下一个供应商。</w:t>
      </w:r>
    </w:p>
    <w:p w14:paraId="74CAACEB">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采购人保留在签订合同时调整方案需求和变动所购货物数量的</w:t>
      </w:r>
      <w:r>
        <w:rPr>
          <w:rFonts w:hint="eastAsia" w:ascii="宋体" w:hAnsi="宋体" w:cs="宋体"/>
          <w:color w:val="000000"/>
          <w:sz w:val="24"/>
          <w:highlight w:val="none"/>
          <w:lang w:val="en-US" w:eastAsia="zh-CN"/>
        </w:rPr>
        <w:t>权利</w:t>
      </w:r>
      <w:r>
        <w:rPr>
          <w:rFonts w:hint="eastAsia" w:ascii="宋体" w:hAnsi="宋体" w:eastAsia="宋体" w:cs="宋体"/>
          <w:color w:val="000000"/>
          <w:sz w:val="24"/>
          <w:highlight w:val="none"/>
        </w:rPr>
        <w:t>。</w:t>
      </w:r>
    </w:p>
    <w:p w14:paraId="7902B435">
      <w:pPr>
        <w:pStyle w:val="4"/>
        <w:snapToGrid w:val="0"/>
        <w:spacing w:before="0" w:after="0" w:line="360" w:lineRule="auto"/>
        <w:rPr>
          <w:rFonts w:hint="eastAsia" w:ascii="宋体" w:hAnsi="宋体" w:eastAsia="宋体" w:cs="宋体"/>
          <w:bCs/>
          <w:color w:val="000000"/>
          <w:szCs w:val="28"/>
          <w:highlight w:val="none"/>
        </w:rPr>
      </w:pPr>
      <w:bookmarkStart w:id="484" w:name="_Toc139965353"/>
      <w:bookmarkStart w:id="485" w:name="_Toc128372758"/>
      <w:bookmarkStart w:id="486" w:name="_Toc390084947"/>
      <w:bookmarkStart w:id="487" w:name="_Toc274816738"/>
      <w:bookmarkStart w:id="488" w:name="_Toc27275"/>
      <w:bookmarkStart w:id="489" w:name="_Toc390084407"/>
      <w:bookmarkStart w:id="490" w:name="_Toc389731550"/>
      <w:bookmarkStart w:id="491" w:name="_Toc390084883"/>
      <w:bookmarkStart w:id="492" w:name="_Toc185307752"/>
      <w:bookmarkStart w:id="493" w:name="_Toc128372080"/>
      <w:bookmarkStart w:id="494" w:name="_Toc390078441"/>
      <w:r>
        <w:rPr>
          <w:rFonts w:hint="eastAsia" w:ascii="宋体" w:hAnsi="宋体" w:eastAsia="宋体" w:cs="宋体"/>
          <w:bCs/>
          <w:color w:val="000000"/>
          <w:szCs w:val="28"/>
          <w:highlight w:val="none"/>
        </w:rPr>
        <w:t>（三）合同的签署</w:t>
      </w:r>
      <w:bookmarkEnd w:id="484"/>
      <w:bookmarkEnd w:id="485"/>
      <w:bookmarkEnd w:id="486"/>
      <w:bookmarkEnd w:id="487"/>
      <w:bookmarkEnd w:id="488"/>
      <w:bookmarkEnd w:id="489"/>
      <w:bookmarkEnd w:id="490"/>
      <w:bookmarkEnd w:id="491"/>
      <w:bookmarkEnd w:id="492"/>
      <w:bookmarkEnd w:id="493"/>
      <w:bookmarkEnd w:id="494"/>
    </w:p>
    <w:p w14:paraId="1EBA5603">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交人按《成交通知书》中规定的时间和地点，在采购代理机构监督下，由法定代表人或授权代表与采购人签订合同。采购人与成交人是合同权利与义务的直接全部责任承担人。所发出的《成交通知书》对采购人和成交人具有同等法律效力。</w:t>
      </w:r>
    </w:p>
    <w:p w14:paraId="2D3C36FE">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《成交通知书》发出后，采购人拒绝签订《供货合同》或擅自改变成交内容，按照《</w:t>
      </w:r>
      <w:r>
        <w:rPr>
          <w:rFonts w:hint="eastAsia" w:ascii="宋体" w:hAnsi="宋体" w:eastAsia="宋体" w:cs="宋体"/>
          <w:color w:val="000000"/>
          <w:sz w:val="24"/>
          <w:highlight w:val="none"/>
          <w:lang w:eastAsia="zh-CN"/>
        </w:rPr>
        <w:t>中华人民共和国民法典</w:t>
      </w:r>
      <w:r>
        <w:rPr>
          <w:rFonts w:hint="eastAsia" w:ascii="宋体" w:hAnsi="宋体" w:eastAsia="宋体" w:cs="宋体"/>
          <w:sz w:val="24"/>
          <w:highlight w:val="none"/>
        </w:rPr>
        <w:t>》定金罚则及损害赔偿的原则处罚并办理。</w:t>
      </w:r>
      <w:r>
        <w:rPr>
          <w:rFonts w:hint="eastAsia" w:ascii="宋体" w:hAnsi="宋体" w:eastAsia="宋体" w:cs="宋体"/>
          <w:color w:val="000000"/>
          <w:sz w:val="24"/>
          <w:highlight w:val="none"/>
        </w:rPr>
        <w:t>若由于成交人的原因逾期未与采购人签订采购合同的，将视为放弃成交，取消其成交资格并将按照《中华人民共和国政府采购法》相关规定进行处理。</w:t>
      </w:r>
    </w:p>
    <w:p w14:paraId="47709917">
      <w:pPr>
        <w:pStyle w:val="4"/>
        <w:snapToGrid w:val="0"/>
        <w:spacing w:before="0" w:after="0" w:line="360" w:lineRule="auto"/>
        <w:rPr>
          <w:rFonts w:hint="eastAsia" w:ascii="宋体" w:hAnsi="宋体" w:eastAsia="宋体" w:cs="宋体"/>
          <w:bCs/>
          <w:color w:val="000000"/>
          <w:szCs w:val="28"/>
          <w:highlight w:val="none"/>
        </w:rPr>
      </w:pPr>
      <w:bookmarkStart w:id="495" w:name="_Toc390084948"/>
      <w:bookmarkStart w:id="496" w:name="_Toc390084408"/>
      <w:bookmarkStart w:id="497" w:name="_Toc89586924"/>
      <w:bookmarkStart w:id="498" w:name="_Toc91030034"/>
      <w:bookmarkStart w:id="499" w:name="_Toc89058563"/>
      <w:bookmarkStart w:id="500" w:name="_Toc16741"/>
      <w:bookmarkStart w:id="501" w:name="_Toc229198057"/>
      <w:bookmarkStart w:id="502" w:name="_Toc390084884"/>
      <w:bookmarkStart w:id="503" w:name="_Toc390078442"/>
      <w:bookmarkStart w:id="504" w:name="_Toc91477284"/>
      <w:bookmarkStart w:id="505" w:name="_Toc389731551"/>
      <w:bookmarkStart w:id="506" w:name="_Toc139343568"/>
      <w:bookmarkStart w:id="507" w:name="_Toc274816740"/>
      <w:r>
        <w:rPr>
          <w:rFonts w:hint="eastAsia" w:ascii="宋体" w:hAnsi="宋体" w:eastAsia="宋体" w:cs="宋体"/>
          <w:bCs/>
          <w:color w:val="000000"/>
          <w:szCs w:val="28"/>
          <w:highlight w:val="none"/>
        </w:rPr>
        <w:t>（四）腐败和欺诈行为</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31CB3E60">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1.定义</w:t>
      </w:r>
    </w:p>
    <w:p w14:paraId="73624190">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“腐败行为”系指提供、给予、接受或索取任何有价值的物品来影响采购代理机构和/或采购人在采购过程或合同实施过程中的行为。</w:t>
      </w:r>
    </w:p>
    <w:p w14:paraId="3A43FFE1">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“欺诈行为”系指为了影响采购过程或合同实施过程而谎报事实</w:t>
      </w:r>
      <w:r>
        <w:rPr>
          <w:rFonts w:hint="eastAsia" w:ascii="宋体" w:hAnsi="宋体" w:eastAsia="宋体" w:cs="宋体"/>
          <w:sz w:val="24"/>
          <w:highlight w:val="none"/>
        </w:rPr>
        <w:t>，损害采购代理机构和采购人的利益，包括供应商之间串通投标（递交《磋商响应性文件》之前和之后），</w:t>
      </w:r>
      <w:r>
        <w:rPr>
          <w:rFonts w:hint="eastAsia" w:ascii="宋体" w:hAnsi="宋体" w:eastAsia="宋体" w:cs="宋体"/>
          <w:color w:val="000000"/>
          <w:sz w:val="24"/>
          <w:highlight w:val="none"/>
        </w:rPr>
        <w:t>人为地使投标丧失竞争性，剥夺采购人从自由公开竞争所能获得的权益。</w:t>
      </w:r>
    </w:p>
    <w:p w14:paraId="19F8EE43">
      <w:pPr>
        <w:adjustRightInd w:val="0"/>
        <w:snapToGrid w:val="0"/>
        <w:spacing w:line="360" w:lineRule="auto"/>
        <w:ind w:firstLine="480" w:firstLineChars="200"/>
        <w:rPr>
          <w:rFonts w:hint="eastAsia" w:ascii="宋体" w:hAnsi="宋体" w:eastAsia="宋体" w:cs="宋体"/>
          <w:sz w:val="24"/>
          <w:highlight w:val="none"/>
          <w:lang w:eastAsia="zh-CN"/>
        </w:rPr>
        <w:sectPr>
          <w:headerReference r:id="rId3" w:type="default"/>
          <w:footerReference r:id="rId4" w:type="default"/>
          <w:pgSz w:w="11905" w:h="16838"/>
          <w:pgMar w:top="1440" w:right="1531" w:bottom="1440" w:left="1531" w:header="850" w:footer="850" w:gutter="0"/>
          <w:pgNumType w:fmt="decimal"/>
          <w:cols w:space="0" w:num="1"/>
          <w:rtlGutter w:val="0"/>
          <w:docGrid w:type="lines" w:linePitch="312" w:charSpace="0"/>
        </w:sectPr>
      </w:pPr>
      <w:r>
        <w:rPr>
          <w:rFonts w:hint="eastAsia" w:ascii="宋体" w:hAnsi="宋体" w:eastAsia="宋体" w:cs="宋体"/>
          <w:color w:val="000000"/>
          <w:sz w:val="24"/>
          <w:highlight w:val="none"/>
        </w:rPr>
        <w:t>2.如果采购代理机构和采购人认为供应商在本项目的竞争中有腐败或欺诈行为，其投标将被拒</w:t>
      </w:r>
      <w:bookmarkEnd w:id="402"/>
      <w:bookmarkEnd w:id="403"/>
      <w:bookmarkEnd w:id="404"/>
      <w:bookmarkEnd w:id="405"/>
      <w:bookmarkEnd w:id="406"/>
      <w:bookmarkEnd w:id="407"/>
      <w:bookmarkEnd w:id="408"/>
      <w:bookmarkEnd w:id="409"/>
      <w:bookmarkEnd w:id="410"/>
      <w:bookmarkEnd w:id="411"/>
      <w:bookmarkEnd w:id="412"/>
      <w:bookmarkStart w:id="508" w:name="_Toc389731552"/>
      <w:r>
        <w:rPr>
          <w:rFonts w:hint="eastAsia" w:ascii="宋体" w:hAnsi="宋体" w:cs="宋体"/>
          <w:color w:val="000000"/>
          <w:sz w:val="24"/>
          <w:highlight w:val="none"/>
          <w:lang w:eastAsia="zh-CN"/>
        </w:rPr>
        <w:t>。</w:t>
      </w:r>
    </w:p>
    <w:p w14:paraId="49D04086">
      <w:pPr>
        <w:jc w:val="center"/>
        <w:rPr>
          <w:rStyle w:val="69"/>
          <w:rFonts w:hint="eastAsia" w:ascii="宋体" w:hAnsi="宋体" w:eastAsia="宋体" w:cs="宋体"/>
          <w:sz w:val="44"/>
          <w:szCs w:val="44"/>
          <w:highlight w:val="none"/>
        </w:rPr>
      </w:pPr>
      <w:bookmarkStart w:id="509" w:name="_Toc390078443"/>
      <w:bookmarkStart w:id="510" w:name="_Toc7771"/>
      <w:bookmarkStart w:id="511" w:name="_Toc390084409"/>
      <w:bookmarkStart w:id="512" w:name="_Toc390084885"/>
      <w:bookmarkStart w:id="513" w:name="_Toc390084949"/>
      <w:r>
        <w:rPr>
          <w:rStyle w:val="69"/>
          <w:rFonts w:hint="eastAsia" w:ascii="宋体" w:hAnsi="宋体" w:eastAsia="宋体" w:cs="宋体"/>
          <w:sz w:val="44"/>
          <w:szCs w:val="44"/>
          <w:highlight w:val="none"/>
        </w:rPr>
        <w:t xml:space="preserve">第三章  </w:t>
      </w:r>
      <w:r>
        <w:rPr>
          <w:rStyle w:val="69"/>
          <w:rFonts w:hint="eastAsia" w:ascii="宋体" w:hAnsi="宋体" w:eastAsia="宋体" w:cs="宋体"/>
          <w:sz w:val="44"/>
          <w:szCs w:val="44"/>
          <w:highlight w:val="none"/>
          <w:lang w:eastAsia="zh-CN"/>
        </w:rPr>
        <w:t>招标</w:t>
      </w:r>
      <w:r>
        <w:rPr>
          <w:rStyle w:val="69"/>
          <w:rFonts w:hint="eastAsia" w:ascii="宋体" w:hAnsi="宋体" w:eastAsia="宋体" w:cs="宋体"/>
          <w:sz w:val="44"/>
          <w:szCs w:val="44"/>
          <w:highlight w:val="none"/>
        </w:rPr>
        <w:t>内容</w:t>
      </w:r>
      <w:bookmarkEnd w:id="509"/>
      <w:bookmarkEnd w:id="510"/>
      <w:bookmarkEnd w:id="511"/>
      <w:bookmarkEnd w:id="512"/>
      <w:bookmarkEnd w:id="513"/>
    </w:p>
    <w:bookmarkEnd w:id="508"/>
    <w:p w14:paraId="30D5627D">
      <w:pPr>
        <w:keepNext w:val="0"/>
        <w:keepLines w:val="0"/>
        <w:pageBreakBefore w:val="0"/>
        <w:kinsoku/>
        <w:wordWrap/>
        <w:overflowPunct/>
        <w:topLinePunct w:val="0"/>
        <w:autoSpaceDE/>
        <w:autoSpaceDN/>
        <w:bidi w:val="0"/>
        <w:adjustRightInd/>
        <w:snapToGrid/>
        <w:spacing w:line="560" w:lineRule="exact"/>
        <w:ind w:right="81" w:rightChars="39"/>
        <w:textAlignment w:val="auto"/>
        <w:rPr>
          <w:rFonts w:hint="default" w:ascii="宋体" w:hAnsi="宋体" w:eastAsia="宋体" w:cs="宋体"/>
          <w:bCs/>
          <w:sz w:val="24"/>
          <w:highlight w:val="none"/>
          <w:lang w:val="en-US" w:eastAsia="zh-CN"/>
        </w:rPr>
      </w:pPr>
      <w:bookmarkStart w:id="514" w:name="_Toc390078445"/>
      <w:bookmarkStart w:id="515" w:name="_Toc390084411"/>
      <w:bookmarkStart w:id="516" w:name="_Toc390084951"/>
      <w:bookmarkStart w:id="517" w:name="_Toc389731553"/>
      <w:bookmarkStart w:id="518" w:name="_Toc390084887"/>
      <w:bookmarkStart w:id="519" w:name="_Toc390084952"/>
      <w:bookmarkStart w:id="520" w:name="_Toc389731554"/>
      <w:bookmarkStart w:id="521" w:name="_Toc390078446"/>
      <w:bookmarkStart w:id="522" w:name="_Toc390084412"/>
      <w:bookmarkStart w:id="523" w:name="_Toc390084888"/>
      <w:bookmarkStart w:id="524" w:name="_Toc229198098"/>
      <w:bookmarkStart w:id="525" w:name="_Toc274816744"/>
      <w:r>
        <w:rPr>
          <w:rFonts w:hint="eastAsia" w:ascii="宋体" w:hAnsi="宋体" w:eastAsia="宋体" w:cs="宋体"/>
          <w:b/>
          <w:sz w:val="24"/>
          <w:highlight w:val="none"/>
        </w:rPr>
        <w:t>一、项目名称：</w:t>
      </w:r>
      <w:bookmarkEnd w:id="514"/>
      <w:bookmarkEnd w:id="515"/>
      <w:bookmarkEnd w:id="516"/>
      <w:bookmarkEnd w:id="517"/>
      <w:bookmarkEnd w:id="518"/>
      <w:r>
        <w:rPr>
          <w:rFonts w:hint="eastAsia" w:ascii="宋体" w:hAnsi="宋体" w:eastAsia="宋体" w:cs="宋体"/>
          <w:bCs/>
          <w:sz w:val="24"/>
          <w:highlight w:val="none"/>
          <w:lang w:val="en-US" w:eastAsia="zh-CN"/>
        </w:rPr>
        <w:t>甘肃医学院附属医院后勤物资水暖材料采购项目</w:t>
      </w:r>
    </w:p>
    <w:p w14:paraId="1E5B169A">
      <w:pPr>
        <w:keepNext w:val="0"/>
        <w:keepLines w:val="0"/>
        <w:pageBreakBefore w:val="0"/>
        <w:kinsoku/>
        <w:wordWrap/>
        <w:overflowPunct/>
        <w:topLinePunct w:val="0"/>
        <w:autoSpaceDE/>
        <w:autoSpaceDN/>
        <w:bidi w:val="0"/>
        <w:adjustRightInd/>
        <w:snapToGrid/>
        <w:spacing w:line="560" w:lineRule="exact"/>
        <w:ind w:right="81" w:rightChars="39"/>
        <w:textAlignment w:val="auto"/>
        <w:rPr>
          <w:rFonts w:hint="eastAsia" w:ascii="宋体" w:hAnsi="宋体" w:cs="宋体"/>
          <w:bCs/>
          <w:sz w:val="24"/>
          <w:highlight w:val="none"/>
          <w:lang w:val="en-US" w:eastAsia="zh-CN"/>
        </w:rPr>
      </w:pPr>
      <w:r>
        <w:rPr>
          <w:rFonts w:hint="eastAsia" w:ascii="宋体" w:hAnsi="宋体" w:eastAsia="宋体" w:cs="宋体"/>
          <w:b/>
          <w:bCs/>
          <w:sz w:val="24"/>
          <w:highlight w:val="none"/>
        </w:rPr>
        <w:t>二、项目编号</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CHHK</w:t>
      </w:r>
      <w:r>
        <w:rPr>
          <w:rFonts w:hint="eastAsia" w:ascii="宋体" w:hAnsi="宋体" w:eastAsia="宋体" w:cs="宋体"/>
          <w:bCs/>
          <w:sz w:val="24"/>
          <w:highlight w:val="none"/>
        </w:rPr>
        <w:t>-202</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12</w:t>
      </w:r>
      <w:r>
        <w:rPr>
          <w:rFonts w:hint="eastAsia" w:ascii="宋体" w:hAnsi="宋体" w:cs="宋体"/>
          <w:bCs/>
          <w:sz w:val="24"/>
          <w:highlight w:val="none"/>
          <w:lang w:val="en-US" w:eastAsia="zh-CN"/>
        </w:rPr>
        <w:t>5</w:t>
      </w:r>
    </w:p>
    <w:p w14:paraId="64C988B3">
      <w:pPr>
        <w:keepNext w:val="0"/>
        <w:keepLines w:val="0"/>
        <w:pageBreakBefore w:val="0"/>
        <w:kinsoku/>
        <w:wordWrap/>
        <w:overflowPunct/>
        <w:topLinePunct w:val="0"/>
        <w:autoSpaceDE/>
        <w:autoSpaceDN/>
        <w:bidi w:val="0"/>
        <w:adjustRightInd/>
        <w:snapToGrid/>
        <w:spacing w:line="560" w:lineRule="exact"/>
        <w:ind w:right="81" w:rightChars="39"/>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三、</w:t>
      </w:r>
      <w:r>
        <w:rPr>
          <w:rFonts w:hint="eastAsia" w:ascii="宋体" w:hAnsi="宋体" w:cs="宋体"/>
          <w:b/>
          <w:bCs/>
          <w:sz w:val="24"/>
          <w:highlight w:val="none"/>
          <w:lang w:val="en-US" w:eastAsia="zh-CN"/>
        </w:rPr>
        <w:t>采购</w:t>
      </w:r>
      <w:r>
        <w:rPr>
          <w:rFonts w:hint="eastAsia" w:ascii="宋体" w:hAnsi="宋体" w:eastAsia="宋体" w:cs="宋体"/>
          <w:b/>
          <w:bCs/>
          <w:sz w:val="24"/>
          <w:highlight w:val="none"/>
          <w:lang w:val="en-US" w:eastAsia="zh-CN"/>
        </w:rPr>
        <w:t>内容</w:t>
      </w:r>
    </w:p>
    <w:tbl>
      <w:tblPr>
        <w:tblStyle w:val="40"/>
        <w:tblW w:w="89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807"/>
        <w:gridCol w:w="1400"/>
        <w:gridCol w:w="733"/>
        <w:gridCol w:w="884"/>
        <w:gridCol w:w="1700"/>
        <w:gridCol w:w="866"/>
      </w:tblGrid>
      <w:tr w14:paraId="26DC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B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84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2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DD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F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预估数量</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7A4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限价</w:t>
            </w:r>
            <w:bookmarkStart w:id="693" w:name="_GoBack"/>
            <w:bookmarkEnd w:id="693"/>
            <w:r>
              <w:rPr>
                <w:rFonts w:hint="eastAsia" w:ascii="宋体" w:hAnsi="宋体" w:eastAsia="宋体" w:cs="宋体"/>
                <w:b/>
                <w:bCs/>
                <w:i w:val="0"/>
                <w:iCs w:val="0"/>
                <w:color w:val="000000"/>
                <w:kern w:val="0"/>
                <w:sz w:val="24"/>
                <w:szCs w:val="24"/>
                <w:u w:val="none"/>
                <w:lang w:val="en-US" w:eastAsia="zh-CN" w:bidi="ar"/>
              </w:rPr>
              <w:t>（元）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AF2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11DA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C0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AA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活接（铁）（国标）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2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9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B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25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5E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5787">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9D72">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4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2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D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7D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1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01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4C9E">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5394">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3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F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7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2F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11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67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弯头（铁）（国标）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2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B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A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D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6F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5AA4">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ABEF">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D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F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7B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1F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64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27E9">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5B70">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9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9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1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E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D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F1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2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0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对丝（铁）（国标）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E6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6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C7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D1FE">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73C4">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2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1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3D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90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8E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A425">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D695">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6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5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7D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BF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A2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E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0F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三通（铁）（国标）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2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5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0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FA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5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B2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B123">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3040">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0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D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E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39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CA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169A">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DD5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7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7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0F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6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24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EF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F9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45°弯头（国标）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F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C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7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F6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B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8C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C571">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ABFD">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1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A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C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D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22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60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42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闸阀（铁）（铜丝杆）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7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1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8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A0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902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787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4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3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3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D4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BA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DFF5">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930A">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4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B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3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9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3E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369D">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C236">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7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8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A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D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C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B1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8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F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8699">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E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34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4F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92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F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A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pvc直管（加厚）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D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5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95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4C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D6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B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pvc弯头（加厚）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4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6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A7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1B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23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9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pvc管古（加厚）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A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F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C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73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4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pvc三通（加厚）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D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5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B7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0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FC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0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B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pvc直管（加厚）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8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0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9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BC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C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5D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B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B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pvc弯头（加厚）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5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B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8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24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5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9C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B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pvc管古（加厚）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A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0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0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FC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9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E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pvc三通（加厚）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C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4D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B0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5D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7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s弯（加厚）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0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2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7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0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A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F1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1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3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71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19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A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B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PPR弯头（加厚）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0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0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F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A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9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9E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E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PPR管古（加厚）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E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8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C3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58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57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D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PPR三通（加厚）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2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2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C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8B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A4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D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角阀（合金）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7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7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F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18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31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FA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7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角阀（不锈钢）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E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C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0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79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4C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B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7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角阀（铜）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2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A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7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F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65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1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5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暖气片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彩钢或铸铁烤漆</w:t>
            </w:r>
            <w:r>
              <w:rPr>
                <w:rFonts w:hint="eastAsia" w:ascii="宋体" w:hAnsi="宋体" w:cs="宋体"/>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4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39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1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48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C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角片（铸铁烤漆）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D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4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2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F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1B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D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B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暖气片垫子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3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3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C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6F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2A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F5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5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铝塑管（耐高温）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B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3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8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A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14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9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5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铝塑管弯头（铜）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A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F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B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4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6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6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F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铝塑管内外直（铜）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C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0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9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A8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D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4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铝塑管等径三通（铜）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C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7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5D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E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81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B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0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铝塑管（耐高温）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2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1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4F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FA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4D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0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铝塑管内外直（铜）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2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A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5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8B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F9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5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A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铝塑管三通（铜）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3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D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B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29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95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58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2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进水阀（家装）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1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57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12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0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3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龙头（合金）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D9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72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49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F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2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龙头（不锈钢）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F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1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3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20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D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F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3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5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0B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5F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A7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8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1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加长龙头（铜）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F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4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8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97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F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D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B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9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D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72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A0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2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A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单水龙头（铜）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0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81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9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C2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8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高</w:t>
            </w:r>
            <w:r>
              <w:rPr>
                <w:rFonts w:hint="eastAsia" w:ascii="宋体" w:hAnsi="宋体" w:cs="宋体"/>
                <w:i w:val="0"/>
                <w:iCs w:val="0"/>
                <w:color w:val="000000"/>
                <w:kern w:val="0"/>
                <w:sz w:val="24"/>
                <w:szCs w:val="24"/>
                <w:highlight w:val="none"/>
                <w:u w:val="none"/>
                <w:lang w:val="en-US" w:eastAsia="zh-CN" w:bidi="ar"/>
              </w:rPr>
              <w:t>筒单</w:t>
            </w:r>
            <w:r>
              <w:rPr>
                <w:rFonts w:hint="eastAsia" w:ascii="宋体" w:hAnsi="宋体" w:eastAsia="宋体" w:cs="宋体"/>
                <w:i w:val="0"/>
                <w:iCs w:val="0"/>
                <w:color w:val="000000"/>
                <w:kern w:val="0"/>
                <w:sz w:val="24"/>
                <w:szCs w:val="24"/>
                <w:highlight w:val="none"/>
                <w:u w:val="none"/>
                <w:lang w:val="en-US" w:eastAsia="zh-CN" w:bidi="ar"/>
              </w:rPr>
              <w:t>水龙头（铜）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F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09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5C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27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D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3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双连龙头（铜）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B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2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9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10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A7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4A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C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8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抽拉龙头（铜）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7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9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E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53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54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F1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5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7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臂碰龙头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5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A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96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8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高臂碰龙头（铜）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9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A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B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FB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02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E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B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钢丝网管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8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7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C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98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59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9F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1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D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BC25">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F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F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2D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85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E1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E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下水盆口（家装）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9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1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B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0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7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01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1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C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不锈钢盆口（带下水管）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8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φ75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C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B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DF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A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CE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3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E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不锈钢盆（厚壁）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4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0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1F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76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21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E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E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水拔子（牛筋）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138">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4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9B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86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26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0A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F5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球阀（铜）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E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C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8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6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06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E09A">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FB6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4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2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1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2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15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363D">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7D74">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A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1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9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21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55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E0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PPR双活接球阀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5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0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2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A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B1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F99C">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4F69">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2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F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9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1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A7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生料带（实芯）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B646">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5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5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A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9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B2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双联阀芯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474">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3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D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2D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5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D7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大便冲洗阀（铜）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9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1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C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F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67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06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1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大便水箱（加厚）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07A7">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2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BF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18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7C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B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8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大便脚踏阀（铜）立式</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3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B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E9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3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大便脚踏阀（铜）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9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5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F4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03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4F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A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6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小便冲洗阀（铜）（明装）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6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4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6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40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F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5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液位计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0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E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8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4F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A4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B5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保险钩（国标）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6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AF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FA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F1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C7FC">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6DC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8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1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C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56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0D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42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58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法兰垫子（国标）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F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2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E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AE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27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A1E4">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CB9F">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B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C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3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7A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DE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CCCBE">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9938">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5A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96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CC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B211">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2CAA6">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C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3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D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F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6F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41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BF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15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堵板（国标）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4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0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5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7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B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7F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A8B9">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E18B">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1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D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0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CD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5B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2FD9">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6569">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A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D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2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F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45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42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22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堵头（国标）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0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F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DB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56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67F4">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B8F8">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4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D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BE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57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7433">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FBC3">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9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B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C9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78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28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8A5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0151">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3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F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CA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52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97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9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B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活接垫子（牛筋）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D2E6">
            <w:pPr>
              <w:jc w:val="center"/>
              <w:rPr>
                <w:rFonts w:hint="eastAsia" w:ascii="宋体" w:hAnsi="宋体" w:eastAsia="宋体" w:cs="宋体"/>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0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5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DA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DC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FF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4D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法兰片（国标）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5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1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9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BF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B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ED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D99B">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ACC2">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F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2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F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3D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33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31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62FF">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C1AF">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8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A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17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BF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15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E828">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660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0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0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0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F0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6E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31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D2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上水软管（高压）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9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2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E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57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B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44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237D">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27D2">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0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B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B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55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F5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C63D">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B33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D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C1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96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8678">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2926">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9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E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1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B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E5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60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B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上水软管（高压公母头）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D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C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F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9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9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B8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CE0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C730">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9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4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A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0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76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23A3">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7DAD">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3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0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F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D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D2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3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14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管古（镀锌）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D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6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E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3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28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AFAF">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2D4F">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2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5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A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35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0E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990C">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A148">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1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1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01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39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47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9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0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水不漏</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5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A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7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D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AC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F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1C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PPR三通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加厚</w:t>
            </w:r>
            <w:r>
              <w:rPr>
                <w:rFonts w:hint="eastAsia" w:ascii="宋体" w:hAnsi="宋体" w:cs="宋体"/>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6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4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C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21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83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41B4">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4C76">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F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6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4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30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3D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CE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7D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PPR弯头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加厚</w:t>
            </w:r>
            <w:r>
              <w:rPr>
                <w:rFonts w:hint="eastAsia" w:ascii="宋体" w:hAnsi="宋体" w:cs="宋体"/>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C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9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5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52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87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9E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5144">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3BA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5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E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6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44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EF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6B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PPR管古</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加厚</w:t>
            </w:r>
            <w:r>
              <w:rPr>
                <w:rFonts w:hint="eastAsia" w:ascii="宋体" w:hAnsi="宋体" w:cs="宋体"/>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6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C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2B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2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4C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FF26">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B87B">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1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4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9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67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1A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64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AC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PPR截止阀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5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E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79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37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34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9A3A">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C158">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B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4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9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54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C5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2165">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6701">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6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5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AB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89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89C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3AF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2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7C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1C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CFC7">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41D5">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5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0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E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3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48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40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9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0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1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C9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F1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FC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5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6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PE-RT球阀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6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0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A7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C7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4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面盆下水（带钢丝）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A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E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16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1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CF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A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A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小便下水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5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1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B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D4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19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2A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9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B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铜浮球阀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A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2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B7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92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2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法兰闸阀（铜丝杆）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D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E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8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0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7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F1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8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法兰截止阀（铜丝杆）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E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8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E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9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3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80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1973">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56AD">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8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1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3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12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BF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BE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B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AE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止回阀（铜芯）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7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3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09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0D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F396">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85C5">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8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C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C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77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EB09">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14F8">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F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6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1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C0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96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B0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7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9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9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B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B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32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86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46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4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B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高浓度</w:t>
            </w:r>
            <w:r>
              <w:rPr>
                <w:rFonts w:hint="eastAsia" w:ascii="宋体" w:hAnsi="宋体" w:cs="宋体"/>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ABDB">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7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1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D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20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F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8D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镀锌管（国标）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3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7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9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F0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AF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7C0E">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7BC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3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6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F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E9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6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CB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ECB6">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CD22">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1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A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D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E5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B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F0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疏通条</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8A976">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4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98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92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7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2A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淋浴接头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家装）</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A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A5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4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EA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C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45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C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2C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防臭器</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37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CE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4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8A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EA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0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35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pvc45°弯头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5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A2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2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E2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C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08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E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pvc伸缩节</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A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D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D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A0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6B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61D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活接垫子（牛筋）</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51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2F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A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D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A3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A8172">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150F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72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8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FD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C8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8C0F">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A0A7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79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AF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B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1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FB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51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0908">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0B3D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9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F0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7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5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8F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5C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DD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CF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镀锌管（国标，热镀管）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1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1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66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66E6">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BA8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C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A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F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4B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61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B99A7">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C939">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4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9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DB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A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BD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16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53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保温棉（合成海绵）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B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C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E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8C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3E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9BED">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5BCB">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7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7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4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5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42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A168B">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0E6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D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97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4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9E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89EB9">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DDC3">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8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22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68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03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22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22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PERT转换接头（加厚）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2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F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9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25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F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7D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32E2">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811A">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6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C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1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99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2A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35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707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B2891">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1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4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D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12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07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8B9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ACB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7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5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0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1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E0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7F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51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PERT双活接球阀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2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B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C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B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03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C3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8684">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3DC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6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9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3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DE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A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7F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403C">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34AB">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5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A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E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0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03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5D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E257">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985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7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6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AA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1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A5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40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25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304不锈钢管件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0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φ25*25外直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1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6C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B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F0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25FD">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2050">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2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φ32*25外直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8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B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23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7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2AB9">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C34D">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0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φ20*20外直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B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E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D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79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AE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A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蹲便防臭口（不锈钢）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2970">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2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66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79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F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D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结构胶（白色）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E477">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D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5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36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47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D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0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玻璃胶（速干、无味）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8FC9">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F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9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D8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SBS防水胶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69F7">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E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25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C9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57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9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F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小便感应器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9A67">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2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5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BA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2B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2A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B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6EA6">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17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75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13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AD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EF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2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8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A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4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10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BC5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9C69">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9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2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19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6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蹲便器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69E8">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D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F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A3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9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坐便器法兰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E949">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7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6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CC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A0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EE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B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5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蹲便器法兰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A0E0">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3E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B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0E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5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蹲便器进水密封圈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F4B">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6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2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9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BC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4F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26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A3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蹲便口</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B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61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0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83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878AB">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51E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6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0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CB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EC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0E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0C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upvc管子（加厚）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36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5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0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D9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9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25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A07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00D4">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C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5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1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2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44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F7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AEF7">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1544">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2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B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1F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5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BD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E67B">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BC1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D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8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B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9C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8C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C3FA">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7086">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C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5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0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4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1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EF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18D7">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DE63">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F2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A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A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4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F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4E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5A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0F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upvc活接（加厚）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5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A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4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1A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F708">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BF4A3">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9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F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8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3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85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48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C431F">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715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A8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E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4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6E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E8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C7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415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DD24">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A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8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F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F4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892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588B">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7F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D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E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60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2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EA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61C5">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C5D8">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60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F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0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0F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51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6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16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upvc弯头（加厚）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5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7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32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47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2572">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42E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ED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2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AF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4C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5A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503A">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0723">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A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9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4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A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2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2A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5FFB">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1C4F">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C3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1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0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8C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A7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1088">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0000">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7D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4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5F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7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CC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CA6B">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03B8">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C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1A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A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93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C4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DD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过丝机板牙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细丝</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9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1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2D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8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AD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1B83">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821A">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9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粗丝</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3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2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EB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2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35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A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UPVC胶水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B1A0">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E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A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2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D5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D3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9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1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花洒混合阀（铜）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FB5E">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B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2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6D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F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34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6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C9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拖把池盆口（家装）</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1E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8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47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34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4C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219F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743E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A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1F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F8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CF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C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PVC伸缩节</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6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1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B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98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C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71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A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9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PVC伸缩节</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A1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B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44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E0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86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5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C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止回阀铜制</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89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B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1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B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F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18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止回阀铜制</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8B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7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A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0C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止回阀铜制</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95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B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9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1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5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05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0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龙头阀芯铜制</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27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E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5A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6D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74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53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pvc管卡</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BD7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0A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BC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8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87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2D76">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47DF">
            <w:pPr>
              <w:jc w:val="center"/>
              <w:rPr>
                <w:rFonts w:hint="eastAsia" w:ascii="宋体" w:hAnsi="宋体" w:eastAsia="宋体" w:cs="宋体"/>
                <w:i w:val="0"/>
                <w:iCs w:val="0"/>
                <w:color w:val="000000"/>
                <w:sz w:val="24"/>
                <w:szCs w:val="24"/>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F8522">
            <w:pPr>
              <w:jc w:val="center"/>
              <w:rPr>
                <w:rFonts w:hint="eastAsia" w:ascii="宋体" w:hAnsi="宋体" w:eastAsia="宋体" w:cs="宋体"/>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270E">
            <w:pPr>
              <w:jc w:val="center"/>
              <w:rPr>
                <w:rFonts w:hint="eastAsia" w:ascii="宋体" w:hAnsi="宋体" w:eastAsia="宋体" w:cs="宋体"/>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0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0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61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14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2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C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胀管不锈钢</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2F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8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A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B2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4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D4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9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活接铁质国标</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5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2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B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7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ED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2A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F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活接铁质国标</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3B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C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4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F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FE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CE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A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3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活接铁质国标</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5E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6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F1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3E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15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06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CB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弯头铁制</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E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0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9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CC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CE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281F">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6B85">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CB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AD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FD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A3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5D65">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C937">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FC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F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58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2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0E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89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6E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铁制对丝</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92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A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B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E8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F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6D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A43C">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644D">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36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F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10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26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1B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4A79">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D1B4">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E7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1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1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C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FB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7B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8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ppy管子热水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8E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2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D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2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CF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7D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F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ppy管子（热水）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69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3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8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7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51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3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5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ppy管子（热水）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FB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8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0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90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9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ppy管子（热水）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D3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3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B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81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9F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3C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4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8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ppy管子（热水）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B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2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E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74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4D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0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ppy管子（热水）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2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0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16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3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01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5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8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臂碰双联（铜制）</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3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4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2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AF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47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7F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2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PPR内丝弯头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F6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9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83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F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DA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4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D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PPR内丝弯头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5A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7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20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0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PPR内丝弯头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32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B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C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0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8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35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4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6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PPR内丝弯头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43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3E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C3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3E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8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F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PPR内丝弯头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6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4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D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C6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C7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B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4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PPR内丝弯头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1D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E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76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EC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43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88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C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内丝三通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31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3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0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3D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03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E7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664C">
            <w:pPr>
              <w:jc w:val="center"/>
              <w:rPr>
                <w:rFonts w:hint="eastAsia" w:ascii="宋体" w:hAnsi="宋体" w:eastAsia="宋体" w:cs="宋体"/>
                <w:i w:val="0"/>
                <w:iCs w:val="0"/>
                <w:color w:val="000000"/>
                <w:sz w:val="24"/>
                <w:szCs w:val="24"/>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内丝三通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9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3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1D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D2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99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EC7E">
            <w:pPr>
              <w:jc w:val="center"/>
              <w:rPr>
                <w:rFonts w:hint="eastAsia" w:ascii="宋体" w:hAnsi="宋体" w:eastAsia="宋体" w:cs="宋体"/>
                <w:i w:val="0"/>
                <w:iCs w:val="0"/>
                <w:color w:val="000000"/>
                <w:sz w:val="24"/>
                <w:szCs w:val="24"/>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B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内丝三通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A9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68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D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21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261A">
            <w:pPr>
              <w:jc w:val="center"/>
              <w:rPr>
                <w:rFonts w:hint="eastAsia" w:ascii="宋体" w:hAnsi="宋体" w:eastAsia="宋体" w:cs="宋体"/>
                <w:i w:val="0"/>
                <w:iCs w:val="0"/>
                <w:color w:val="000000"/>
                <w:sz w:val="24"/>
                <w:szCs w:val="24"/>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内丝三通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F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1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CF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CC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58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BCE0">
            <w:pPr>
              <w:jc w:val="center"/>
              <w:rPr>
                <w:rFonts w:hint="eastAsia" w:ascii="宋体" w:hAnsi="宋体" w:eastAsia="宋体" w:cs="宋体"/>
                <w:i w:val="0"/>
                <w:iCs w:val="0"/>
                <w:color w:val="000000"/>
                <w:sz w:val="24"/>
                <w:szCs w:val="24"/>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内丝三通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01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C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9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B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5E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38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2B10">
            <w:pPr>
              <w:jc w:val="center"/>
              <w:rPr>
                <w:rFonts w:hint="eastAsia" w:ascii="宋体" w:hAnsi="宋体" w:eastAsia="宋体" w:cs="宋体"/>
                <w:i w:val="0"/>
                <w:iCs w:val="0"/>
                <w:color w:val="000000"/>
                <w:sz w:val="24"/>
                <w:szCs w:val="24"/>
                <w:u w:val="none"/>
              </w:rPr>
            </w:pP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1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内丝三通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DC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0C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2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96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4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F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地暖分水器（铜）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9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A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A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D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2A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E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5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地暖分水器（铜）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3F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B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A6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7B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11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4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8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地暖分水器（铜）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B9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3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7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D6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3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D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地暖分水器（铜）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88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E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A8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68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C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6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地暖过滤球阀PERT（铜）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7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1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BD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1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28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A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5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地暖过</w:t>
            </w:r>
            <w:r>
              <w:rPr>
                <w:rFonts w:hint="eastAsia" w:ascii="宋体" w:hAnsi="宋体" w:eastAsia="宋体" w:cs="宋体"/>
                <w:i w:val="0"/>
                <w:iCs w:val="0"/>
                <w:color w:val="000000"/>
                <w:kern w:val="0"/>
                <w:sz w:val="24"/>
                <w:szCs w:val="24"/>
                <w:u w:val="none"/>
                <w:lang w:val="en-US" w:eastAsia="zh-CN" w:bidi="ar"/>
              </w:rPr>
              <w:t>滤球阀PERT（铜）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1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5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E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E5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F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00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8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1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球阀（铜）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70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1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C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2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12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A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B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球阀（铜）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5E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0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0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C5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4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04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C2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8A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地暖管</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3A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1A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F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25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373F">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5EBC">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B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4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07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D5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17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B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4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暖气片跑风（铜）</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BC2CB">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F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3D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3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A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暖气自动排气阀</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B0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20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2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6A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F6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BD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电焊条</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8E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0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B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6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B1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EF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7910">
            <w:pPr>
              <w:jc w:val="center"/>
              <w:rPr>
                <w:rFonts w:hint="eastAsia" w:ascii="宋体" w:hAnsi="宋体" w:eastAsia="宋体" w:cs="宋体"/>
                <w:i w:val="0"/>
                <w:iCs w:val="0"/>
                <w:color w:val="000000"/>
                <w:sz w:val="24"/>
                <w:szCs w:val="24"/>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475E">
            <w:pPr>
              <w:jc w:val="cente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20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1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86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12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47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B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C15DC">
            <w:pPr>
              <w:jc w:val="center"/>
              <w:rPr>
                <w:rFonts w:hint="eastAsia" w:ascii="宋体" w:hAnsi="宋体" w:eastAsia="宋体" w:cs="宋体"/>
                <w:i w:val="0"/>
                <w:iCs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A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F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A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76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3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二保焊丝</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ED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3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0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D9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A9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E8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5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1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激光焊丝</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AD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0.6-0.8-1.0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A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6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2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0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88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F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highlight w:val="none"/>
                <w:u w:val="none"/>
                <w:lang w:val="en-US" w:eastAsia="zh-CN" w:bidi="ar"/>
              </w:rPr>
              <w:t>304不锈钢</w:t>
            </w:r>
            <w:r>
              <w:rPr>
                <w:rFonts w:hint="eastAsia" w:ascii="宋体" w:hAnsi="宋体" w:eastAsia="宋体" w:cs="宋体"/>
                <w:i w:val="0"/>
                <w:iCs w:val="0"/>
                <w:color w:val="000000"/>
                <w:kern w:val="0"/>
                <w:sz w:val="24"/>
                <w:szCs w:val="24"/>
                <w:highlight w:val="none"/>
                <w:u w:val="none"/>
                <w:lang w:val="en-US" w:eastAsia="zh-CN" w:bidi="ar"/>
              </w:rPr>
              <w:t>焊</w:t>
            </w:r>
            <w:r>
              <w:rPr>
                <w:rFonts w:hint="eastAsia" w:ascii="宋体" w:hAnsi="宋体" w:eastAsia="宋体" w:cs="宋体"/>
                <w:i w:val="0"/>
                <w:iCs w:val="0"/>
                <w:color w:val="000000"/>
                <w:kern w:val="0"/>
                <w:sz w:val="24"/>
                <w:szCs w:val="24"/>
                <w:u w:val="none"/>
                <w:lang w:val="en-US" w:eastAsia="zh-CN" w:bidi="ar"/>
              </w:rPr>
              <w:t>丝</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A9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0.6-0.8-1.0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F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F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A8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0BEDD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bCs/>
          <w:color w:val="0D0D0D"/>
          <w:kern w:val="0"/>
          <w:sz w:val="24"/>
          <w:highlight w:val="none"/>
          <w:lang w:val="en-US" w:eastAsia="zh-CN"/>
        </w:rPr>
      </w:pPr>
      <w:r>
        <w:rPr>
          <w:rFonts w:hint="eastAsia" w:ascii="宋体" w:hAnsi="宋体" w:cs="宋体"/>
          <w:b/>
          <w:bCs/>
          <w:color w:val="0D0D0D"/>
          <w:kern w:val="0"/>
          <w:sz w:val="24"/>
          <w:highlight w:val="none"/>
          <w:lang w:val="en-US" w:eastAsia="zh-CN"/>
        </w:rPr>
        <w:t>*注：预估数量仅作为报价评估使用，不作为实际采购承诺，采购人有权根据实际需求对预估数量进行变化和调整。</w:t>
      </w:r>
    </w:p>
    <w:p w14:paraId="13AF1EE1">
      <w:pPr>
        <w:keepNext w:val="0"/>
        <w:keepLines w:val="0"/>
        <w:pageBreakBefore w:val="0"/>
        <w:kinsoku/>
        <w:wordWrap/>
        <w:overflowPunct/>
        <w:topLinePunct w:val="0"/>
        <w:autoSpaceDE/>
        <w:autoSpaceDN/>
        <w:bidi w:val="0"/>
        <w:adjustRightInd/>
        <w:snapToGrid/>
        <w:spacing w:line="560" w:lineRule="exact"/>
        <w:ind w:right="81" w:rightChars="39"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四、服务</w:t>
      </w:r>
      <w:r>
        <w:rPr>
          <w:rFonts w:hint="default" w:ascii="宋体" w:hAnsi="宋体" w:eastAsia="宋体" w:cs="宋体"/>
          <w:b/>
          <w:bCs/>
          <w:sz w:val="24"/>
          <w:highlight w:val="none"/>
          <w:lang w:val="en-US" w:eastAsia="zh-CN"/>
        </w:rPr>
        <w:t>要求</w:t>
      </w:r>
      <w:r>
        <w:rPr>
          <w:rFonts w:hint="eastAsia" w:ascii="宋体" w:hAnsi="宋体" w:eastAsia="宋体" w:cs="宋体"/>
          <w:b/>
          <w:bCs/>
          <w:sz w:val="24"/>
          <w:highlight w:val="none"/>
          <w:lang w:val="en-US" w:eastAsia="zh-CN"/>
        </w:rPr>
        <w:t>：</w:t>
      </w:r>
    </w:p>
    <w:p w14:paraId="19BA8B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1.所供产品必须符合国家现行质量标准和行业规范，同时满足医院招标文件中明确的规格参数要求，提供产品合格证、质检报告、出厂证明等文件。</w:t>
      </w:r>
    </w:p>
    <w:p w14:paraId="6A1F8C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2.涉及医用纯水、热水系统的材料，需满足卫生安全要求（如符合食品级或医用级标准），避免污染水质。</w:t>
      </w:r>
    </w:p>
    <w:p w14:paraId="70BEA1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3.材料需具备耐用性、抗腐蚀性，适应医院潮湿环境及频繁使用场景。</w:t>
      </w:r>
    </w:p>
    <w:p w14:paraId="3B8BF8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4.按医院需求通知进行供货，常规产品24小时内送达，紧急需求（如设备维修急需配件）2～4小时内送达。建立应急供货机制，确保突发情况下产品优先、及时供应，避免影响医院应急维修及后勤保障工作。</w:t>
      </w:r>
    </w:p>
    <w:p w14:paraId="49459D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5.产品在运输、装卸、搬运过程中，应保障工作人员及第三方人员人身及财产安全，如发生安全事故，均由供应商负责，给采购人造成的损失，由供应商负责赔偿。</w:t>
      </w:r>
    </w:p>
    <w:p w14:paraId="7B8DBA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D0D0D"/>
          <w:kern w:val="0"/>
          <w:sz w:val="24"/>
          <w:highlight w:val="none"/>
        </w:rPr>
      </w:pPr>
      <w:r>
        <w:rPr>
          <w:rFonts w:hint="eastAsia" w:ascii="宋体" w:hAnsi="宋体" w:cs="宋体"/>
          <w:b/>
          <w:bCs/>
          <w:color w:val="0D0D0D"/>
          <w:kern w:val="0"/>
          <w:sz w:val="24"/>
          <w:highlight w:val="none"/>
          <w:lang w:val="en-US" w:eastAsia="zh-CN"/>
        </w:rPr>
        <w:t>五、</w:t>
      </w:r>
      <w:r>
        <w:rPr>
          <w:rFonts w:hint="eastAsia" w:ascii="宋体" w:hAnsi="宋体" w:eastAsia="宋体" w:cs="宋体"/>
          <w:b/>
          <w:bCs/>
          <w:color w:val="0D0D0D"/>
          <w:kern w:val="0"/>
          <w:sz w:val="24"/>
          <w:highlight w:val="none"/>
        </w:rPr>
        <w:t>合同履行期限</w:t>
      </w:r>
      <w:r>
        <w:rPr>
          <w:rFonts w:hint="eastAsia" w:ascii="宋体" w:hAnsi="宋体" w:eastAsia="宋体" w:cs="宋体"/>
          <w:color w:val="0D0D0D"/>
          <w:kern w:val="0"/>
          <w:sz w:val="24"/>
          <w:highlight w:val="none"/>
        </w:rPr>
        <w:t>：</w:t>
      </w:r>
    </w:p>
    <w:p w14:paraId="197134D5">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iCs/>
          <w:kern w:val="0"/>
          <w:sz w:val="24"/>
          <w:szCs w:val="24"/>
          <w:lang w:val="en-US" w:eastAsia="zh-CN" w:bidi="ar-SA"/>
        </w:rPr>
      </w:pPr>
      <w:bookmarkStart w:id="526" w:name="_Toc29406"/>
      <w:r>
        <w:rPr>
          <w:rFonts w:hint="eastAsia" w:ascii="宋体" w:hAnsi="宋体" w:eastAsia="宋体" w:cs="宋体"/>
          <w:b w:val="0"/>
          <w:iCs/>
          <w:kern w:val="0"/>
          <w:sz w:val="24"/>
          <w:szCs w:val="24"/>
          <w:lang w:val="en-US" w:eastAsia="zh-CN" w:bidi="ar-SA"/>
        </w:rPr>
        <w:t>1.合同履行期限</w:t>
      </w:r>
      <w:r>
        <w:rPr>
          <w:rFonts w:hint="eastAsia" w:ascii="宋体" w:hAnsi="宋体" w:eastAsia="宋体" w:cs="宋体"/>
          <w:b w:val="0"/>
          <w:iCs/>
          <w:kern w:val="0"/>
          <w:sz w:val="24"/>
          <w:szCs w:val="24"/>
          <w:highlight w:val="none"/>
          <w:lang w:val="en-US" w:eastAsia="zh-CN" w:bidi="ar-SA"/>
        </w:rPr>
        <w:t>：供货期1年，自合同签订之日起计算。</w:t>
      </w:r>
      <w:r>
        <w:rPr>
          <w:rFonts w:hint="eastAsia" w:ascii="宋体" w:hAnsi="宋体" w:eastAsia="宋体" w:cs="宋体"/>
          <w:b w:val="0"/>
          <w:iCs/>
          <w:kern w:val="0"/>
          <w:sz w:val="24"/>
          <w:szCs w:val="24"/>
          <w:lang w:val="en-US" w:eastAsia="zh-CN" w:bidi="ar-SA"/>
        </w:rPr>
        <w:t xml:space="preserve"> </w:t>
      </w:r>
    </w:p>
    <w:p w14:paraId="1D8FA395">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2.服务地点：甘肃医学院附属医院指定地点。</w:t>
      </w:r>
    </w:p>
    <w:p w14:paraId="189D72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D0D0D"/>
          <w:kern w:val="0"/>
          <w:sz w:val="24"/>
          <w:highlight w:val="none"/>
          <w:lang w:val="en-US" w:eastAsia="zh-CN"/>
        </w:rPr>
      </w:pPr>
      <w:r>
        <w:rPr>
          <w:rFonts w:hint="eastAsia" w:ascii="宋体" w:hAnsi="宋体" w:eastAsia="宋体" w:cs="宋体"/>
          <w:b/>
          <w:bCs/>
          <w:color w:val="0D0D0D"/>
          <w:kern w:val="0"/>
          <w:sz w:val="24"/>
          <w:highlight w:val="none"/>
          <w:lang w:val="en-US" w:eastAsia="zh-CN"/>
        </w:rPr>
        <w:t>六、质保期：</w:t>
      </w:r>
    </w:p>
    <w:p w14:paraId="096A5E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质保期：1年，自产品验收合格之日起计算。</w:t>
      </w:r>
    </w:p>
    <w:p w14:paraId="70D517EC">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1.质保期内，供应商须提供7*24小时售后服务，若出现质量问题需无条件退换。</w:t>
      </w:r>
    </w:p>
    <w:p w14:paraId="69ABCC76">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2.在接到医院质量问题反馈时，2小时内予以响应，24小时内完成退换，因此产生的一切相关费用和损失均由供应商承担。</w:t>
      </w:r>
    </w:p>
    <w:p w14:paraId="4FB0EEAC">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3.每半年进行一次回访，了解产品供货的及时性、产品使用的稳定性等情况，免费提供产品使用维护培训、解答使用过程中的技术疑问，提供专业操作指导等服务。</w:t>
      </w:r>
    </w:p>
    <w:p w14:paraId="3FB9C0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D0D0D"/>
          <w:kern w:val="0"/>
          <w:sz w:val="24"/>
          <w:highlight w:val="none"/>
          <w:lang w:val="en-US" w:eastAsia="zh-CN"/>
        </w:rPr>
      </w:pPr>
      <w:r>
        <w:rPr>
          <w:rFonts w:hint="eastAsia" w:ascii="宋体" w:hAnsi="宋体" w:eastAsia="宋体" w:cs="宋体"/>
          <w:b/>
          <w:bCs/>
          <w:color w:val="0D0D0D"/>
          <w:kern w:val="0"/>
          <w:sz w:val="24"/>
          <w:highlight w:val="none"/>
          <w:lang w:val="en-US" w:eastAsia="zh-CN"/>
        </w:rPr>
        <w:t>七、付款方式：</w:t>
      </w:r>
    </w:p>
    <w:p w14:paraId="22E9EA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根据甲方需求按月供货，产品经验收合格后，每月据实结算。</w:t>
      </w:r>
    </w:p>
    <w:p w14:paraId="1B7F71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0D0D0D"/>
          <w:kern w:val="0"/>
          <w:sz w:val="24"/>
          <w:highlight w:val="none"/>
          <w:lang w:val="en-US" w:eastAsia="zh-CN"/>
        </w:rPr>
      </w:pPr>
      <w:r>
        <w:rPr>
          <w:rFonts w:hint="eastAsia" w:ascii="宋体" w:hAnsi="宋体" w:eastAsia="宋体" w:cs="宋体"/>
          <w:b/>
          <w:bCs/>
          <w:color w:val="0D0D0D"/>
          <w:kern w:val="0"/>
          <w:sz w:val="24"/>
          <w:highlight w:val="none"/>
          <w:lang w:val="en-US" w:eastAsia="zh-CN"/>
        </w:rPr>
        <w:t>八、验收标准及要求</w:t>
      </w:r>
    </w:p>
    <w:p w14:paraId="7ECEE6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1.以国家及行业标准，招标文件、合同约定、经确认的产品样品为验收依据。</w:t>
      </w:r>
    </w:p>
    <w:p w14:paraId="3E9502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2.产品送达后，负责搬运并堆放至指定位置，堆放整齐。由医院管理科室专人对产品的外观、数量、规格、质量证明文件进行验收，双方签署产品验收清单。</w:t>
      </w:r>
    </w:p>
    <w:p w14:paraId="539EC7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iCs/>
          <w:kern w:val="0"/>
          <w:sz w:val="24"/>
          <w:szCs w:val="24"/>
          <w:lang w:val="en-US" w:eastAsia="zh-CN" w:bidi="ar-SA"/>
        </w:rPr>
      </w:pPr>
      <w:r>
        <w:rPr>
          <w:rFonts w:hint="eastAsia" w:ascii="宋体" w:hAnsi="宋体" w:eastAsia="宋体" w:cs="宋体"/>
          <w:b w:val="0"/>
          <w:iCs/>
          <w:kern w:val="0"/>
          <w:sz w:val="24"/>
          <w:szCs w:val="24"/>
          <w:lang w:val="en-US" w:eastAsia="zh-CN" w:bidi="ar-SA"/>
        </w:rPr>
        <w:t>3.验收时若遇不合格产品，由供应商免费退换货。若因产品不合格导致医院后勤保障工作受到影响，按合同约定的违约责任执行。</w:t>
      </w:r>
    </w:p>
    <w:p w14:paraId="2E75101F">
      <w:pPr>
        <w:bidi w:val="0"/>
        <w:ind w:left="0" w:leftChars="0" w:right="0" w:rightChars="0" w:firstLine="0" w:firstLineChars="0"/>
        <w:jc w:val="center"/>
        <w:rPr>
          <w:rFonts w:hint="eastAsia" w:ascii="方正小标宋简体" w:hAnsi="方正小标宋简体" w:eastAsia="方正小标宋简体" w:cs="方正小标宋简体"/>
          <w:color w:val="auto"/>
          <w:sz w:val="36"/>
          <w:szCs w:val="36"/>
          <w:lang w:val="en-US" w:eastAsia="zh-CN"/>
        </w:rPr>
      </w:pPr>
    </w:p>
    <w:p w14:paraId="7218894F">
      <w:pPr>
        <w:bidi w:val="0"/>
        <w:ind w:left="0" w:leftChars="0" w:right="0" w:rightChars="0" w:firstLine="0" w:firstLineChars="0"/>
        <w:jc w:val="center"/>
        <w:rPr>
          <w:rFonts w:hint="eastAsia" w:ascii="方正小标宋简体" w:hAnsi="方正小标宋简体" w:eastAsia="方正小标宋简体" w:cs="方正小标宋简体"/>
          <w:color w:val="auto"/>
          <w:sz w:val="36"/>
          <w:szCs w:val="36"/>
          <w:lang w:val="en-US" w:eastAsia="zh-CN"/>
        </w:rPr>
      </w:pPr>
    </w:p>
    <w:p w14:paraId="2A5F9D87">
      <w:pPr>
        <w:bidi w:val="0"/>
        <w:ind w:left="0" w:leftChars="0" w:right="0" w:rightChars="0" w:firstLine="0" w:firstLineChars="0"/>
        <w:jc w:val="center"/>
        <w:rPr>
          <w:rFonts w:hint="eastAsia" w:ascii="方正小标宋简体" w:hAnsi="方正小标宋简体" w:eastAsia="方正小标宋简体" w:cs="方正小标宋简体"/>
          <w:color w:val="auto"/>
          <w:sz w:val="36"/>
          <w:szCs w:val="36"/>
          <w:lang w:val="en-US" w:eastAsia="zh-CN"/>
        </w:rPr>
      </w:pPr>
    </w:p>
    <w:p w14:paraId="2F90D9BB">
      <w:pPr>
        <w:bidi w:val="0"/>
        <w:ind w:left="0" w:leftChars="0" w:right="0" w:rightChars="0" w:firstLine="0" w:firstLineChars="0"/>
        <w:jc w:val="center"/>
        <w:rPr>
          <w:rFonts w:hint="eastAsia" w:ascii="方正小标宋简体" w:hAnsi="方正小标宋简体" w:eastAsia="方正小标宋简体" w:cs="方正小标宋简体"/>
          <w:color w:val="auto"/>
          <w:sz w:val="36"/>
          <w:szCs w:val="36"/>
          <w:lang w:val="en-US" w:eastAsia="zh-CN"/>
        </w:rPr>
      </w:pPr>
    </w:p>
    <w:p w14:paraId="2925E29C">
      <w:pPr>
        <w:bidi w:val="0"/>
        <w:ind w:left="0" w:leftChars="0" w:right="0" w:rightChars="0" w:firstLine="0" w:firstLineChars="0"/>
        <w:jc w:val="center"/>
        <w:rPr>
          <w:rFonts w:hint="eastAsia" w:ascii="仿宋" w:hAnsi="仿宋" w:eastAsia="仿宋" w:cs="仿宋"/>
          <w:sz w:val="28"/>
          <w:szCs w:val="28"/>
          <w:highlight w:val="none"/>
          <w:lang w:val="en-US" w:eastAsia="zh-CN"/>
        </w:rPr>
        <w:sectPr>
          <w:footerReference r:id="rId5" w:type="default"/>
          <w:pgSz w:w="11906" w:h="16838"/>
          <w:pgMar w:top="1701" w:right="1701" w:bottom="1418" w:left="1418" w:header="1247" w:footer="737" w:gutter="0"/>
          <w:pgNumType w:fmt="decimal" w:start="33"/>
          <w:cols w:space="425" w:num="1"/>
          <w:docGrid w:type="linesAndChars" w:linePitch="312" w:charSpace="0"/>
        </w:sectPr>
      </w:pPr>
    </w:p>
    <w:p w14:paraId="238B8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D0D0D"/>
          <w:kern w:val="0"/>
          <w:sz w:val="24"/>
          <w:highlight w:val="none"/>
        </w:rPr>
      </w:pPr>
    </w:p>
    <w:p w14:paraId="0E6E7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D0D0D"/>
          <w:kern w:val="0"/>
          <w:sz w:val="24"/>
          <w:highlight w:val="none"/>
        </w:rPr>
      </w:pPr>
    </w:p>
    <w:p w14:paraId="36DF5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D0D0D"/>
          <w:kern w:val="0"/>
          <w:sz w:val="24"/>
          <w:highlight w:val="none"/>
        </w:rPr>
      </w:pPr>
    </w:p>
    <w:p w14:paraId="4EF388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69"/>
          <w:rFonts w:hint="eastAsia" w:ascii="宋体" w:hAnsi="宋体" w:eastAsia="宋体" w:cs="宋体"/>
          <w:sz w:val="44"/>
          <w:szCs w:val="44"/>
          <w:highlight w:val="none"/>
        </w:rPr>
      </w:pPr>
    </w:p>
    <w:p w14:paraId="7F6576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69"/>
          <w:rFonts w:hint="eastAsia" w:ascii="宋体" w:hAnsi="宋体" w:eastAsia="宋体" w:cs="宋体"/>
          <w:sz w:val="44"/>
          <w:szCs w:val="44"/>
          <w:highlight w:val="none"/>
        </w:rPr>
      </w:pPr>
    </w:p>
    <w:p w14:paraId="0664EC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69"/>
          <w:rFonts w:hint="eastAsia" w:ascii="宋体" w:hAnsi="宋体" w:eastAsia="宋体" w:cs="宋体"/>
          <w:sz w:val="44"/>
          <w:szCs w:val="44"/>
          <w:highlight w:val="none"/>
        </w:rPr>
      </w:pPr>
    </w:p>
    <w:p w14:paraId="5AE097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69"/>
          <w:rFonts w:hint="eastAsia" w:ascii="宋体" w:hAnsi="宋体" w:eastAsia="宋体" w:cs="宋体"/>
          <w:sz w:val="44"/>
          <w:szCs w:val="44"/>
          <w:highlight w:val="none"/>
        </w:rPr>
      </w:pPr>
    </w:p>
    <w:p w14:paraId="7453A5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69"/>
          <w:rFonts w:hint="eastAsia" w:ascii="宋体" w:hAnsi="宋体" w:eastAsia="宋体" w:cs="宋体"/>
          <w:sz w:val="44"/>
          <w:szCs w:val="44"/>
          <w:highlight w:val="none"/>
        </w:rPr>
      </w:pPr>
    </w:p>
    <w:p w14:paraId="374393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69"/>
          <w:rFonts w:hint="eastAsia" w:ascii="宋体" w:hAnsi="宋体" w:eastAsia="宋体" w:cs="宋体"/>
          <w:sz w:val="44"/>
          <w:szCs w:val="44"/>
          <w:highlight w:val="none"/>
        </w:rPr>
      </w:pPr>
    </w:p>
    <w:p w14:paraId="5D7F07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highlight w:val="none"/>
        </w:rPr>
      </w:pPr>
      <w:r>
        <w:rPr>
          <w:rStyle w:val="69"/>
          <w:rFonts w:hint="eastAsia" w:ascii="宋体" w:hAnsi="宋体" w:eastAsia="宋体" w:cs="宋体"/>
          <w:sz w:val="44"/>
          <w:szCs w:val="44"/>
          <w:highlight w:val="none"/>
        </w:rPr>
        <w:t>第四章  合同条款及合同格式</w:t>
      </w:r>
      <w:bookmarkEnd w:id="526"/>
    </w:p>
    <w:p w14:paraId="5D02F71B">
      <w:pPr>
        <w:pStyle w:val="9"/>
        <w:ind w:firstLine="0"/>
        <w:jc w:val="center"/>
        <w:rPr>
          <w:rFonts w:hint="eastAsia" w:ascii="宋体" w:hAnsi="宋体" w:eastAsia="宋体" w:cs="宋体"/>
          <w:b/>
          <w:color w:val="000000"/>
          <w:sz w:val="44"/>
          <w:szCs w:val="44"/>
          <w:highlight w:val="none"/>
          <w:lang w:eastAsia="zh-CN"/>
        </w:rPr>
      </w:pPr>
    </w:p>
    <w:p w14:paraId="001B1531">
      <w:pPr>
        <w:pStyle w:val="9"/>
        <w:ind w:firstLine="0"/>
        <w:jc w:val="center"/>
        <w:rPr>
          <w:rStyle w:val="69"/>
          <w:rFonts w:hint="eastAsia" w:ascii="宋体" w:hAnsi="宋体" w:cs="宋体"/>
          <w:sz w:val="44"/>
          <w:szCs w:val="44"/>
          <w:highlight w:val="none"/>
          <w:lang w:val="en-US" w:eastAsia="zh-CN" w:bidi="ar-SA"/>
        </w:rPr>
      </w:pPr>
    </w:p>
    <w:p w14:paraId="0CFBC258">
      <w:pPr>
        <w:pStyle w:val="9"/>
        <w:ind w:firstLine="0"/>
        <w:jc w:val="center"/>
        <w:rPr>
          <w:rStyle w:val="69"/>
          <w:rFonts w:hint="eastAsia" w:ascii="宋体" w:hAnsi="宋体" w:cs="宋体"/>
          <w:sz w:val="44"/>
          <w:szCs w:val="44"/>
          <w:highlight w:val="none"/>
          <w:lang w:val="en-US" w:eastAsia="zh-CN" w:bidi="ar-SA"/>
        </w:rPr>
      </w:pPr>
    </w:p>
    <w:p w14:paraId="40CA028E">
      <w:pPr>
        <w:pStyle w:val="9"/>
        <w:ind w:firstLine="0"/>
        <w:jc w:val="center"/>
        <w:rPr>
          <w:rStyle w:val="69"/>
          <w:rFonts w:hint="eastAsia" w:ascii="宋体" w:hAnsi="宋体" w:cs="宋体"/>
          <w:sz w:val="44"/>
          <w:szCs w:val="44"/>
          <w:highlight w:val="none"/>
          <w:lang w:val="en-US" w:eastAsia="zh-CN" w:bidi="ar-SA"/>
        </w:rPr>
      </w:pPr>
    </w:p>
    <w:p w14:paraId="65E92657">
      <w:pPr>
        <w:pStyle w:val="9"/>
        <w:ind w:firstLine="0"/>
        <w:jc w:val="center"/>
        <w:rPr>
          <w:rStyle w:val="69"/>
          <w:rFonts w:hint="eastAsia" w:ascii="宋体" w:hAnsi="宋体" w:cs="宋体"/>
          <w:sz w:val="44"/>
          <w:szCs w:val="44"/>
          <w:highlight w:val="none"/>
          <w:lang w:val="en-US" w:eastAsia="zh-CN" w:bidi="ar-SA"/>
        </w:rPr>
      </w:pPr>
    </w:p>
    <w:p w14:paraId="340BAF09">
      <w:pPr>
        <w:pStyle w:val="9"/>
        <w:ind w:firstLine="0"/>
        <w:jc w:val="center"/>
        <w:rPr>
          <w:rStyle w:val="69"/>
          <w:rFonts w:hint="eastAsia" w:ascii="宋体" w:hAnsi="宋体" w:cs="宋体"/>
          <w:sz w:val="44"/>
          <w:szCs w:val="44"/>
          <w:highlight w:val="none"/>
          <w:lang w:val="en-US" w:eastAsia="zh-CN" w:bidi="ar-SA"/>
        </w:rPr>
      </w:pPr>
    </w:p>
    <w:p w14:paraId="2A583A3B">
      <w:pPr>
        <w:pStyle w:val="9"/>
        <w:ind w:firstLine="0"/>
        <w:jc w:val="center"/>
        <w:rPr>
          <w:rStyle w:val="69"/>
          <w:rFonts w:hint="eastAsia" w:ascii="宋体" w:hAnsi="宋体" w:cs="宋体"/>
          <w:sz w:val="44"/>
          <w:szCs w:val="44"/>
          <w:highlight w:val="none"/>
          <w:lang w:val="en-US" w:eastAsia="zh-CN" w:bidi="ar-SA"/>
        </w:rPr>
      </w:pPr>
    </w:p>
    <w:p w14:paraId="24B71E89">
      <w:pPr>
        <w:pStyle w:val="9"/>
        <w:ind w:firstLine="0"/>
        <w:jc w:val="center"/>
        <w:rPr>
          <w:rStyle w:val="69"/>
          <w:rFonts w:hint="eastAsia" w:ascii="宋体" w:hAnsi="宋体" w:cs="宋体"/>
          <w:sz w:val="44"/>
          <w:szCs w:val="44"/>
          <w:highlight w:val="none"/>
          <w:lang w:val="en-US" w:eastAsia="zh-CN" w:bidi="ar-SA"/>
        </w:rPr>
      </w:pPr>
    </w:p>
    <w:p w14:paraId="12A80D4B">
      <w:pPr>
        <w:pStyle w:val="9"/>
        <w:ind w:firstLine="0"/>
        <w:jc w:val="center"/>
        <w:rPr>
          <w:rStyle w:val="69"/>
          <w:rFonts w:hint="eastAsia" w:ascii="宋体" w:hAnsi="宋体" w:cs="宋体"/>
          <w:sz w:val="44"/>
          <w:szCs w:val="44"/>
          <w:highlight w:val="none"/>
          <w:lang w:val="en-US" w:eastAsia="zh-CN" w:bidi="ar-SA"/>
        </w:rPr>
      </w:pPr>
    </w:p>
    <w:p w14:paraId="2B052377">
      <w:pPr>
        <w:pStyle w:val="9"/>
        <w:ind w:firstLine="0"/>
        <w:jc w:val="center"/>
        <w:rPr>
          <w:rStyle w:val="69"/>
          <w:rFonts w:hint="eastAsia" w:ascii="宋体" w:hAnsi="宋体" w:cs="宋体"/>
          <w:sz w:val="44"/>
          <w:szCs w:val="44"/>
          <w:highlight w:val="none"/>
          <w:lang w:val="en-US" w:eastAsia="zh-CN" w:bidi="ar-SA"/>
        </w:rPr>
      </w:pPr>
    </w:p>
    <w:p w14:paraId="50522EAE">
      <w:pPr>
        <w:pStyle w:val="109"/>
        <w:ind w:right="-850" w:rightChars="-405"/>
        <w:jc w:val="both"/>
        <w:rPr>
          <w:rFonts w:hint="eastAsia" w:ascii="黑体" w:hAnsi="黑体" w:eastAsia="黑体" w:cs="Open Sans"/>
          <w:color w:val="000000"/>
          <w:kern w:val="36"/>
          <w:sz w:val="48"/>
          <w:szCs w:val="48"/>
        </w:rPr>
      </w:pPr>
    </w:p>
    <w:p w14:paraId="5E3598D3">
      <w:pPr>
        <w:pStyle w:val="109"/>
        <w:ind w:right="-850" w:rightChars="-405"/>
        <w:jc w:val="both"/>
        <w:rPr>
          <w:rFonts w:hint="eastAsia" w:ascii="黑体" w:hAnsi="黑体" w:eastAsia="黑体" w:cs="Open Sans"/>
          <w:color w:val="000000"/>
          <w:kern w:val="36"/>
          <w:sz w:val="48"/>
          <w:szCs w:val="48"/>
        </w:rPr>
      </w:pPr>
    </w:p>
    <w:p w14:paraId="4F7E0E23">
      <w:pPr>
        <w:jc w:val="center"/>
        <w:rPr>
          <w:rFonts w:hint="eastAsia" w:ascii="黑体" w:hAnsi="黑体" w:eastAsia="黑体" w:cs="黑体"/>
          <w:sz w:val="48"/>
          <w:szCs w:val="48"/>
          <w:highlight w:val="none"/>
          <w:lang w:val="en-US" w:eastAsia="zh-CN"/>
        </w:rPr>
      </w:pPr>
    </w:p>
    <w:p w14:paraId="483F4FC5">
      <w:pPr>
        <w:jc w:val="center"/>
        <w:rPr>
          <w:rFonts w:hint="eastAsia" w:ascii="黑体" w:hAnsi="黑体" w:eastAsia="黑体" w:cs="黑体"/>
          <w:sz w:val="48"/>
          <w:szCs w:val="48"/>
          <w:highlight w:val="none"/>
          <w:lang w:val="en-US" w:eastAsia="zh-CN"/>
        </w:rPr>
      </w:pPr>
    </w:p>
    <w:p w14:paraId="0F4EA597">
      <w:pPr>
        <w:jc w:val="center"/>
        <w:rPr>
          <w:rFonts w:hint="eastAsia" w:ascii="黑体" w:hAnsi="黑体" w:eastAsia="黑体" w:cs="黑体"/>
          <w:sz w:val="48"/>
          <w:szCs w:val="48"/>
          <w:highlight w:val="none"/>
          <w:lang w:val="en-US" w:eastAsia="zh-CN"/>
        </w:rPr>
      </w:pPr>
    </w:p>
    <w:p w14:paraId="1DC128A6">
      <w:pPr>
        <w:keepNext w:val="0"/>
        <w:keepLines w:val="0"/>
        <w:pageBreakBefore w:val="0"/>
        <w:widowControl w:val="0"/>
        <w:kinsoku/>
        <w:wordWrap w:val="0"/>
        <w:overflowPunct/>
        <w:topLinePunct/>
        <w:autoSpaceDE/>
        <w:autoSpaceDN/>
        <w:bidi w:val="0"/>
        <w:adjustRightInd/>
        <w:snapToGrid/>
        <w:jc w:val="center"/>
        <w:textAlignment w:val="auto"/>
        <w:rPr>
          <w:rFonts w:hint="eastAsia" w:ascii="宋体" w:hAnsi="宋体" w:eastAsia="宋体" w:cs="宋体"/>
          <w:b/>
          <w:bCs/>
          <w:sz w:val="48"/>
          <w:szCs w:val="48"/>
        </w:rPr>
      </w:pPr>
      <w:r>
        <w:rPr>
          <w:rFonts w:hint="eastAsia" w:ascii="宋体" w:hAnsi="宋体" w:eastAsia="宋体" w:cs="宋体"/>
          <w:b/>
          <w:bCs/>
          <w:sz w:val="48"/>
          <w:szCs w:val="48"/>
          <w:lang w:val="en-US" w:eastAsia="zh-CN"/>
        </w:rPr>
        <w:t>甘肃医学院附属医院</w:t>
      </w:r>
      <w:r>
        <w:rPr>
          <w:rFonts w:hint="eastAsia" w:ascii="宋体" w:hAnsi="宋体" w:eastAsia="宋体" w:cs="宋体"/>
          <w:b/>
          <w:bCs/>
          <w:sz w:val="48"/>
          <w:szCs w:val="48"/>
        </w:rPr>
        <w:t>后勤物资</w:t>
      </w:r>
    </w:p>
    <w:p w14:paraId="00145AC8">
      <w:pPr>
        <w:keepNext w:val="0"/>
        <w:keepLines w:val="0"/>
        <w:pageBreakBefore w:val="0"/>
        <w:widowControl w:val="0"/>
        <w:kinsoku/>
        <w:wordWrap w:val="0"/>
        <w:overflowPunct/>
        <w:topLinePunct/>
        <w:autoSpaceDE/>
        <w:autoSpaceDN/>
        <w:bidi w:val="0"/>
        <w:adjustRightInd/>
        <w:snapToGrid/>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rPr>
        <w:t>水暖材料采购项目</w:t>
      </w:r>
    </w:p>
    <w:p w14:paraId="227F29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宋体" w:eastAsia="仿宋_GB2312"/>
          <w:color w:val="auto"/>
          <w:sz w:val="32"/>
          <w:szCs w:val="32"/>
          <w:highlight w:val="none"/>
          <w:lang w:val="en-US" w:eastAsia="zh-CN"/>
        </w:rPr>
      </w:pPr>
    </w:p>
    <w:p w14:paraId="09D6DAC5">
      <w:pPr>
        <w:pStyle w:val="3"/>
        <w:jc w:val="both"/>
        <w:rPr>
          <w:rFonts w:hint="eastAsia" w:ascii="宋体" w:hAnsi="宋体" w:eastAsia="宋体" w:cs="宋体"/>
          <w:b/>
          <w:color w:val="000000"/>
          <w:sz w:val="84"/>
          <w:szCs w:val="84"/>
          <w:highlight w:val="none"/>
        </w:rPr>
      </w:pPr>
    </w:p>
    <w:p w14:paraId="7038AE37">
      <w:pPr>
        <w:rPr>
          <w:rFonts w:hint="eastAsia"/>
        </w:rPr>
      </w:pPr>
    </w:p>
    <w:p w14:paraId="070E7A18">
      <w:pPr>
        <w:keepNext w:val="0"/>
        <w:keepLines w:val="0"/>
        <w:widowControl/>
        <w:suppressLineNumbers w:val="0"/>
        <w:jc w:val="center"/>
        <w:rPr>
          <w:rFonts w:hint="eastAsia" w:ascii="宋体" w:hAnsi="宋体" w:eastAsia="宋体" w:cs="宋体"/>
          <w:b/>
          <w:color w:val="000000"/>
          <w:sz w:val="84"/>
          <w:szCs w:val="84"/>
          <w:highlight w:val="none"/>
        </w:rPr>
      </w:pPr>
      <w:r>
        <w:rPr>
          <w:rFonts w:hint="eastAsia" w:ascii="宋体" w:hAnsi="宋体" w:eastAsia="宋体" w:cs="宋体"/>
          <w:b/>
          <w:color w:val="000000"/>
          <w:sz w:val="84"/>
          <w:szCs w:val="84"/>
          <w:highlight w:val="none"/>
        </w:rPr>
        <w:t>政府采购合同</w:t>
      </w:r>
    </w:p>
    <w:p w14:paraId="2270C69B">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（此合同文本仅供参考，具体内容在中标后由双方协商确定）</w:t>
      </w:r>
    </w:p>
    <w:p w14:paraId="45DCD633">
      <w:pPr>
        <w:adjustRightInd w:val="0"/>
        <w:snapToGrid w:val="0"/>
        <w:spacing w:line="360" w:lineRule="auto"/>
        <w:jc w:val="center"/>
        <w:rPr>
          <w:rFonts w:hint="eastAsia" w:ascii="宋体" w:hAnsi="宋体" w:eastAsia="宋体" w:cs="宋体"/>
          <w:b/>
          <w:color w:val="000000"/>
          <w:sz w:val="84"/>
          <w:szCs w:val="84"/>
          <w:highlight w:val="none"/>
        </w:rPr>
      </w:pPr>
    </w:p>
    <w:p w14:paraId="477B660B">
      <w:pPr>
        <w:adjustRightInd w:val="0"/>
        <w:snapToGrid w:val="0"/>
        <w:spacing w:line="600" w:lineRule="exact"/>
        <w:rPr>
          <w:rFonts w:hint="eastAsia" w:ascii="宋体" w:hAnsi="宋体" w:eastAsia="宋体" w:cs="宋体"/>
          <w:b/>
          <w:sz w:val="28"/>
          <w:szCs w:val="28"/>
          <w:highlight w:val="none"/>
        </w:rPr>
      </w:pPr>
    </w:p>
    <w:p w14:paraId="2DB5E25F">
      <w:pPr>
        <w:adjustRightInd w:val="0"/>
        <w:snapToGrid w:val="0"/>
        <w:spacing w:line="360" w:lineRule="auto"/>
        <w:rPr>
          <w:rFonts w:hint="eastAsia" w:ascii="宋体" w:hAnsi="宋体" w:eastAsia="宋体" w:cs="宋体"/>
          <w:b/>
          <w:sz w:val="28"/>
          <w:szCs w:val="28"/>
          <w:highlight w:val="none"/>
        </w:rPr>
      </w:pPr>
    </w:p>
    <w:p w14:paraId="61111F93">
      <w:pPr>
        <w:adjustRightInd w:val="0"/>
        <w:snapToGrid w:val="0"/>
        <w:spacing w:line="360" w:lineRule="auto"/>
        <w:ind w:firstLine="1687" w:firstLineChars="600"/>
        <w:rPr>
          <w:rFonts w:hint="eastAsia" w:ascii="宋体" w:hAnsi="宋体" w:eastAsia="宋体" w:cs="宋体"/>
          <w:b/>
          <w:sz w:val="28"/>
          <w:szCs w:val="28"/>
          <w:highlight w:val="none"/>
        </w:rPr>
      </w:pPr>
    </w:p>
    <w:p w14:paraId="641535BD">
      <w:pPr>
        <w:adjustRightInd w:val="0"/>
        <w:snapToGrid w:val="0"/>
        <w:spacing w:line="360" w:lineRule="auto"/>
        <w:ind w:firstLine="1687" w:firstLineChars="6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项目编号：</w:t>
      </w:r>
      <w:r>
        <w:rPr>
          <w:rFonts w:hint="eastAsia" w:ascii="宋体" w:hAnsi="宋体" w:cs="宋体"/>
          <w:b/>
          <w:sz w:val="28"/>
          <w:szCs w:val="28"/>
          <w:highlight w:val="none"/>
          <w:u w:val="single"/>
          <w:lang w:val="en-US" w:eastAsia="zh-CN"/>
        </w:rPr>
        <w:t xml:space="preserve">  CHHK-2025-125         </w:t>
      </w:r>
      <w:r>
        <w:rPr>
          <w:rFonts w:hint="eastAsia" w:ascii="宋体" w:hAnsi="宋体" w:eastAsia="宋体" w:cs="宋体"/>
          <w:b/>
          <w:sz w:val="28"/>
          <w:szCs w:val="28"/>
          <w:highlight w:val="none"/>
          <w:u w:val="single"/>
        </w:rPr>
        <w:t xml:space="preserve"> </w:t>
      </w:r>
    </w:p>
    <w:p w14:paraId="42184364">
      <w:pPr>
        <w:adjustRightInd w:val="0"/>
        <w:snapToGrid w:val="0"/>
        <w:spacing w:line="360" w:lineRule="auto"/>
        <w:ind w:firstLine="1687" w:firstLineChars="600"/>
        <w:rPr>
          <w:rFonts w:hint="eastAsia" w:ascii="宋体" w:hAnsi="宋体" w:eastAsia="宋体" w:cs="宋体"/>
          <w:b/>
          <w:sz w:val="28"/>
          <w:szCs w:val="28"/>
          <w:highlight w:val="none"/>
        </w:rPr>
      </w:pPr>
      <w:r>
        <w:rPr>
          <w:rFonts w:hint="eastAsia" w:ascii="宋体" w:hAnsi="宋体" w:eastAsia="宋体" w:cs="宋体"/>
          <w:b/>
          <w:sz w:val="28"/>
          <w:szCs w:val="28"/>
          <w:highlight w:val="none"/>
        </w:rPr>
        <w:t>采购单位：</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eastAsia="zh-CN"/>
        </w:rPr>
        <w:t>甘肃医学院</w:t>
      </w:r>
      <w:r>
        <w:rPr>
          <w:rFonts w:hint="eastAsia" w:ascii="宋体" w:hAnsi="宋体" w:cs="宋体"/>
          <w:b/>
          <w:sz w:val="28"/>
          <w:szCs w:val="28"/>
          <w:highlight w:val="none"/>
          <w:u w:val="single"/>
          <w:lang w:val="en-US" w:eastAsia="zh-CN"/>
        </w:rPr>
        <w:t xml:space="preserve">附属医院  </w:t>
      </w:r>
      <w:r>
        <w:rPr>
          <w:rFonts w:hint="eastAsia" w:ascii="宋体" w:hAnsi="宋体" w:eastAsia="宋体" w:cs="宋体"/>
          <w:b/>
          <w:sz w:val="28"/>
          <w:szCs w:val="28"/>
          <w:highlight w:val="none"/>
          <w:u w:val="single"/>
        </w:rPr>
        <w:t xml:space="preserve">   </w:t>
      </w:r>
    </w:p>
    <w:p w14:paraId="0B4C0910">
      <w:pPr>
        <w:adjustRightInd w:val="0"/>
        <w:snapToGrid w:val="0"/>
        <w:spacing w:line="360" w:lineRule="auto"/>
        <w:ind w:firstLine="1687" w:firstLineChars="6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成 交 人：</w:t>
      </w:r>
      <w:r>
        <w:rPr>
          <w:rFonts w:hint="eastAsia" w:ascii="宋体" w:hAnsi="宋体" w:eastAsia="宋体" w:cs="宋体"/>
          <w:b/>
          <w:color w:val="000000"/>
          <w:sz w:val="28"/>
          <w:szCs w:val="28"/>
          <w:highlight w:val="none"/>
          <w:u w:val="single"/>
        </w:rPr>
        <w:t xml:space="preserve">                                </w:t>
      </w:r>
    </w:p>
    <w:p w14:paraId="6F8B4421">
      <w:pPr>
        <w:adjustRightInd w:val="0"/>
        <w:snapToGrid w:val="0"/>
        <w:spacing w:line="360" w:lineRule="auto"/>
        <w:ind w:firstLine="1687" w:firstLineChars="600"/>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采购代理机构：</w:t>
      </w:r>
      <w:r>
        <w:rPr>
          <w:rFonts w:hint="eastAsia" w:ascii="宋体" w:hAnsi="宋体" w:eastAsia="宋体" w:cs="宋体"/>
          <w:b/>
          <w:color w:val="000000"/>
          <w:sz w:val="28"/>
          <w:szCs w:val="28"/>
          <w:highlight w:val="none"/>
          <w:u w:val="single"/>
          <w:lang w:eastAsia="zh-CN"/>
        </w:rPr>
        <w:t>甘肃创慧惠科建设工程管理有限公司</w:t>
      </w:r>
    </w:p>
    <w:p w14:paraId="6ABF6136">
      <w:pPr>
        <w:adjustRightInd w:val="0"/>
        <w:snapToGrid w:val="0"/>
        <w:spacing w:line="360" w:lineRule="auto"/>
        <w:ind w:firstLine="3935" w:firstLineChars="1400"/>
        <w:rPr>
          <w:rFonts w:hint="eastAsia" w:ascii="宋体" w:hAnsi="宋体" w:eastAsia="宋体" w:cs="宋体"/>
          <w:b/>
          <w:color w:val="000000"/>
          <w:kern w:val="2"/>
          <w:sz w:val="28"/>
          <w:szCs w:val="28"/>
          <w:highlight w:val="none"/>
          <w:lang w:val="en-US" w:eastAsia="zh-CN" w:bidi="ar-SA"/>
        </w:rPr>
      </w:pPr>
      <w:r>
        <w:rPr>
          <w:rFonts w:hint="eastAsia" w:ascii="宋体" w:hAnsi="宋体" w:eastAsia="宋体" w:cs="宋体"/>
          <w:b/>
          <w:color w:val="000000"/>
          <w:kern w:val="2"/>
          <w:sz w:val="28"/>
          <w:szCs w:val="28"/>
          <w:highlight w:val="none"/>
          <w:u w:val="single"/>
          <w:lang w:val="en-US" w:eastAsia="zh-CN" w:bidi="ar-SA"/>
        </w:rPr>
        <w:t xml:space="preserve">    </w:t>
      </w:r>
      <w:r>
        <w:rPr>
          <w:rFonts w:hint="eastAsia" w:ascii="宋体" w:hAnsi="宋体" w:eastAsia="宋体" w:cs="宋体"/>
          <w:b/>
          <w:color w:val="000000"/>
          <w:kern w:val="2"/>
          <w:sz w:val="28"/>
          <w:szCs w:val="28"/>
          <w:highlight w:val="none"/>
          <w:lang w:val="en-US" w:eastAsia="zh-CN" w:bidi="ar-SA"/>
        </w:rPr>
        <w:t>年</w:t>
      </w:r>
      <w:r>
        <w:rPr>
          <w:rFonts w:hint="eastAsia" w:ascii="宋体" w:hAnsi="宋体" w:eastAsia="宋体" w:cs="宋体"/>
          <w:b/>
          <w:color w:val="000000"/>
          <w:kern w:val="2"/>
          <w:sz w:val="28"/>
          <w:szCs w:val="28"/>
          <w:highlight w:val="none"/>
          <w:u w:val="single"/>
          <w:lang w:val="en-US" w:eastAsia="zh-CN" w:bidi="ar-SA"/>
        </w:rPr>
        <w:t xml:space="preserve">    </w:t>
      </w:r>
      <w:r>
        <w:rPr>
          <w:rFonts w:hint="eastAsia" w:ascii="宋体" w:hAnsi="宋体" w:eastAsia="宋体" w:cs="宋体"/>
          <w:b/>
          <w:color w:val="000000"/>
          <w:kern w:val="2"/>
          <w:sz w:val="28"/>
          <w:szCs w:val="28"/>
          <w:highlight w:val="none"/>
          <w:lang w:val="en-US" w:eastAsia="zh-CN" w:bidi="ar-SA"/>
        </w:rPr>
        <w:t>月</w:t>
      </w:r>
      <w:r>
        <w:rPr>
          <w:rFonts w:hint="eastAsia" w:ascii="宋体" w:hAnsi="宋体" w:eastAsia="宋体" w:cs="宋体"/>
          <w:b/>
          <w:color w:val="000000"/>
          <w:kern w:val="2"/>
          <w:sz w:val="28"/>
          <w:szCs w:val="28"/>
          <w:highlight w:val="none"/>
          <w:u w:val="single"/>
          <w:lang w:val="en-US" w:eastAsia="zh-CN" w:bidi="ar-SA"/>
        </w:rPr>
        <w:t xml:space="preserve">   </w:t>
      </w:r>
      <w:r>
        <w:rPr>
          <w:rFonts w:hint="eastAsia" w:ascii="宋体" w:hAnsi="宋体" w:eastAsia="宋体" w:cs="宋体"/>
          <w:b/>
          <w:color w:val="000000"/>
          <w:kern w:val="2"/>
          <w:sz w:val="28"/>
          <w:szCs w:val="28"/>
          <w:highlight w:val="none"/>
          <w:lang w:val="en-US" w:eastAsia="zh-CN" w:bidi="ar-SA"/>
        </w:rPr>
        <w:t>日</w:t>
      </w:r>
    </w:p>
    <w:p w14:paraId="2E89D945">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123A5836">
      <w:pPr>
        <w:adjustRightInd w:val="0"/>
        <w:snapToGrid w:val="0"/>
        <w:spacing w:line="360" w:lineRule="auto"/>
        <w:rPr>
          <w:rFonts w:hint="eastAsia" w:ascii="宋体" w:hAnsi="宋体" w:eastAsia="宋体" w:cs="宋体"/>
          <w:b/>
          <w:sz w:val="24"/>
          <w:highlight w:val="none"/>
          <w:u w:val="single"/>
        </w:rPr>
      </w:pPr>
      <w:r>
        <w:rPr>
          <w:rFonts w:hint="eastAsia" w:ascii="宋体" w:hAnsi="宋体" w:eastAsia="宋体" w:cs="宋体"/>
          <w:b/>
          <w:sz w:val="24"/>
          <w:highlight w:val="none"/>
        </w:rPr>
        <w:t>甲方（</w:t>
      </w:r>
      <w:r>
        <w:rPr>
          <w:rFonts w:hint="eastAsia" w:ascii="宋体" w:hAnsi="宋体" w:eastAsia="宋体" w:cs="宋体"/>
          <w:b/>
          <w:sz w:val="24"/>
          <w:highlight w:val="none"/>
          <w:lang w:eastAsia="zh-CN"/>
        </w:rPr>
        <w:t>招标</w:t>
      </w:r>
      <w:r>
        <w:rPr>
          <w:rFonts w:hint="eastAsia" w:ascii="宋体" w:hAnsi="宋体" w:eastAsia="宋体" w:cs="宋体"/>
          <w:b/>
          <w:sz w:val="24"/>
          <w:highlight w:val="none"/>
        </w:rPr>
        <w:t>人）：</w:t>
      </w:r>
      <w:r>
        <w:rPr>
          <w:rFonts w:hint="eastAsia" w:ascii="宋体" w:hAnsi="宋体" w:eastAsia="宋体" w:cs="宋体"/>
          <w:b/>
          <w:sz w:val="24"/>
          <w:highlight w:val="none"/>
          <w:u w:val="single"/>
        </w:rPr>
        <w:t xml:space="preserve">                         </w:t>
      </w:r>
    </w:p>
    <w:p w14:paraId="494C3313">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b/>
          <w:sz w:val="24"/>
          <w:highlight w:val="none"/>
        </w:rPr>
        <w:t>乙方（成交人）：</w:t>
      </w:r>
      <w:r>
        <w:rPr>
          <w:rFonts w:hint="eastAsia" w:ascii="宋体" w:hAnsi="宋体" w:eastAsia="宋体" w:cs="宋体"/>
          <w:b/>
          <w:sz w:val="24"/>
          <w:highlight w:val="none"/>
          <w:u w:val="single"/>
        </w:rPr>
        <w:t xml:space="preserve">                         </w:t>
      </w:r>
    </w:p>
    <w:p w14:paraId="6BF4CE7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的采购结果，按照《中华人民共和国政府采购法</w:t>
      </w:r>
      <w:r>
        <w:rPr>
          <w:rFonts w:hint="eastAsia" w:ascii="宋体" w:hAnsi="宋体" w:cs="宋体"/>
          <w:sz w:val="24"/>
          <w:highlight w:val="none"/>
          <w:lang w:eastAsia="zh-CN"/>
        </w:rPr>
        <w:t>》《</w:t>
      </w:r>
      <w:r>
        <w:rPr>
          <w:rFonts w:hint="eastAsia" w:ascii="宋体" w:hAnsi="宋体" w:eastAsia="宋体" w:cs="宋体"/>
          <w:sz w:val="24"/>
          <w:highlight w:val="none"/>
          <w:lang w:eastAsia="zh-CN"/>
        </w:rPr>
        <w:t>中华人民共和国民法典</w:t>
      </w:r>
      <w:r>
        <w:rPr>
          <w:rFonts w:hint="eastAsia" w:ascii="宋体" w:hAnsi="宋体" w:eastAsia="宋体" w:cs="宋体"/>
          <w:sz w:val="24"/>
          <w:highlight w:val="none"/>
        </w:rPr>
        <w:t>》的规定，</w:t>
      </w:r>
      <w:r>
        <w:rPr>
          <w:rFonts w:hint="eastAsia" w:ascii="宋体" w:hAnsi="宋体" w:eastAsia="宋体" w:cs="宋体"/>
          <w:kern w:val="28"/>
          <w:sz w:val="24"/>
          <w:highlight w:val="none"/>
        </w:rPr>
        <w:t>经双方协商，</w:t>
      </w:r>
      <w:r>
        <w:rPr>
          <w:rFonts w:hint="eastAsia" w:ascii="宋体" w:hAnsi="宋体" w:eastAsia="宋体" w:cs="宋体"/>
          <w:sz w:val="24"/>
          <w:highlight w:val="none"/>
        </w:rPr>
        <w:t>本着平等互利和诚实信用的原则，</w:t>
      </w:r>
      <w:r>
        <w:rPr>
          <w:rFonts w:hint="eastAsia" w:ascii="宋体" w:hAnsi="宋体" w:eastAsia="宋体" w:cs="宋体"/>
          <w:kern w:val="28"/>
          <w:sz w:val="24"/>
          <w:highlight w:val="none"/>
        </w:rPr>
        <w:t>一致同意签订本合同如下。</w:t>
      </w:r>
    </w:p>
    <w:tbl>
      <w:tblPr>
        <w:tblStyle w:val="40"/>
        <w:tblpPr w:leftFromText="180" w:rightFromText="180" w:vertAnchor="text" w:horzAnchor="page" w:tblpXSpec="center" w:tblpY="448"/>
        <w:tblOverlap w:val="never"/>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002"/>
        <w:gridCol w:w="1725"/>
        <w:gridCol w:w="1518"/>
        <w:gridCol w:w="1838"/>
        <w:gridCol w:w="1838"/>
      </w:tblGrid>
      <w:tr w14:paraId="33B4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81" w:type="dxa"/>
            <w:tcBorders>
              <w:left w:val="single" w:color="auto" w:sz="8" w:space="0"/>
              <w:right w:val="single" w:color="auto" w:sz="4" w:space="0"/>
            </w:tcBorders>
            <w:noWrap w:val="0"/>
            <w:vAlign w:val="center"/>
          </w:tcPr>
          <w:p w14:paraId="4ECB7057">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002" w:type="dxa"/>
            <w:tcBorders>
              <w:left w:val="single" w:color="auto" w:sz="8" w:space="0"/>
              <w:bottom w:val="single" w:color="auto" w:sz="4" w:space="0"/>
              <w:right w:val="single" w:color="auto" w:sz="4" w:space="0"/>
            </w:tcBorders>
            <w:noWrap w:val="0"/>
            <w:vAlign w:val="center"/>
          </w:tcPr>
          <w:p w14:paraId="2029A1FD">
            <w:pPr>
              <w:adjustRightInd w:val="0"/>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名称</w:t>
            </w:r>
          </w:p>
        </w:tc>
        <w:tc>
          <w:tcPr>
            <w:tcW w:w="1725" w:type="dxa"/>
            <w:tcBorders>
              <w:left w:val="single" w:color="auto" w:sz="4" w:space="0"/>
              <w:bottom w:val="single" w:color="auto" w:sz="4" w:space="0"/>
              <w:right w:val="single" w:color="auto" w:sz="4" w:space="0"/>
            </w:tcBorders>
            <w:noWrap w:val="0"/>
            <w:vAlign w:val="center"/>
          </w:tcPr>
          <w:p w14:paraId="2C508F04">
            <w:pPr>
              <w:adjustRightInd w:val="0"/>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采购内容</w:t>
            </w:r>
          </w:p>
        </w:tc>
        <w:tc>
          <w:tcPr>
            <w:tcW w:w="1518" w:type="dxa"/>
            <w:tcBorders>
              <w:left w:val="single" w:color="auto" w:sz="4" w:space="0"/>
              <w:bottom w:val="single" w:color="auto" w:sz="4" w:space="0"/>
              <w:right w:val="single" w:color="auto" w:sz="4" w:space="0"/>
            </w:tcBorders>
            <w:noWrap w:val="0"/>
            <w:vAlign w:val="center"/>
          </w:tcPr>
          <w:p w14:paraId="74B02A91">
            <w:pPr>
              <w:adjustRightInd w:val="0"/>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规格型号</w:t>
            </w:r>
          </w:p>
        </w:tc>
        <w:tc>
          <w:tcPr>
            <w:tcW w:w="1838" w:type="dxa"/>
            <w:tcBorders>
              <w:left w:val="single" w:color="auto" w:sz="4" w:space="0"/>
              <w:bottom w:val="single" w:color="auto" w:sz="4" w:space="0"/>
              <w:right w:val="single" w:color="auto" w:sz="8" w:space="0"/>
            </w:tcBorders>
            <w:noWrap w:val="0"/>
            <w:vAlign w:val="center"/>
          </w:tcPr>
          <w:p w14:paraId="78E3841B">
            <w:pPr>
              <w:adjustRightInd w:val="0"/>
              <w:snapToGrid w:val="0"/>
              <w:jc w:val="center"/>
              <w:rPr>
                <w:rFonts w:hint="eastAsia" w:ascii="宋体" w:hAnsi="宋体" w:eastAsia="宋体" w:cs="宋体"/>
                <w:sz w:val="24"/>
                <w:highlight w:val="none"/>
              </w:rPr>
            </w:pPr>
            <w:r>
              <w:rPr>
                <w:rFonts w:hint="eastAsia" w:ascii="宋体" w:hAnsi="宋体" w:cs="宋体"/>
                <w:sz w:val="24"/>
                <w:highlight w:val="none"/>
                <w:lang w:val="en-US" w:eastAsia="zh-CN"/>
              </w:rPr>
              <w:t>单价（</w:t>
            </w:r>
            <w:r>
              <w:rPr>
                <w:rFonts w:hint="eastAsia" w:ascii="宋体" w:hAnsi="宋体" w:eastAsia="宋体" w:cs="宋体"/>
                <w:sz w:val="24"/>
                <w:highlight w:val="none"/>
              </w:rPr>
              <w:t>元</w:t>
            </w:r>
            <w:r>
              <w:rPr>
                <w:rFonts w:hint="eastAsia" w:ascii="宋体" w:hAnsi="宋体" w:cs="宋体"/>
                <w:sz w:val="24"/>
                <w:highlight w:val="none"/>
                <w:lang w:eastAsia="zh-CN"/>
              </w:rPr>
              <w:t>）</w:t>
            </w:r>
          </w:p>
        </w:tc>
        <w:tc>
          <w:tcPr>
            <w:tcW w:w="1838" w:type="dxa"/>
            <w:tcBorders>
              <w:left w:val="single" w:color="auto" w:sz="4" w:space="0"/>
              <w:bottom w:val="single" w:color="auto" w:sz="4" w:space="0"/>
              <w:right w:val="single" w:color="auto" w:sz="8" w:space="0"/>
            </w:tcBorders>
            <w:noWrap w:val="0"/>
            <w:vAlign w:val="center"/>
          </w:tcPr>
          <w:p w14:paraId="46F2465E">
            <w:pPr>
              <w:adjustRightInd w:val="0"/>
              <w:snapToGrid w:val="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总价（元）</w:t>
            </w:r>
          </w:p>
        </w:tc>
      </w:tr>
      <w:tr w14:paraId="4EDC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781" w:type="dxa"/>
            <w:tcBorders>
              <w:left w:val="single" w:color="auto" w:sz="8" w:space="0"/>
              <w:right w:val="single" w:color="auto" w:sz="4" w:space="0"/>
            </w:tcBorders>
            <w:noWrap w:val="0"/>
            <w:vAlign w:val="center"/>
          </w:tcPr>
          <w:p w14:paraId="58CBBCD3">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02" w:type="dxa"/>
            <w:tcBorders>
              <w:left w:val="single" w:color="auto" w:sz="4" w:space="0"/>
              <w:bottom w:val="single" w:color="auto" w:sz="4" w:space="0"/>
              <w:right w:val="single" w:color="auto" w:sz="4" w:space="0"/>
            </w:tcBorders>
            <w:noWrap w:val="0"/>
            <w:vAlign w:val="center"/>
          </w:tcPr>
          <w:p w14:paraId="286EFDAE">
            <w:pPr>
              <w:adjustRightInd w:val="0"/>
              <w:snapToGrid w:val="0"/>
              <w:rPr>
                <w:rFonts w:hint="eastAsia" w:ascii="宋体" w:hAnsi="宋体" w:eastAsia="宋体" w:cs="宋体"/>
                <w:sz w:val="24"/>
                <w:highlight w:val="none"/>
              </w:rPr>
            </w:pPr>
          </w:p>
        </w:tc>
        <w:tc>
          <w:tcPr>
            <w:tcW w:w="1725" w:type="dxa"/>
            <w:tcBorders>
              <w:left w:val="single" w:color="auto" w:sz="4" w:space="0"/>
              <w:bottom w:val="single" w:color="auto" w:sz="4" w:space="0"/>
              <w:right w:val="single" w:color="auto" w:sz="4" w:space="0"/>
            </w:tcBorders>
            <w:noWrap w:val="0"/>
            <w:vAlign w:val="center"/>
          </w:tcPr>
          <w:p w14:paraId="383F59A6">
            <w:pPr>
              <w:adjustRightInd w:val="0"/>
              <w:snapToGrid w:val="0"/>
              <w:rPr>
                <w:rFonts w:hint="eastAsia" w:ascii="宋体" w:hAnsi="宋体" w:eastAsia="宋体" w:cs="宋体"/>
                <w:sz w:val="24"/>
                <w:highlight w:val="none"/>
              </w:rPr>
            </w:pPr>
          </w:p>
        </w:tc>
        <w:tc>
          <w:tcPr>
            <w:tcW w:w="1518" w:type="dxa"/>
            <w:tcBorders>
              <w:left w:val="single" w:color="auto" w:sz="4" w:space="0"/>
              <w:bottom w:val="single" w:color="auto" w:sz="4" w:space="0"/>
              <w:right w:val="single" w:color="auto" w:sz="4" w:space="0"/>
            </w:tcBorders>
            <w:noWrap w:val="0"/>
            <w:vAlign w:val="center"/>
          </w:tcPr>
          <w:p w14:paraId="5614E379">
            <w:pPr>
              <w:adjustRightInd w:val="0"/>
              <w:snapToGrid w:val="0"/>
              <w:rPr>
                <w:rFonts w:hint="eastAsia" w:ascii="宋体" w:hAnsi="宋体" w:eastAsia="宋体" w:cs="宋体"/>
                <w:sz w:val="24"/>
                <w:highlight w:val="none"/>
              </w:rPr>
            </w:pPr>
          </w:p>
        </w:tc>
        <w:tc>
          <w:tcPr>
            <w:tcW w:w="1838" w:type="dxa"/>
            <w:tcBorders>
              <w:left w:val="single" w:color="auto" w:sz="4" w:space="0"/>
              <w:bottom w:val="single" w:color="auto" w:sz="4" w:space="0"/>
              <w:right w:val="single" w:color="auto" w:sz="4" w:space="0"/>
            </w:tcBorders>
            <w:noWrap w:val="0"/>
            <w:vAlign w:val="center"/>
          </w:tcPr>
          <w:p w14:paraId="5ED0DCF6">
            <w:pPr>
              <w:adjustRightInd w:val="0"/>
              <w:snapToGrid w:val="0"/>
              <w:rPr>
                <w:rFonts w:hint="eastAsia" w:ascii="宋体" w:hAnsi="宋体" w:eastAsia="宋体" w:cs="宋体"/>
                <w:sz w:val="24"/>
                <w:highlight w:val="none"/>
              </w:rPr>
            </w:pPr>
          </w:p>
        </w:tc>
        <w:tc>
          <w:tcPr>
            <w:tcW w:w="1838" w:type="dxa"/>
            <w:tcBorders>
              <w:left w:val="single" w:color="auto" w:sz="4" w:space="0"/>
              <w:bottom w:val="single" w:color="auto" w:sz="4" w:space="0"/>
              <w:right w:val="single" w:color="auto" w:sz="4" w:space="0"/>
            </w:tcBorders>
            <w:noWrap w:val="0"/>
            <w:vAlign w:val="center"/>
          </w:tcPr>
          <w:p w14:paraId="619D46F3">
            <w:pPr>
              <w:adjustRightInd w:val="0"/>
              <w:snapToGrid w:val="0"/>
              <w:rPr>
                <w:rFonts w:hint="eastAsia" w:ascii="宋体" w:hAnsi="宋体" w:eastAsia="宋体" w:cs="宋体"/>
                <w:sz w:val="24"/>
                <w:highlight w:val="none"/>
              </w:rPr>
            </w:pPr>
          </w:p>
        </w:tc>
      </w:tr>
      <w:tr w14:paraId="4393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781" w:type="dxa"/>
            <w:tcBorders>
              <w:left w:val="single" w:color="auto" w:sz="8" w:space="0"/>
              <w:right w:val="single" w:color="auto" w:sz="4" w:space="0"/>
            </w:tcBorders>
            <w:noWrap w:val="0"/>
            <w:vAlign w:val="center"/>
          </w:tcPr>
          <w:p w14:paraId="7021E681">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002" w:type="dxa"/>
            <w:tcBorders>
              <w:left w:val="single" w:color="auto" w:sz="4" w:space="0"/>
              <w:right w:val="single" w:color="auto" w:sz="4" w:space="0"/>
            </w:tcBorders>
            <w:noWrap w:val="0"/>
            <w:vAlign w:val="center"/>
          </w:tcPr>
          <w:p w14:paraId="464D0C43">
            <w:pPr>
              <w:adjustRightInd w:val="0"/>
              <w:snapToGrid w:val="0"/>
              <w:rPr>
                <w:rFonts w:hint="eastAsia" w:ascii="宋体" w:hAnsi="宋体" w:eastAsia="宋体" w:cs="宋体"/>
                <w:sz w:val="24"/>
                <w:highlight w:val="none"/>
              </w:rPr>
            </w:pPr>
          </w:p>
        </w:tc>
        <w:tc>
          <w:tcPr>
            <w:tcW w:w="1725" w:type="dxa"/>
            <w:tcBorders>
              <w:left w:val="single" w:color="auto" w:sz="4" w:space="0"/>
              <w:right w:val="single" w:color="auto" w:sz="4" w:space="0"/>
            </w:tcBorders>
            <w:noWrap w:val="0"/>
            <w:vAlign w:val="center"/>
          </w:tcPr>
          <w:p w14:paraId="0A466992">
            <w:pPr>
              <w:adjustRightInd w:val="0"/>
              <w:snapToGrid w:val="0"/>
              <w:rPr>
                <w:rFonts w:hint="eastAsia" w:ascii="宋体" w:hAnsi="宋体" w:eastAsia="宋体" w:cs="宋体"/>
                <w:sz w:val="24"/>
                <w:highlight w:val="none"/>
              </w:rPr>
            </w:pPr>
          </w:p>
        </w:tc>
        <w:tc>
          <w:tcPr>
            <w:tcW w:w="1518" w:type="dxa"/>
            <w:tcBorders>
              <w:left w:val="single" w:color="auto" w:sz="4" w:space="0"/>
              <w:right w:val="single" w:color="auto" w:sz="4" w:space="0"/>
            </w:tcBorders>
            <w:noWrap w:val="0"/>
            <w:vAlign w:val="center"/>
          </w:tcPr>
          <w:p w14:paraId="3DCF5A2B">
            <w:pPr>
              <w:adjustRightInd w:val="0"/>
              <w:snapToGrid w:val="0"/>
              <w:rPr>
                <w:rFonts w:hint="eastAsia" w:ascii="宋体" w:hAnsi="宋体" w:eastAsia="宋体" w:cs="宋体"/>
                <w:sz w:val="24"/>
                <w:highlight w:val="none"/>
              </w:rPr>
            </w:pPr>
          </w:p>
        </w:tc>
        <w:tc>
          <w:tcPr>
            <w:tcW w:w="1838" w:type="dxa"/>
            <w:tcBorders>
              <w:left w:val="single" w:color="auto" w:sz="4" w:space="0"/>
              <w:right w:val="single" w:color="auto" w:sz="4" w:space="0"/>
            </w:tcBorders>
            <w:noWrap w:val="0"/>
            <w:vAlign w:val="center"/>
          </w:tcPr>
          <w:p w14:paraId="69EC556C">
            <w:pPr>
              <w:adjustRightInd w:val="0"/>
              <w:snapToGrid w:val="0"/>
              <w:rPr>
                <w:rFonts w:hint="eastAsia" w:ascii="宋体" w:hAnsi="宋体" w:eastAsia="宋体" w:cs="宋体"/>
                <w:sz w:val="24"/>
                <w:highlight w:val="none"/>
              </w:rPr>
            </w:pPr>
          </w:p>
        </w:tc>
        <w:tc>
          <w:tcPr>
            <w:tcW w:w="1838" w:type="dxa"/>
            <w:tcBorders>
              <w:left w:val="single" w:color="auto" w:sz="4" w:space="0"/>
              <w:right w:val="single" w:color="auto" w:sz="4" w:space="0"/>
            </w:tcBorders>
            <w:noWrap w:val="0"/>
            <w:vAlign w:val="center"/>
          </w:tcPr>
          <w:p w14:paraId="43A89142">
            <w:pPr>
              <w:adjustRightInd w:val="0"/>
              <w:snapToGrid w:val="0"/>
              <w:rPr>
                <w:rFonts w:hint="eastAsia" w:ascii="宋体" w:hAnsi="宋体" w:eastAsia="宋体" w:cs="宋体"/>
                <w:sz w:val="24"/>
                <w:highlight w:val="none"/>
              </w:rPr>
            </w:pPr>
          </w:p>
        </w:tc>
      </w:tr>
      <w:tr w14:paraId="0BF0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781" w:type="dxa"/>
            <w:tcBorders>
              <w:left w:val="single" w:color="auto" w:sz="8" w:space="0"/>
              <w:right w:val="single" w:color="auto" w:sz="4" w:space="0"/>
            </w:tcBorders>
            <w:noWrap w:val="0"/>
            <w:vAlign w:val="center"/>
          </w:tcPr>
          <w:p w14:paraId="32578C9F">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002" w:type="dxa"/>
            <w:tcBorders>
              <w:left w:val="single" w:color="auto" w:sz="4" w:space="0"/>
              <w:right w:val="single" w:color="auto" w:sz="4" w:space="0"/>
            </w:tcBorders>
            <w:noWrap w:val="0"/>
            <w:vAlign w:val="center"/>
          </w:tcPr>
          <w:p w14:paraId="7C59FA7E">
            <w:pPr>
              <w:adjustRightInd w:val="0"/>
              <w:snapToGrid w:val="0"/>
              <w:rPr>
                <w:rFonts w:hint="eastAsia" w:ascii="宋体" w:hAnsi="宋体" w:eastAsia="宋体" w:cs="宋体"/>
                <w:sz w:val="24"/>
                <w:highlight w:val="none"/>
              </w:rPr>
            </w:pPr>
          </w:p>
        </w:tc>
        <w:tc>
          <w:tcPr>
            <w:tcW w:w="1725" w:type="dxa"/>
            <w:tcBorders>
              <w:left w:val="single" w:color="auto" w:sz="4" w:space="0"/>
              <w:right w:val="single" w:color="auto" w:sz="4" w:space="0"/>
            </w:tcBorders>
            <w:noWrap w:val="0"/>
            <w:vAlign w:val="center"/>
          </w:tcPr>
          <w:p w14:paraId="2AAA5AF0">
            <w:pPr>
              <w:adjustRightInd w:val="0"/>
              <w:snapToGrid w:val="0"/>
              <w:rPr>
                <w:rFonts w:hint="eastAsia" w:ascii="宋体" w:hAnsi="宋体" w:eastAsia="宋体" w:cs="宋体"/>
                <w:sz w:val="24"/>
                <w:highlight w:val="none"/>
              </w:rPr>
            </w:pPr>
          </w:p>
        </w:tc>
        <w:tc>
          <w:tcPr>
            <w:tcW w:w="1518" w:type="dxa"/>
            <w:tcBorders>
              <w:left w:val="single" w:color="auto" w:sz="4" w:space="0"/>
              <w:right w:val="single" w:color="auto" w:sz="4" w:space="0"/>
            </w:tcBorders>
            <w:noWrap w:val="0"/>
            <w:vAlign w:val="center"/>
          </w:tcPr>
          <w:p w14:paraId="69672B55">
            <w:pPr>
              <w:adjustRightInd w:val="0"/>
              <w:snapToGrid w:val="0"/>
              <w:rPr>
                <w:rFonts w:hint="eastAsia" w:ascii="宋体" w:hAnsi="宋体" w:eastAsia="宋体" w:cs="宋体"/>
                <w:sz w:val="24"/>
                <w:highlight w:val="none"/>
              </w:rPr>
            </w:pPr>
          </w:p>
        </w:tc>
        <w:tc>
          <w:tcPr>
            <w:tcW w:w="1838" w:type="dxa"/>
            <w:tcBorders>
              <w:left w:val="single" w:color="auto" w:sz="4" w:space="0"/>
              <w:right w:val="single" w:color="auto" w:sz="4" w:space="0"/>
            </w:tcBorders>
            <w:noWrap w:val="0"/>
            <w:vAlign w:val="center"/>
          </w:tcPr>
          <w:p w14:paraId="61DBA002">
            <w:pPr>
              <w:adjustRightInd w:val="0"/>
              <w:snapToGrid w:val="0"/>
              <w:rPr>
                <w:rFonts w:hint="eastAsia" w:ascii="宋体" w:hAnsi="宋体" w:eastAsia="宋体" w:cs="宋体"/>
                <w:sz w:val="24"/>
                <w:highlight w:val="none"/>
              </w:rPr>
            </w:pPr>
          </w:p>
        </w:tc>
        <w:tc>
          <w:tcPr>
            <w:tcW w:w="1838" w:type="dxa"/>
            <w:tcBorders>
              <w:left w:val="single" w:color="auto" w:sz="4" w:space="0"/>
              <w:right w:val="single" w:color="auto" w:sz="4" w:space="0"/>
            </w:tcBorders>
            <w:noWrap w:val="0"/>
            <w:vAlign w:val="center"/>
          </w:tcPr>
          <w:p w14:paraId="4BC659F1">
            <w:pPr>
              <w:adjustRightInd w:val="0"/>
              <w:snapToGrid w:val="0"/>
              <w:rPr>
                <w:rFonts w:hint="eastAsia" w:ascii="宋体" w:hAnsi="宋体" w:eastAsia="宋体" w:cs="宋体"/>
                <w:sz w:val="24"/>
                <w:highlight w:val="none"/>
              </w:rPr>
            </w:pPr>
          </w:p>
        </w:tc>
      </w:tr>
      <w:tr w14:paraId="76D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781" w:type="dxa"/>
            <w:tcBorders>
              <w:left w:val="single" w:color="auto" w:sz="8" w:space="0"/>
              <w:right w:val="single" w:color="auto" w:sz="4" w:space="0"/>
            </w:tcBorders>
            <w:noWrap w:val="0"/>
            <w:vAlign w:val="center"/>
          </w:tcPr>
          <w:p w14:paraId="2CB5333F">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002" w:type="dxa"/>
            <w:tcBorders>
              <w:left w:val="single" w:color="auto" w:sz="4" w:space="0"/>
              <w:bottom w:val="single" w:color="auto" w:sz="4" w:space="0"/>
              <w:right w:val="single" w:color="auto" w:sz="4" w:space="0"/>
            </w:tcBorders>
            <w:noWrap w:val="0"/>
            <w:vAlign w:val="center"/>
          </w:tcPr>
          <w:p w14:paraId="086B3BBC">
            <w:pPr>
              <w:adjustRightInd w:val="0"/>
              <w:snapToGrid w:val="0"/>
              <w:rPr>
                <w:rFonts w:hint="eastAsia" w:ascii="宋体" w:hAnsi="宋体" w:eastAsia="宋体" w:cs="宋体"/>
                <w:sz w:val="24"/>
                <w:highlight w:val="none"/>
              </w:rPr>
            </w:pPr>
          </w:p>
        </w:tc>
        <w:tc>
          <w:tcPr>
            <w:tcW w:w="1725" w:type="dxa"/>
            <w:tcBorders>
              <w:left w:val="single" w:color="auto" w:sz="4" w:space="0"/>
              <w:bottom w:val="single" w:color="auto" w:sz="4" w:space="0"/>
              <w:right w:val="single" w:color="auto" w:sz="4" w:space="0"/>
            </w:tcBorders>
            <w:noWrap w:val="0"/>
            <w:vAlign w:val="center"/>
          </w:tcPr>
          <w:p w14:paraId="79ABE10D">
            <w:pPr>
              <w:adjustRightInd w:val="0"/>
              <w:snapToGrid w:val="0"/>
              <w:rPr>
                <w:rFonts w:hint="eastAsia" w:ascii="宋体" w:hAnsi="宋体" w:eastAsia="宋体" w:cs="宋体"/>
                <w:sz w:val="24"/>
                <w:highlight w:val="none"/>
              </w:rPr>
            </w:pPr>
          </w:p>
        </w:tc>
        <w:tc>
          <w:tcPr>
            <w:tcW w:w="1518" w:type="dxa"/>
            <w:tcBorders>
              <w:left w:val="single" w:color="auto" w:sz="4" w:space="0"/>
              <w:bottom w:val="single" w:color="auto" w:sz="4" w:space="0"/>
              <w:right w:val="single" w:color="auto" w:sz="4" w:space="0"/>
            </w:tcBorders>
            <w:noWrap w:val="0"/>
            <w:vAlign w:val="center"/>
          </w:tcPr>
          <w:p w14:paraId="64B62055">
            <w:pPr>
              <w:adjustRightInd w:val="0"/>
              <w:snapToGrid w:val="0"/>
              <w:rPr>
                <w:rFonts w:hint="eastAsia" w:ascii="宋体" w:hAnsi="宋体" w:eastAsia="宋体" w:cs="宋体"/>
                <w:sz w:val="24"/>
                <w:highlight w:val="none"/>
              </w:rPr>
            </w:pPr>
          </w:p>
        </w:tc>
        <w:tc>
          <w:tcPr>
            <w:tcW w:w="1838" w:type="dxa"/>
            <w:tcBorders>
              <w:left w:val="single" w:color="auto" w:sz="4" w:space="0"/>
              <w:bottom w:val="single" w:color="auto" w:sz="4" w:space="0"/>
              <w:right w:val="single" w:color="auto" w:sz="4" w:space="0"/>
            </w:tcBorders>
            <w:noWrap w:val="0"/>
            <w:vAlign w:val="center"/>
          </w:tcPr>
          <w:p w14:paraId="1A427607">
            <w:pPr>
              <w:adjustRightInd w:val="0"/>
              <w:snapToGrid w:val="0"/>
              <w:rPr>
                <w:rFonts w:hint="eastAsia" w:ascii="宋体" w:hAnsi="宋体" w:eastAsia="宋体" w:cs="宋体"/>
                <w:sz w:val="24"/>
                <w:highlight w:val="none"/>
              </w:rPr>
            </w:pPr>
          </w:p>
        </w:tc>
        <w:tc>
          <w:tcPr>
            <w:tcW w:w="1838" w:type="dxa"/>
            <w:tcBorders>
              <w:left w:val="single" w:color="auto" w:sz="4" w:space="0"/>
              <w:bottom w:val="single" w:color="auto" w:sz="4" w:space="0"/>
              <w:right w:val="single" w:color="auto" w:sz="4" w:space="0"/>
            </w:tcBorders>
            <w:noWrap w:val="0"/>
            <w:vAlign w:val="center"/>
          </w:tcPr>
          <w:p w14:paraId="4DC99B8F">
            <w:pPr>
              <w:adjustRightInd w:val="0"/>
              <w:snapToGrid w:val="0"/>
              <w:rPr>
                <w:rFonts w:hint="eastAsia" w:ascii="宋体" w:hAnsi="宋体" w:eastAsia="宋体" w:cs="宋体"/>
                <w:sz w:val="24"/>
                <w:highlight w:val="none"/>
              </w:rPr>
            </w:pPr>
          </w:p>
        </w:tc>
      </w:tr>
    </w:tbl>
    <w:p w14:paraId="21B70B97">
      <w:pPr>
        <w:numPr>
          <w:ilvl w:val="3"/>
          <w:numId w:val="8"/>
        </w:numPr>
        <w:adjustRightInd w:val="0"/>
        <w:snapToGrid w:val="0"/>
        <w:spacing w:line="360" w:lineRule="auto"/>
        <w:rPr>
          <w:rFonts w:hint="eastAsia" w:ascii="宋体" w:hAnsi="宋体" w:eastAsia="宋体" w:cs="宋体"/>
          <w:sz w:val="24"/>
          <w:highlight w:val="none"/>
        </w:rPr>
      </w:pPr>
      <w:r>
        <w:rPr>
          <w:rFonts w:hint="eastAsia" w:ascii="宋体" w:hAnsi="宋体" w:cs="宋体"/>
          <w:b/>
          <w:sz w:val="24"/>
          <w:highlight w:val="none"/>
          <w:lang w:val="en-US" w:eastAsia="zh-CN"/>
        </w:rPr>
        <w:t>服务</w:t>
      </w:r>
      <w:r>
        <w:rPr>
          <w:rFonts w:hint="eastAsia" w:ascii="宋体" w:hAnsi="宋体" w:eastAsia="宋体" w:cs="宋体"/>
          <w:b/>
          <w:sz w:val="24"/>
          <w:highlight w:val="none"/>
        </w:rPr>
        <w:t>内容：</w:t>
      </w:r>
    </w:p>
    <w:p w14:paraId="1520E19F">
      <w:pPr>
        <w:adjustRightInd w:val="0"/>
        <w:snapToGrid w:val="0"/>
        <w:spacing w:line="360" w:lineRule="auto"/>
        <w:ind w:firstLine="464"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合同总额包括完成采购范围内全部货物采购及相关伴随服务等全过程的费用等。</w:t>
      </w:r>
    </w:p>
    <w:p w14:paraId="388C5ABF">
      <w:pPr>
        <w:adjustRightInd w:val="0"/>
        <w:snapToGrid w:val="0"/>
        <w:spacing w:line="360" w:lineRule="auto"/>
        <w:ind w:firstLine="480" w:firstLineChars="200"/>
        <w:rPr>
          <w:rFonts w:hint="eastAsia" w:ascii="宋体" w:hAnsi="宋体" w:eastAsia="宋体" w:cs="宋体"/>
          <w:spacing w:val="-4"/>
          <w:sz w:val="24"/>
          <w:highlight w:val="none"/>
        </w:rPr>
      </w:pPr>
      <w:r>
        <w:rPr>
          <w:rFonts w:hint="eastAsia" w:ascii="宋体" w:hAnsi="宋体" w:eastAsia="宋体" w:cs="宋体"/>
          <w:sz w:val="24"/>
          <w:highlight w:val="none"/>
        </w:rPr>
        <w:t>注：货物名称内容必须与《采购文件》中货物名称内容一致。</w:t>
      </w:r>
    </w:p>
    <w:p w14:paraId="1D8A062C">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合同金额：</w:t>
      </w:r>
    </w:p>
    <w:p w14:paraId="1DF3250C">
      <w:pPr>
        <w:pStyle w:val="2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合同金额为（大写）：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）人民币。</w:t>
      </w:r>
    </w:p>
    <w:p w14:paraId="01A7C915">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cs="宋体"/>
          <w:b/>
          <w:sz w:val="24"/>
          <w:highlight w:val="none"/>
          <w:lang w:val="en-US" w:eastAsia="zh-CN"/>
        </w:rPr>
        <w:t>服务</w:t>
      </w:r>
      <w:r>
        <w:rPr>
          <w:rFonts w:hint="eastAsia" w:ascii="宋体" w:hAnsi="宋体" w:eastAsia="宋体" w:cs="宋体"/>
          <w:b/>
          <w:sz w:val="24"/>
          <w:highlight w:val="none"/>
        </w:rPr>
        <w:t>要求：</w:t>
      </w:r>
    </w:p>
    <w:p w14:paraId="113C1EE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交付验收标准依次序对照适用标准为：</w:t>
      </w:r>
    </w:p>
    <w:p w14:paraId="2E44A9C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1.符合中华人民共和国国家安全质量标准、环保标准或行业标准；</w:t>
      </w:r>
    </w:p>
    <w:p w14:paraId="4304DCC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2.符合《磋商文件》和《磋商响应性文件》中甲方认可的合理最佳配置、参数及各项</w:t>
      </w:r>
      <w:r>
        <w:rPr>
          <w:rFonts w:hint="eastAsia" w:ascii="宋体" w:hAnsi="宋体" w:cs="宋体"/>
          <w:sz w:val="24"/>
          <w:highlight w:val="none"/>
          <w:lang w:val="en-US" w:eastAsia="zh-CN"/>
        </w:rPr>
        <w:t>服务</w:t>
      </w:r>
      <w:r>
        <w:rPr>
          <w:rFonts w:hint="eastAsia" w:ascii="宋体" w:hAnsi="宋体" w:eastAsia="宋体" w:cs="宋体"/>
          <w:sz w:val="24"/>
          <w:highlight w:val="none"/>
        </w:rPr>
        <w:t>要求</w:t>
      </w:r>
      <w:r>
        <w:rPr>
          <w:rFonts w:hint="eastAsia" w:ascii="宋体" w:hAnsi="宋体" w:cs="宋体"/>
          <w:sz w:val="24"/>
          <w:highlight w:val="none"/>
          <w:lang w:eastAsia="zh-CN"/>
        </w:rPr>
        <w:t>。</w:t>
      </w:r>
      <w:r>
        <w:rPr>
          <w:rFonts w:hint="eastAsia" w:ascii="宋体" w:hAnsi="宋体" w:eastAsia="宋体" w:cs="宋体"/>
          <w:sz w:val="24"/>
          <w:highlight w:val="none"/>
        </w:rPr>
        <w:t xml:space="preserve">  </w:t>
      </w:r>
    </w:p>
    <w:p w14:paraId="5DFDADA6">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交货期、交货方式及交货地点：</w:t>
      </w:r>
    </w:p>
    <w:p w14:paraId="400B831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交货期：合同生效后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天内完成。</w:t>
      </w:r>
    </w:p>
    <w:p w14:paraId="0719A95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交货地点：</w:t>
      </w:r>
      <w:r>
        <w:rPr>
          <w:rFonts w:hint="eastAsia" w:ascii="宋体" w:hAnsi="宋体" w:eastAsia="宋体" w:cs="宋体"/>
          <w:sz w:val="24"/>
          <w:highlight w:val="none"/>
          <w:u w:val="single"/>
        </w:rPr>
        <w:t>甲方指定地点。</w:t>
      </w:r>
    </w:p>
    <w:p w14:paraId="49E467E0">
      <w:pPr>
        <w:numPr>
          <w:ilvl w:val="3"/>
          <w:numId w:val="8"/>
        </w:num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b/>
          <w:sz w:val="24"/>
          <w:highlight w:val="none"/>
        </w:rPr>
        <w:t>付款方式：</w:t>
      </w:r>
      <w:r>
        <w:rPr>
          <w:rFonts w:hint="eastAsia" w:ascii="宋体" w:hAnsi="宋体" w:cs="宋体"/>
          <w:sz w:val="24"/>
          <w:highlight w:val="none"/>
          <w:u w:val="none"/>
          <w:lang w:val="en-US" w:eastAsia="zh-CN"/>
        </w:rPr>
        <w:t>根据合同约定执行。</w:t>
      </w:r>
    </w:p>
    <w:p w14:paraId="4F9B5913">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质保期及售后服务要求：</w:t>
      </w:r>
    </w:p>
    <w:p w14:paraId="279CF63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本合同的质量保证期（简称“质保期”）为</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年，质保期内乙方对所供货物实行包换、包退。</w:t>
      </w:r>
    </w:p>
    <w:p w14:paraId="7F72FDD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质保期内，如因非人为因素发现产品质量问题供货商应无条件退换。质保期和免费维修期相应顺延。如停用时间累计超过</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天则质保期重新计算。</w:t>
      </w:r>
    </w:p>
    <w:p w14:paraId="05B7C7DB">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验收：</w:t>
      </w:r>
    </w:p>
    <w:p w14:paraId="638DF288">
      <w:pPr>
        <w:tabs>
          <w:tab w:val="left" w:pos="824"/>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1.以国家</w:t>
      </w:r>
      <w:r>
        <w:rPr>
          <w:rFonts w:hint="eastAsia" w:ascii="宋体" w:hAnsi="宋体" w:eastAsia="宋体" w:cs="宋体"/>
          <w:sz w:val="24"/>
          <w:highlight w:val="none"/>
          <w:lang w:val="en-US" w:eastAsia="zh-CN"/>
        </w:rPr>
        <w:t>及</w:t>
      </w:r>
      <w:r>
        <w:rPr>
          <w:rFonts w:hint="default" w:ascii="宋体" w:hAnsi="宋体" w:eastAsia="宋体" w:cs="宋体"/>
          <w:sz w:val="24"/>
          <w:highlight w:val="none"/>
          <w:lang w:val="en-US" w:eastAsia="zh-CN"/>
        </w:rPr>
        <w:t>行业标准，招标文件</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合同约定</w:t>
      </w:r>
      <w:r>
        <w:rPr>
          <w:rFonts w:hint="eastAsia" w:ascii="宋体" w:hAnsi="宋体" w:eastAsia="宋体" w:cs="宋体"/>
          <w:sz w:val="24"/>
          <w:highlight w:val="none"/>
          <w:lang w:val="en-US" w:eastAsia="zh-CN"/>
        </w:rPr>
        <w:t>、经确认的</w:t>
      </w:r>
      <w:r>
        <w:rPr>
          <w:rFonts w:hint="default" w:ascii="宋体" w:hAnsi="宋体" w:eastAsia="宋体" w:cs="宋体"/>
          <w:sz w:val="24"/>
          <w:highlight w:val="none"/>
          <w:lang w:val="en-US" w:eastAsia="zh-CN"/>
        </w:rPr>
        <w:t>产品样品为验收依据</w:t>
      </w:r>
      <w:r>
        <w:rPr>
          <w:rFonts w:hint="eastAsia" w:ascii="宋体" w:hAnsi="宋体" w:eastAsia="宋体" w:cs="宋体"/>
          <w:sz w:val="24"/>
          <w:highlight w:val="none"/>
          <w:lang w:val="en-US" w:eastAsia="zh-CN"/>
        </w:rPr>
        <w:t>。</w:t>
      </w:r>
    </w:p>
    <w:p w14:paraId="04EFF22A">
      <w:pPr>
        <w:tabs>
          <w:tab w:val="left" w:pos="824"/>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w:t>
      </w:r>
      <w:r>
        <w:rPr>
          <w:rFonts w:hint="eastAsia" w:ascii="宋体" w:hAnsi="宋体" w:eastAsia="宋体" w:cs="宋体"/>
          <w:sz w:val="24"/>
          <w:highlight w:val="none"/>
          <w:lang w:val="en-US" w:eastAsia="zh-CN"/>
        </w:rPr>
        <w:t>产品送达后，</w:t>
      </w:r>
      <w:r>
        <w:rPr>
          <w:rFonts w:hint="default" w:ascii="宋体" w:hAnsi="宋体" w:eastAsia="宋体" w:cs="宋体"/>
          <w:sz w:val="24"/>
          <w:highlight w:val="none"/>
          <w:lang w:val="en-US" w:eastAsia="zh-CN"/>
        </w:rPr>
        <w:t>负责搬运</w:t>
      </w:r>
      <w:r>
        <w:rPr>
          <w:rFonts w:hint="eastAsia" w:ascii="宋体" w:hAnsi="宋体" w:eastAsia="宋体" w:cs="宋体"/>
          <w:sz w:val="24"/>
          <w:highlight w:val="none"/>
          <w:lang w:val="en-US" w:eastAsia="zh-CN"/>
        </w:rPr>
        <w:t>并堆放</w:t>
      </w:r>
      <w:r>
        <w:rPr>
          <w:rFonts w:hint="default" w:ascii="宋体" w:hAnsi="宋体" w:eastAsia="宋体" w:cs="宋体"/>
          <w:sz w:val="24"/>
          <w:highlight w:val="none"/>
          <w:lang w:val="en-US" w:eastAsia="zh-CN"/>
        </w:rPr>
        <w:t>至指定位置</w:t>
      </w:r>
      <w:r>
        <w:rPr>
          <w:rFonts w:hint="eastAsia" w:ascii="宋体" w:hAnsi="宋体" w:eastAsia="宋体" w:cs="宋体"/>
          <w:sz w:val="24"/>
          <w:highlight w:val="none"/>
          <w:lang w:val="en-US" w:eastAsia="zh-CN"/>
        </w:rPr>
        <w:t>，堆放整齐。由医院管理科室专人对产品的</w:t>
      </w:r>
      <w:r>
        <w:rPr>
          <w:rFonts w:hint="default" w:ascii="宋体" w:hAnsi="宋体" w:eastAsia="宋体" w:cs="宋体"/>
          <w:sz w:val="24"/>
          <w:highlight w:val="none"/>
          <w:lang w:val="en-US" w:eastAsia="zh-CN"/>
        </w:rPr>
        <w:t>外观、数量、规格、质量证明文件</w:t>
      </w:r>
      <w:r>
        <w:rPr>
          <w:rFonts w:hint="eastAsia" w:ascii="宋体" w:hAnsi="宋体" w:eastAsia="宋体" w:cs="宋体"/>
          <w:sz w:val="24"/>
          <w:highlight w:val="none"/>
          <w:lang w:val="en-US" w:eastAsia="zh-CN"/>
        </w:rPr>
        <w:t>进行验收</w:t>
      </w:r>
      <w:r>
        <w:rPr>
          <w:rFonts w:hint="default" w:ascii="宋体" w:hAnsi="宋体" w:eastAsia="宋体" w:cs="宋体"/>
          <w:sz w:val="24"/>
          <w:highlight w:val="none"/>
          <w:lang w:val="en-US" w:eastAsia="zh-CN"/>
        </w:rPr>
        <w:t>，双方签署</w:t>
      </w:r>
      <w:r>
        <w:rPr>
          <w:rFonts w:hint="eastAsia" w:ascii="宋体" w:hAnsi="宋体" w:eastAsia="宋体" w:cs="宋体"/>
          <w:sz w:val="24"/>
          <w:highlight w:val="none"/>
          <w:lang w:val="en-US" w:eastAsia="zh-CN"/>
        </w:rPr>
        <w:t>产品送货</w:t>
      </w:r>
      <w:r>
        <w:rPr>
          <w:rFonts w:hint="default" w:ascii="宋体" w:hAnsi="宋体" w:eastAsia="宋体" w:cs="宋体"/>
          <w:sz w:val="24"/>
          <w:highlight w:val="none"/>
          <w:lang w:val="en-US" w:eastAsia="zh-CN"/>
        </w:rPr>
        <w:t>验收</w:t>
      </w:r>
      <w:r>
        <w:rPr>
          <w:rFonts w:hint="eastAsia" w:ascii="宋体" w:hAnsi="宋体" w:eastAsia="宋体" w:cs="宋体"/>
          <w:sz w:val="24"/>
          <w:highlight w:val="none"/>
          <w:lang w:val="en-US" w:eastAsia="zh-CN"/>
        </w:rPr>
        <w:t>清单</w:t>
      </w:r>
      <w:r>
        <w:rPr>
          <w:rFonts w:hint="default" w:ascii="宋体" w:hAnsi="宋体" w:eastAsia="宋体" w:cs="宋体"/>
          <w:sz w:val="24"/>
          <w:highlight w:val="none"/>
          <w:lang w:val="en-US" w:eastAsia="zh-CN"/>
        </w:rPr>
        <w:t>。</w:t>
      </w:r>
    </w:p>
    <w:p w14:paraId="7218003F">
      <w:pPr>
        <w:tabs>
          <w:tab w:val="left" w:pos="824"/>
        </w:tabs>
        <w:adjustRightInd w:val="0"/>
        <w:snapToGrid w:val="0"/>
        <w:spacing w:line="360" w:lineRule="auto"/>
        <w:ind w:firstLine="480" w:firstLineChars="200"/>
        <w:rPr>
          <w:rFonts w:hint="eastAsia" w:ascii="宋体" w:hAnsi="宋体" w:eastAsia="宋体" w:cs="宋体"/>
          <w:sz w:val="24"/>
          <w:highlight w:val="none"/>
        </w:rPr>
      </w:pPr>
      <w:r>
        <w:rPr>
          <w:rFonts w:hint="default" w:ascii="宋体" w:hAnsi="宋体" w:eastAsia="宋体" w:cs="宋体"/>
          <w:sz w:val="24"/>
          <w:highlight w:val="none"/>
          <w:lang w:val="en-US" w:eastAsia="zh-CN"/>
        </w:rPr>
        <w:t>3.</w:t>
      </w:r>
      <w:r>
        <w:rPr>
          <w:rFonts w:hint="eastAsia" w:ascii="宋体" w:hAnsi="宋体" w:eastAsia="宋体" w:cs="宋体"/>
          <w:sz w:val="24"/>
          <w:highlight w:val="none"/>
          <w:lang w:val="en-US" w:eastAsia="zh-CN"/>
        </w:rPr>
        <w:t>验收时若遇</w:t>
      </w:r>
      <w:r>
        <w:rPr>
          <w:rFonts w:hint="default" w:ascii="宋体" w:hAnsi="宋体" w:eastAsia="宋体" w:cs="宋体"/>
          <w:sz w:val="24"/>
          <w:highlight w:val="none"/>
          <w:lang w:val="en-US" w:eastAsia="zh-CN"/>
        </w:rPr>
        <w:t>不合格产品</w:t>
      </w:r>
      <w:r>
        <w:rPr>
          <w:rFonts w:hint="eastAsia" w:ascii="宋体" w:hAnsi="宋体" w:eastAsia="宋体" w:cs="宋体"/>
          <w:sz w:val="24"/>
          <w:highlight w:val="none"/>
          <w:lang w:val="en-US" w:eastAsia="zh-CN"/>
        </w:rPr>
        <w:t>，由</w:t>
      </w:r>
      <w:r>
        <w:rPr>
          <w:rFonts w:hint="default" w:ascii="宋体" w:hAnsi="宋体" w:eastAsia="宋体" w:cs="宋体"/>
          <w:sz w:val="24"/>
          <w:highlight w:val="none"/>
          <w:lang w:val="en-US" w:eastAsia="zh-CN"/>
        </w:rPr>
        <w:t>供应商</w:t>
      </w:r>
      <w:r>
        <w:rPr>
          <w:rFonts w:hint="eastAsia" w:ascii="宋体" w:hAnsi="宋体" w:eastAsia="宋体" w:cs="宋体"/>
          <w:sz w:val="24"/>
          <w:highlight w:val="none"/>
          <w:lang w:val="en-US" w:eastAsia="zh-CN"/>
        </w:rPr>
        <w:t>免费</w:t>
      </w:r>
      <w:r>
        <w:rPr>
          <w:rFonts w:hint="default" w:ascii="宋体" w:hAnsi="宋体" w:eastAsia="宋体" w:cs="宋体"/>
          <w:sz w:val="24"/>
          <w:highlight w:val="none"/>
          <w:lang w:val="en-US" w:eastAsia="zh-CN"/>
        </w:rPr>
        <w:t>退换货</w:t>
      </w:r>
      <w:r>
        <w:rPr>
          <w:rFonts w:hint="eastAsia" w:ascii="宋体" w:hAnsi="宋体" w:eastAsia="宋体" w:cs="宋体"/>
          <w:sz w:val="24"/>
          <w:highlight w:val="none"/>
          <w:lang w:val="en-US" w:eastAsia="zh-CN"/>
        </w:rPr>
        <w:t>。若因产品不合格导致医院后勤保障工作受到影响，</w:t>
      </w:r>
      <w:r>
        <w:rPr>
          <w:rFonts w:hint="default" w:ascii="宋体" w:hAnsi="宋体" w:eastAsia="宋体" w:cs="宋体"/>
          <w:sz w:val="24"/>
          <w:highlight w:val="none"/>
          <w:lang w:val="en-US" w:eastAsia="zh-CN"/>
        </w:rPr>
        <w:t>按合同约定</w:t>
      </w:r>
      <w:r>
        <w:rPr>
          <w:rFonts w:hint="eastAsia" w:ascii="宋体" w:hAnsi="宋体" w:eastAsia="宋体" w:cs="宋体"/>
          <w:sz w:val="24"/>
          <w:highlight w:val="none"/>
          <w:lang w:val="en-US" w:eastAsia="zh-CN"/>
        </w:rPr>
        <w:t>的</w:t>
      </w:r>
      <w:r>
        <w:rPr>
          <w:rFonts w:hint="default" w:ascii="宋体" w:hAnsi="宋体" w:eastAsia="宋体" w:cs="宋体"/>
          <w:sz w:val="24"/>
          <w:highlight w:val="none"/>
          <w:lang w:val="en-US" w:eastAsia="zh-CN"/>
        </w:rPr>
        <w:t>违约</w:t>
      </w:r>
      <w:r>
        <w:rPr>
          <w:rFonts w:hint="eastAsia" w:ascii="宋体" w:hAnsi="宋体" w:eastAsia="宋体" w:cs="宋体"/>
          <w:sz w:val="24"/>
          <w:highlight w:val="none"/>
          <w:lang w:val="en-US" w:eastAsia="zh-CN"/>
        </w:rPr>
        <w:t>责任执行。</w:t>
      </w:r>
    </w:p>
    <w:p w14:paraId="3C0774C4">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违约责任与赔偿损失：</w:t>
      </w:r>
    </w:p>
    <w:p w14:paraId="746302D6">
      <w:pPr>
        <w:tabs>
          <w:tab w:val="left" w:pos="824"/>
        </w:tabs>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1.如果乙方没有按照合同规定的时间交货和提供服务，</w:t>
      </w:r>
      <w:r>
        <w:rPr>
          <w:rFonts w:hint="eastAsia" w:ascii="宋体" w:hAnsi="宋体" w:cs="宋体"/>
          <w:sz w:val="24"/>
          <w:highlight w:val="none"/>
          <w:lang w:val="en-US" w:eastAsia="zh-CN"/>
        </w:rPr>
        <w:t>甲方</w:t>
      </w:r>
      <w:r>
        <w:rPr>
          <w:rFonts w:hint="eastAsia" w:ascii="宋体" w:hAnsi="宋体" w:eastAsia="宋体" w:cs="宋体"/>
          <w:sz w:val="24"/>
          <w:highlight w:val="none"/>
          <w:lang w:val="en-US" w:eastAsia="zh-CN"/>
        </w:rPr>
        <w:t>应从货款中扣除误期赔偿费而不影响合同项下的其它补救方法，赔偿费按合同总价款每天0.1%计收。</w:t>
      </w:r>
    </w:p>
    <w:p w14:paraId="3DB38120">
      <w:pPr>
        <w:tabs>
          <w:tab w:val="left" w:pos="824"/>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2.乙方未按照本合同约定的期限交付货物或提供服务，逾期超30日的，</w:t>
      </w:r>
      <w:r>
        <w:rPr>
          <w:rFonts w:hint="eastAsia" w:ascii="宋体" w:hAnsi="宋体" w:cs="宋体"/>
          <w:sz w:val="24"/>
          <w:highlight w:val="none"/>
          <w:lang w:val="en-US" w:eastAsia="zh-CN"/>
        </w:rPr>
        <w:t>甲方</w:t>
      </w:r>
      <w:r>
        <w:rPr>
          <w:rFonts w:hint="eastAsia" w:ascii="宋体" w:hAnsi="宋体" w:eastAsia="宋体" w:cs="宋体"/>
          <w:sz w:val="24"/>
          <w:highlight w:val="none"/>
          <w:lang w:val="en-US" w:eastAsia="zh-CN"/>
        </w:rPr>
        <w:t>有权解除合同，并要求乙方支付迟交设备或未提供服务的合同价30%的违约金。</w:t>
      </w:r>
    </w:p>
    <w:p w14:paraId="0BF9BA69">
      <w:pPr>
        <w:tabs>
          <w:tab w:val="left" w:pos="824"/>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3.货物经</w:t>
      </w:r>
      <w:r>
        <w:rPr>
          <w:rFonts w:hint="eastAsia" w:ascii="宋体" w:hAnsi="宋体" w:cs="宋体"/>
          <w:sz w:val="24"/>
          <w:highlight w:val="none"/>
          <w:lang w:val="en-US" w:eastAsia="zh-CN"/>
        </w:rPr>
        <w:t>甲方</w:t>
      </w:r>
      <w:r>
        <w:rPr>
          <w:rFonts w:hint="eastAsia" w:ascii="宋体" w:hAnsi="宋体" w:eastAsia="宋体" w:cs="宋体"/>
          <w:sz w:val="24"/>
          <w:highlight w:val="none"/>
          <w:lang w:val="en-US" w:eastAsia="zh-CN"/>
        </w:rPr>
        <w:t>验收不符合采购需求的，</w:t>
      </w:r>
      <w:r>
        <w:rPr>
          <w:rFonts w:hint="eastAsia" w:ascii="宋体" w:hAnsi="宋体" w:cs="宋体"/>
          <w:sz w:val="24"/>
          <w:highlight w:val="none"/>
          <w:lang w:val="en-US" w:eastAsia="zh-CN"/>
        </w:rPr>
        <w:t>甲方</w:t>
      </w:r>
      <w:r>
        <w:rPr>
          <w:rFonts w:hint="eastAsia" w:ascii="宋体" w:hAnsi="宋体" w:eastAsia="宋体" w:cs="宋体"/>
          <w:sz w:val="24"/>
          <w:highlight w:val="none"/>
          <w:lang w:val="en-US" w:eastAsia="zh-CN"/>
        </w:rPr>
        <w:t>有权解除合同，并要求</w:t>
      </w:r>
      <w:r>
        <w:rPr>
          <w:rFonts w:hint="eastAsia" w:ascii="宋体" w:hAnsi="宋体" w:cs="宋体"/>
          <w:sz w:val="24"/>
          <w:highlight w:val="none"/>
          <w:lang w:val="en-US" w:eastAsia="zh-CN"/>
        </w:rPr>
        <w:t>乙方</w:t>
      </w:r>
      <w:r>
        <w:rPr>
          <w:rFonts w:hint="eastAsia" w:ascii="宋体" w:hAnsi="宋体" w:eastAsia="宋体" w:cs="宋体"/>
          <w:sz w:val="24"/>
          <w:highlight w:val="none"/>
          <w:lang w:val="en-US" w:eastAsia="zh-CN"/>
        </w:rPr>
        <w:t>支付验收未通过设备合同价30%的违约金。</w:t>
      </w:r>
    </w:p>
    <w:p w14:paraId="1C86EF69">
      <w:pPr>
        <w:tabs>
          <w:tab w:val="left" w:pos="824"/>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4.如果</w:t>
      </w:r>
      <w:r>
        <w:rPr>
          <w:rFonts w:hint="eastAsia" w:ascii="宋体" w:hAnsi="宋体" w:cs="宋体"/>
          <w:sz w:val="24"/>
          <w:highlight w:val="none"/>
          <w:lang w:val="en-US" w:eastAsia="zh-CN"/>
        </w:rPr>
        <w:t>甲</w:t>
      </w:r>
      <w:r>
        <w:rPr>
          <w:rFonts w:hint="eastAsia" w:ascii="宋体" w:hAnsi="宋体" w:eastAsia="宋体" w:cs="宋体"/>
          <w:sz w:val="24"/>
          <w:highlight w:val="none"/>
          <w:lang w:val="en-US" w:eastAsia="zh-CN"/>
        </w:rPr>
        <w:t>方根据上述规定，终止了部分合同，</w:t>
      </w:r>
      <w:r>
        <w:rPr>
          <w:rFonts w:hint="eastAsia" w:ascii="宋体" w:hAnsi="宋体" w:cs="宋体"/>
          <w:sz w:val="24"/>
          <w:highlight w:val="none"/>
          <w:lang w:val="en-US" w:eastAsia="zh-CN"/>
        </w:rPr>
        <w:t>乙方</w:t>
      </w:r>
      <w:r>
        <w:rPr>
          <w:rFonts w:hint="eastAsia" w:ascii="宋体" w:hAnsi="宋体" w:eastAsia="宋体" w:cs="宋体"/>
          <w:sz w:val="24"/>
          <w:highlight w:val="none"/>
          <w:lang w:val="en-US" w:eastAsia="zh-CN"/>
        </w:rPr>
        <w:t>应继续执行合同中未终止的部分。</w:t>
      </w:r>
    </w:p>
    <w:p w14:paraId="679D5C4C">
      <w:pPr>
        <w:tabs>
          <w:tab w:val="left" w:pos="824"/>
        </w:tabs>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5.其它违约责任按《中华人民共和国民法典》处理。</w:t>
      </w:r>
    </w:p>
    <w:p w14:paraId="123D5A01">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履约保证金：</w:t>
      </w:r>
    </w:p>
    <w:p w14:paraId="40BE10B3">
      <w:pPr>
        <w:tabs>
          <w:tab w:val="left" w:pos="824"/>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在乙方不能履行本合同规定的任何一项义务的情况下，造成违约责任，甲方有权用履约保证金补偿其任何直接损失。</w:t>
      </w:r>
    </w:p>
    <w:p w14:paraId="372CE87E">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争议的解决：</w:t>
      </w:r>
    </w:p>
    <w:p w14:paraId="2A9F37AE">
      <w:pPr>
        <w:tabs>
          <w:tab w:val="left" w:pos="824"/>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合同执行过程中发生的任何争议，如双方不能通过友好协商解决，按相关法律法规处理。</w:t>
      </w:r>
    </w:p>
    <w:p w14:paraId="0D523D0E">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不可抗力：</w:t>
      </w:r>
    </w:p>
    <w:p w14:paraId="1ECBA7D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B89E24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因合同一方迟延履行合同后发生不可抗力的，不能免除迟延履行方的相应责任。</w:t>
      </w:r>
    </w:p>
    <w:p w14:paraId="108D75E6">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税费：</w:t>
      </w:r>
    </w:p>
    <w:p w14:paraId="68267A1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在中国境内、外发生的与本合同执行有关的一切税费均由乙方负担。</w:t>
      </w:r>
    </w:p>
    <w:p w14:paraId="6D94820F">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其它：</w:t>
      </w:r>
    </w:p>
    <w:p w14:paraId="34297C9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本合同所有附件、《磋商文件》（含补充通知、澄清、答疑会议纪要等）、磋商响应性文件（含澄清等）、《成交通知书》均</w:t>
      </w:r>
      <w:r>
        <w:rPr>
          <w:rFonts w:hint="eastAsia" w:ascii="宋体" w:hAnsi="宋体" w:cs="宋体"/>
          <w:sz w:val="24"/>
          <w:highlight w:val="none"/>
          <w:lang w:eastAsia="zh-CN"/>
        </w:rPr>
        <w:t>为本</w:t>
      </w:r>
      <w:r>
        <w:rPr>
          <w:rFonts w:hint="eastAsia" w:ascii="宋体" w:hAnsi="宋体" w:eastAsia="宋体" w:cs="宋体"/>
          <w:sz w:val="24"/>
          <w:highlight w:val="none"/>
        </w:rPr>
        <w:t>合同的有效组成部分，与本合同具有同等法律效力。</w:t>
      </w:r>
    </w:p>
    <w:p w14:paraId="65EF69C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在执行本合同的过程中，所有经双方签署确认的文件（包括会议纪要、补充协议、往来信函）即成为本合同的有效组成部分。</w:t>
      </w:r>
    </w:p>
    <w:p w14:paraId="3131BCE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如一方地址、电话、传真号码有变更，应在变更当日内书面通知对方，否则，应承担相应责任。 </w:t>
      </w:r>
    </w:p>
    <w:p w14:paraId="2ADF235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除甲方事先书面同意外，乙方不得部分或全部转让其应履行的合同项下的任何责任和义务。</w:t>
      </w:r>
    </w:p>
    <w:p w14:paraId="324A466F">
      <w:pPr>
        <w:numPr>
          <w:ilvl w:val="3"/>
          <w:numId w:val="8"/>
        </w:num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合同生效及其他：</w:t>
      </w:r>
    </w:p>
    <w:p w14:paraId="45240B0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本合同在甲乙双方授权代表签字盖章后生效。</w:t>
      </w:r>
    </w:p>
    <w:p w14:paraId="1146728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如需修改合同内容，双方应签署书面修改或补充协议，该修改或补充协议作为本合同的一个组成部分。</w:t>
      </w:r>
    </w:p>
    <w:p w14:paraId="4E9B4E2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份，具有同等法律效力。甲</w:t>
      </w:r>
      <w:r>
        <w:rPr>
          <w:rFonts w:hint="eastAsia" w:ascii="宋体" w:hAnsi="宋体" w:cs="宋体"/>
          <w:sz w:val="24"/>
          <w:highlight w:val="none"/>
          <w:lang w:val="en-US" w:eastAsia="zh-CN"/>
        </w:rPr>
        <w:t>方</w:t>
      </w:r>
      <w:r>
        <w:rPr>
          <w:rFonts w:hint="eastAsia" w:ascii="宋体" w:hAnsi="宋体" w:eastAsia="宋体" w:cs="宋体"/>
          <w:sz w:val="24"/>
          <w:highlight w:val="none"/>
        </w:rPr>
        <w:t>执</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r>
        <w:rPr>
          <w:rFonts w:hint="eastAsia" w:ascii="宋体" w:hAnsi="宋体" w:cs="宋体"/>
          <w:sz w:val="24"/>
          <w:highlight w:val="none"/>
          <w:lang w:eastAsia="zh-CN"/>
        </w:rPr>
        <w:t>，</w:t>
      </w:r>
      <w:r>
        <w:rPr>
          <w:rFonts w:hint="eastAsia" w:ascii="宋体" w:hAnsi="宋体" w:eastAsia="宋体" w:cs="宋体"/>
          <w:sz w:val="24"/>
          <w:highlight w:val="none"/>
        </w:rPr>
        <w:t>乙方执</w:t>
      </w:r>
      <w:r>
        <w:rPr>
          <w:rFonts w:hint="eastAsia" w:ascii="宋体" w:hAnsi="宋体" w:eastAsia="宋体" w:cs="宋体"/>
          <w:sz w:val="24"/>
          <w:highlight w:val="none"/>
          <w:u w:val="single"/>
        </w:rPr>
        <w:t xml:space="preserve"> 壹 </w:t>
      </w:r>
      <w:r>
        <w:rPr>
          <w:rFonts w:hint="eastAsia" w:ascii="宋体" w:hAnsi="宋体" w:eastAsia="宋体" w:cs="宋体"/>
          <w:sz w:val="24"/>
          <w:highlight w:val="none"/>
        </w:rPr>
        <w:t>份，代理机构</w:t>
      </w:r>
      <w:r>
        <w:rPr>
          <w:rFonts w:hint="eastAsia" w:ascii="宋体" w:hAnsi="宋体" w:eastAsia="宋体" w:cs="宋体"/>
          <w:sz w:val="24"/>
          <w:highlight w:val="none"/>
          <w:u w:val="single"/>
        </w:rPr>
        <w:t xml:space="preserve"> 壹 </w:t>
      </w:r>
      <w:r>
        <w:rPr>
          <w:rFonts w:hint="eastAsia" w:ascii="宋体" w:hAnsi="宋体" w:eastAsia="宋体" w:cs="宋体"/>
          <w:sz w:val="24"/>
          <w:highlight w:val="none"/>
        </w:rPr>
        <w:t>份。</w:t>
      </w:r>
    </w:p>
    <w:p w14:paraId="7C2DE2E5">
      <w:pPr>
        <w:adjustRightInd w:val="0"/>
        <w:snapToGrid w:val="0"/>
        <w:spacing w:line="360" w:lineRule="auto"/>
        <w:ind w:firstLine="480" w:firstLineChars="200"/>
        <w:rPr>
          <w:rFonts w:hint="eastAsia" w:ascii="宋体" w:hAnsi="宋体" w:eastAsia="宋体" w:cs="宋体"/>
          <w:sz w:val="24"/>
          <w:highlight w:val="none"/>
        </w:rPr>
      </w:pPr>
    </w:p>
    <w:p w14:paraId="3D00D2AB">
      <w:pPr>
        <w:adjustRightInd w:val="0"/>
        <w:snapToGrid w:val="0"/>
        <w:spacing w:line="360" w:lineRule="auto"/>
        <w:ind w:firstLine="480" w:firstLineChars="200"/>
        <w:rPr>
          <w:rFonts w:hint="eastAsia" w:ascii="宋体" w:hAnsi="宋体" w:eastAsia="宋体" w:cs="宋体"/>
          <w:sz w:val="24"/>
          <w:highlight w:val="none"/>
        </w:rPr>
      </w:pPr>
    </w:p>
    <w:p w14:paraId="50DF5F89">
      <w:pPr>
        <w:adjustRightInd w:val="0"/>
        <w:snapToGrid w:val="0"/>
        <w:spacing w:line="360" w:lineRule="auto"/>
        <w:ind w:firstLine="480" w:firstLineChars="200"/>
        <w:rPr>
          <w:rFonts w:hint="eastAsia" w:ascii="宋体" w:hAnsi="宋体" w:eastAsia="宋体" w:cs="宋体"/>
          <w:sz w:val="24"/>
          <w:highlight w:val="none"/>
        </w:rPr>
      </w:pPr>
    </w:p>
    <w:p w14:paraId="1A822E8C">
      <w:pPr>
        <w:adjustRightInd w:val="0"/>
        <w:snapToGrid w:val="0"/>
        <w:spacing w:line="360" w:lineRule="auto"/>
        <w:ind w:firstLine="480" w:firstLineChars="200"/>
        <w:rPr>
          <w:rFonts w:hint="eastAsia" w:ascii="宋体" w:hAnsi="宋体" w:eastAsia="宋体" w:cs="宋体"/>
          <w:sz w:val="24"/>
          <w:highlight w:val="none"/>
        </w:rPr>
      </w:pPr>
    </w:p>
    <w:p w14:paraId="50D6DB23">
      <w:pPr>
        <w:adjustRightInd w:val="0"/>
        <w:snapToGrid w:val="0"/>
        <w:spacing w:line="360" w:lineRule="auto"/>
        <w:ind w:firstLine="480" w:firstLineChars="200"/>
        <w:rPr>
          <w:rFonts w:hint="eastAsia" w:ascii="宋体" w:hAnsi="宋体" w:eastAsia="宋体" w:cs="宋体"/>
          <w:sz w:val="24"/>
          <w:highlight w:val="none"/>
        </w:rPr>
      </w:pPr>
    </w:p>
    <w:p w14:paraId="7DA2AEB1">
      <w:pPr>
        <w:adjustRightInd w:val="0"/>
        <w:snapToGrid w:val="0"/>
        <w:spacing w:line="360" w:lineRule="auto"/>
        <w:ind w:firstLine="480" w:firstLineChars="200"/>
        <w:rPr>
          <w:rFonts w:hint="eastAsia" w:ascii="宋体" w:hAnsi="宋体" w:eastAsia="宋体" w:cs="宋体"/>
          <w:sz w:val="24"/>
          <w:highlight w:val="none"/>
        </w:rPr>
      </w:pPr>
    </w:p>
    <w:p w14:paraId="107DB7CF">
      <w:pPr>
        <w:adjustRightInd w:val="0"/>
        <w:snapToGrid w:val="0"/>
        <w:spacing w:line="360" w:lineRule="auto"/>
        <w:ind w:firstLine="480" w:firstLineChars="200"/>
        <w:rPr>
          <w:rFonts w:hint="eastAsia" w:ascii="宋体" w:hAnsi="宋体" w:eastAsia="宋体" w:cs="宋体"/>
          <w:sz w:val="24"/>
          <w:highlight w:val="none"/>
        </w:rPr>
      </w:pPr>
    </w:p>
    <w:p w14:paraId="4B1F60B6">
      <w:pPr>
        <w:adjustRightInd w:val="0"/>
        <w:snapToGrid w:val="0"/>
        <w:spacing w:line="360" w:lineRule="auto"/>
        <w:ind w:firstLine="480" w:firstLineChars="200"/>
        <w:rPr>
          <w:rFonts w:hint="eastAsia" w:ascii="宋体" w:hAnsi="宋体" w:eastAsia="宋体" w:cs="宋体"/>
          <w:sz w:val="24"/>
          <w:highlight w:val="none"/>
        </w:rPr>
      </w:pPr>
    </w:p>
    <w:p w14:paraId="716496AA">
      <w:pPr>
        <w:adjustRightInd w:val="0"/>
        <w:snapToGrid w:val="0"/>
        <w:spacing w:line="360" w:lineRule="auto"/>
        <w:ind w:firstLine="480" w:firstLineChars="200"/>
        <w:rPr>
          <w:rFonts w:hint="eastAsia" w:ascii="宋体" w:hAnsi="宋体" w:eastAsia="宋体" w:cs="宋体"/>
          <w:sz w:val="24"/>
          <w:highlight w:val="none"/>
        </w:rPr>
      </w:pPr>
    </w:p>
    <w:p w14:paraId="16EA6817">
      <w:pPr>
        <w:adjustRightInd w:val="0"/>
        <w:snapToGrid w:val="0"/>
        <w:spacing w:line="360" w:lineRule="auto"/>
        <w:ind w:firstLine="480" w:firstLineChars="200"/>
        <w:rPr>
          <w:rFonts w:hint="eastAsia" w:ascii="宋体" w:hAnsi="宋体" w:eastAsia="宋体" w:cs="宋体"/>
          <w:sz w:val="24"/>
          <w:highlight w:val="none"/>
        </w:rPr>
      </w:pPr>
    </w:p>
    <w:p w14:paraId="7DD9A108">
      <w:pPr>
        <w:adjustRightInd w:val="0"/>
        <w:snapToGrid w:val="0"/>
        <w:spacing w:line="360" w:lineRule="auto"/>
        <w:ind w:firstLine="480" w:firstLineChars="200"/>
        <w:rPr>
          <w:rFonts w:hint="eastAsia" w:ascii="宋体" w:hAnsi="宋体" w:eastAsia="宋体" w:cs="宋体"/>
          <w:sz w:val="24"/>
          <w:highlight w:val="none"/>
        </w:rPr>
      </w:pPr>
    </w:p>
    <w:p w14:paraId="72009FF8">
      <w:pPr>
        <w:adjustRightInd w:val="0"/>
        <w:snapToGrid w:val="0"/>
        <w:spacing w:line="360" w:lineRule="auto"/>
        <w:ind w:firstLine="480" w:firstLineChars="200"/>
        <w:rPr>
          <w:rFonts w:hint="eastAsia" w:ascii="宋体" w:hAnsi="宋体" w:cs="宋体"/>
          <w:sz w:val="24"/>
          <w:highlight w:val="none"/>
          <w:lang w:val="en-US" w:eastAsia="zh-CN"/>
        </w:rPr>
      </w:pPr>
    </w:p>
    <w:p w14:paraId="50DCD0A1">
      <w:pPr>
        <w:adjustRightInd w:val="0"/>
        <w:snapToGrid w:val="0"/>
        <w:spacing w:line="360" w:lineRule="auto"/>
        <w:ind w:firstLine="480" w:firstLineChars="200"/>
        <w:rPr>
          <w:rFonts w:hint="eastAsia" w:ascii="宋体" w:hAnsi="宋体" w:cs="宋体"/>
          <w:sz w:val="24"/>
          <w:highlight w:val="none"/>
          <w:lang w:val="en-US" w:eastAsia="zh-CN"/>
        </w:rPr>
      </w:pPr>
    </w:p>
    <w:p w14:paraId="4319BD75">
      <w:pPr>
        <w:adjustRightInd w:val="0"/>
        <w:snapToGrid w:val="0"/>
        <w:spacing w:line="360" w:lineRule="auto"/>
        <w:ind w:firstLine="480" w:firstLineChars="200"/>
        <w:rPr>
          <w:rFonts w:hint="eastAsia" w:ascii="宋体" w:hAnsi="宋体" w:cs="宋体"/>
          <w:sz w:val="24"/>
          <w:highlight w:val="none"/>
          <w:lang w:val="en-US" w:eastAsia="zh-CN"/>
        </w:rPr>
      </w:pPr>
    </w:p>
    <w:p w14:paraId="5FFC05FD">
      <w:pPr>
        <w:adjustRightInd w:val="0"/>
        <w:snapToGrid w:val="0"/>
        <w:spacing w:line="360" w:lineRule="auto"/>
        <w:ind w:firstLine="480" w:firstLineChars="200"/>
        <w:rPr>
          <w:rFonts w:hint="eastAsia" w:ascii="宋体" w:hAnsi="宋体" w:cs="宋体"/>
          <w:sz w:val="24"/>
          <w:highlight w:val="none"/>
          <w:lang w:val="en-US" w:eastAsia="zh-CN"/>
        </w:rPr>
      </w:pPr>
    </w:p>
    <w:p w14:paraId="28359D81">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（此页无正文）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82"/>
      </w:tblGrid>
      <w:tr w14:paraId="485F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4515" w:type="dxa"/>
            <w:noWrap w:val="0"/>
            <w:vAlign w:val="center"/>
          </w:tcPr>
          <w:p w14:paraId="383590DC">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甲方（采购人）：</w:t>
            </w:r>
          </w:p>
          <w:p w14:paraId="163CF4EA">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盖章：</w:t>
            </w:r>
          </w:p>
          <w:p w14:paraId="4A5587C8">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w:t>
            </w:r>
          </w:p>
          <w:p w14:paraId="6DF754E1">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电话：</w:t>
            </w:r>
          </w:p>
          <w:p w14:paraId="13BA0106">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传真：</w:t>
            </w:r>
          </w:p>
        </w:tc>
        <w:tc>
          <w:tcPr>
            <w:tcW w:w="4582" w:type="dxa"/>
            <w:noWrap w:val="0"/>
            <w:vAlign w:val="center"/>
          </w:tcPr>
          <w:p w14:paraId="3153D7D1">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乙方（成交人）： </w:t>
            </w:r>
          </w:p>
          <w:p w14:paraId="1EEB041A">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盖章：</w:t>
            </w:r>
          </w:p>
          <w:p w14:paraId="74794C1E">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w:t>
            </w:r>
          </w:p>
          <w:p w14:paraId="153E2ED6">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电话： </w:t>
            </w:r>
          </w:p>
          <w:p w14:paraId="4D015A17">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传真：</w:t>
            </w:r>
          </w:p>
        </w:tc>
      </w:tr>
      <w:tr w14:paraId="4282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exact"/>
        </w:trPr>
        <w:tc>
          <w:tcPr>
            <w:tcW w:w="4515" w:type="dxa"/>
            <w:noWrap w:val="0"/>
            <w:vAlign w:val="center"/>
          </w:tcPr>
          <w:p w14:paraId="2447D17D">
            <w:pPr>
              <w:adjustRightInd w:val="0"/>
              <w:snapToGrid w:val="0"/>
              <w:spacing w:line="360" w:lineRule="auto"/>
              <w:rPr>
                <w:rFonts w:hint="eastAsia" w:ascii="宋体" w:hAnsi="宋体" w:eastAsia="宋体" w:cs="宋体"/>
                <w:sz w:val="24"/>
                <w:highlight w:val="none"/>
              </w:rPr>
            </w:pPr>
          </w:p>
          <w:p w14:paraId="7625AD56">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w:t>
            </w:r>
          </w:p>
          <w:p w14:paraId="0DBAFB3F">
            <w:pPr>
              <w:adjustRightInd w:val="0"/>
              <w:snapToGrid w:val="0"/>
              <w:spacing w:line="360" w:lineRule="auto"/>
              <w:rPr>
                <w:rFonts w:hint="eastAsia" w:ascii="宋体" w:hAnsi="宋体" w:eastAsia="宋体" w:cs="宋体"/>
                <w:sz w:val="24"/>
                <w:highlight w:val="none"/>
              </w:rPr>
            </w:pPr>
          </w:p>
          <w:p w14:paraId="38607688">
            <w:pPr>
              <w:adjustRightInd w:val="0"/>
              <w:snapToGrid w:val="0"/>
              <w:spacing w:line="360" w:lineRule="auto"/>
              <w:rPr>
                <w:rFonts w:hint="eastAsia" w:ascii="宋体" w:hAnsi="宋体" w:eastAsia="宋体" w:cs="宋体"/>
                <w:sz w:val="24"/>
                <w:highlight w:val="none"/>
              </w:rPr>
            </w:pPr>
            <w:r>
              <w:rPr>
                <w:rFonts w:hint="eastAsia" w:ascii="宋体" w:hAnsi="宋体" w:cs="宋体"/>
                <w:sz w:val="24"/>
                <w:highlight w:val="none"/>
                <w:lang w:val="en-US" w:eastAsia="zh-CN"/>
              </w:rPr>
              <w:t>或</w:t>
            </w:r>
            <w:r>
              <w:rPr>
                <w:rFonts w:hint="eastAsia" w:ascii="宋体" w:hAnsi="宋体" w:eastAsia="宋体" w:cs="宋体"/>
                <w:sz w:val="24"/>
                <w:highlight w:val="none"/>
              </w:rPr>
              <w:t>被授权人：</w:t>
            </w:r>
          </w:p>
          <w:p w14:paraId="40AEAC41">
            <w:pPr>
              <w:adjustRightInd w:val="0"/>
              <w:snapToGrid w:val="0"/>
              <w:spacing w:line="360" w:lineRule="auto"/>
              <w:rPr>
                <w:rFonts w:hint="eastAsia" w:ascii="宋体" w:hAnsi="宋体" w:eastAsia="宋体" w:cs="宋体"/>
                <w:sz w:val="24"/>
                <w:highlight w:val="none"/>
              </w:rPr>
            </w:pPr>
          </w:p>
          <w:p w14:paraId="54866A41">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日    期：</w:t>
            </w:r>
          </w:p>
        </w:tc>
        <w:tc>
          <w:tcPr>
            <w:tcW w:w="4582" w:type="dxa"/>
            <w:noWrap w:val="0"/>
            <w:vAlign w:val="center"/>
          </w:tcPr>
          <w:p w14:paraId="38673D57">
            <w:pPr>
              <w:adjustRightInd w:val="0"/>
              <w:snapToGrid w:val="0"/>
              <w:spacing w:line="360" w:lineRule="auto"/>
              <w:rPr>
                <w:rFonts w:hint="eastAsia" w:ascii="宋体" w:hAnsi="宋体" w:eastAsia="宋体" w:cs="宋体"/>
                <w:sz w:val="24"/>
                <w:highlight w:val="none"/>
              </w:rPr>
            </w:pPr>
          </w:p>
          <w:p w14:paraId="05CDE326">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w:t>
            </w:r>
          </w:p>
          <w:p w14:paraId="33D91C12">
            <w:pPr>
              <w:adjustRightInd w:val="0"/>
              <w:snapToGrid w:val="0"/>
              <w:spacing w:line="360" w:lineRule="auto"/>
              <w:rPr>
                <w:rFonts w:hint="eastAsia" w:ascii="宋体" w:hAnsi="宋体" w:eastAsia="宋体" w:cs="宋体"/>
                <w:sz w:val="24"/>
                <w:highlight w:val="none"/>
              </w:rPr>
            </w:pPr>
          </w:p>
          <w:p w14:paraId="16DEA52F">
            <w:pPr>
              <w:adjustRightInd w:val="0"/>
              <w:snapToGrid w:val="0"/>
              <w:spacing w:line="360" w:lineRule="auto"/>
              <w:rPr>
                <w:rFonts w:hint="eastAsia" w:ascii="宋体" w:hAnsi="宋体" w:eastAsia="宋体" w:cs="宋体"/>
                <w:sz w:val="24"/>
                <w:highlight w:val="none"/>
              </w:rPr>
            </w:pPr>
            <w:r>
              <w:rPr>
                <w:rFonts w:hint="eastAsia" w:ascii="宋体" w:hAnsi="宋体" w:cs="宋体"/>
                <w:sz w:val="24"/>
                <w:highlight w:val="none"/>
                <w:lang w:val="en-US" w:eastAsia="zh-CN"/>
              </w:rPr>
              <w:t>或</w:t>
            </w:r>
            <w:r>
              <w:rPr>
                <w:rFonts w:hint="eastAsia" w:ascii="宋体" w:hAnsi="宋体" w:eastAsia="宋体" w:cs="宋体"/>
                <w:sz w:val="24"/>
                <w:highlight w:val="none"/>
              </w:rPr>
              <w:t>被授权人：</w:t>
            </w:r>
          </w:p>
          <w:p w14:paraId="7648AFC0">
            <w:pPr>
              <w:adjustRightInd w:val="0"/>
              <w:snapToGrid w:val="0"/>
              <w:spacing w:line="360" w:lineRule="auto"/>
              <w:rPr>
                <w:rFonts w:hint="eastAsia" w:ascii="宋体" w:hAnsi="宋体" w:eastAsia="宋体" w:cs="宋体"/>
                <w:sz w:val="24"/>
                <w:highlight w:val="none"/>
              </w:rPr>
            </w:pPr>
          </w:p>
          <w:p w14:paraId="7C3AD69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日    期：</w:t>
            </w:r>
          </w:p>
        </w:tc>
      </w:tr>
      <w:tr w14:paraId="243F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trPr>
        <w:tc>
          <w:tcPr>
            <w:tcW w:w="4515" w:type="dxa"/>
            <w:noWrap w:val="0"/>
            <w:vAlign w:val="center"/>
          </w:tcPr>
          <w:p w14:paraId="59DE89E7">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账  号</w:t>
            </w:r>
            <w:r>
              <w:rPr>
                <w:rFonts w:hint="eastAsia" w:ascii="宋体" w:hAnsi="宋体" w:cs="宋体"/>
                <w:sz w:val="24"/>
                <w:highlight w:val="none"/>
                <w:lang w:eastAsia="zh-CN"/>
              </w:rPr>
              <w:t>：</w:t>
            </w:r>
            <w:r>
              <w:rPr>
                <w:rFonts w:hint="eastAsia" w:ascii="宋体" w:hAnsi="宋体" w:eastAsia="宋体" w:cs="宋体"/>
                <w:sz w:val="24"/>
                <w:highlight w:val="none"/>
              </w:rPr>
              <w:t xml:space="preserve"> </w:t>
            </w:r>
          </w:p>
          <w:p w14:paraId="2113EA9A">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cs="宋体"/>
                <w:sz w:val="24"/>
                <w:highlight w:val="none"/>
                <w:lang w:eastAsia="zh-CN"/>
              </w:rPr>
              <w:t>：</w:t>
            </w:r>
            <w:r>
              <w:rPr>
                <w:rFonts w:hint="eastAsia" w:ascii="宋体" w:hAnsi="宋体" w:eastAsia="宋体" w:cs="宋体"/>
                <w:sz w:val="24"/>
                <w:highlight w:val="none"/>
              </w:rPr>
              <w:t xml:space="preserve"> </w:t>
            </w:r>
          </w:p>
        </w:tc>
        <w:tc>
          <w:tcPr>
            <w:tcW w:w="4582" w:type="dxa"/>
            <w:noWrap w:val="0"/>
            <w:vAlign w:val="center"/>
          </w:tcPr>
          <w:p w14:paraId="4B8DE46C">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账  号：</w:t>
            </w:r>
          </w:p>
          <w:p w14:paraId="5788D9E5">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开户行：</w:t>
            </w:r>
          </w:p>
        </w:tc>
      </w:tr>
      <w:tr w14:paraId="15EC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exact"/>
        </w:trPr>
        <w:tc>
          <w:tcPr>
            <w:tcW w:w="9097" w:type="dxa"/>
            <w:gridSpan w:val="2"/>
            <w:noWrap w:val="0"/>
            <w:vAlign w:val="center"/>
          </w:tcPr>
          <w:p w14:paraId="1DE80D62">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鉴证方：</w:t>
            </w:r>
            <w:r>
              <w:rPr>
                <w:rFonts w:hint="eastAsia" w:ascii="宋体" w:hAnsi="宋体" w:eastAsia="宋体" w:cs="宋体"/>
                <w:sz w:val="24"/>
                <w:highlight w:val="none"/>
                <w:lang w:eastAsia="zh-CN"/>
              </w:rPr>
              <w:t>甘肃创慧惠科建设工程管理有限公司</w:t>
            </w:r>
            <w:r>
              <w:rPr>
                <w:rFonts w:hint="eastAsia" w:ascii="宋体" w:hAnsi="宋体" w:eastAsia="宋体" w:cs="宋体"/>
                <w:sz w:val="24"/>
                <w:highlight w:val="none"/>
              </w:rPr>
              <w:t>（盖章）</w:t>
            </w:r>
          </w:p>
          <w:p w14:paraId="486FC304">
            <w:pPr>
              <w:widowControl/>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址：甘肃省平凉市崆峒区北门什字创</w:t>
            </w:r>
            <w:r>
              <w:rPr>
                <w:rFonts w:hint="eastAsia" w:ascii="宋体" w:hAnsi="宋体" w:eastAsia="宋体" w:cs="宋体"/>
                <w:sz w:val="24"/>
                <w:highlight w:val="none"/>
                <w:lang w:val="en-US" w:eastAsia="zh-CN"/>
              </w:rPr>
              <w:t>慧</w:t>
            </w:r>
            <w:r>
              <w:rPr>
                <w:rFonts w:hint="eastAsia" w:ascii="宋体" w:hAnsi="宋体" w:eastAsia="宋体" w:cs="宋体"/>
                <w:sz w:val="24"/>
                <w:highlight w:val="none"/>
              </w:rPr>
              <w:t>中心</w:t>
            </w:r>
            <w:r>
              <w:rPr>
                <w:rFonts w:hint="eastAsia" w:ascii="宋体" w:hAnsi="宋体" w:eastAsia="宋体" w:cs="宋体"/>
                <w:sz w:val="24"/>
                <w:highlight w:val="none"/>
                <w:lang w:eastAsia="zh-CN"/>
              </w:rPr>
              <w:t>）</w:t>
            </w:r>
          </w:p>
          <w:p w14:paraId="290DD5E4">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lang w:eastAsia="zh-CN"/>
              </w:rPr>
              <w:t>18193312581</w:t>
            </w:r>
          </w:p>
        </w:tc>
      </w:tr>
    </w:tbl>
    <w:p w14:paraId="77FF2325">
      <w:pPr>
        <w:adjustRightInd w:val="0"/>
        <w:snapToGrid w:val="0"/>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注：本合同中主要条款必须全部响应，但格式仅作为参考文本，合同签订双方可根据项目的具体要求进行修订。</w:t>
      </w:r>
    </w:p>
    <w:p w14:paraId="2BFFB644">
      <w:pPr>
        <w:pStyle w:val="36"/>
        <w:jc w:val="both"/>
        <w:rPr>
          <w:rFonts w:hint="eastAsia" w:ascii="宋体" w:hAnsi="宋体" w:eastAsia="宋体" w:cs="宋体"/>
          <w:kern w:val="0"/>
          <w:highlight w:val="none"/>
        </w:rPr>
        <w:sectPr>
          <w:headerReference r:id="rId7" w:type="first"/>
          <w:footerReference r:id="rId9" w:type="first"/>
          <w:headerReference r:id="rId6" w:type="default"/>
          <w:footerReference r:id="rId8" w:type="default"/>
          <w:pgSz w:w="11905" w:h="16838"/>
          <w:pgMar w:top="1440" w:right="1531" w:bottom="1440" w:left="1531" w:header="850" w:footer="850" w:gutter="0"/>
          <w:pgNumType w:fmt="decimal" w:start="42"/>
          <w:cols w:space="0" w:num="1"/>
          <w:rtlGutter w:val="0"/>
          <w:docGrid w:type="lines" w:linePitch="312" w:charSpace="0"/>
        </w:sectPr>
      </w:pPr>
    </w:p>
    <w:p w14:paraId="5EF7D9AA">
      <w:pPr>
        <w:pageBreakBefore w:val="0"/>
        <w:widowControl w:val="0"/>
        <w:kinsoku/>
        <w:wordWrap/>
        <w:overflowPunct/>
        <w:topLinePunct w:val="0"/>
        <w:autoSpaceDE/>
        <w:autoSpaceDN/>
        <w:bidi w:val="0"/>
        <w:snapToGrid/>
        <w:spacing w:line="240" w:lineRule="auto"/>
        <w:jc w:val="center"/>
        <w:rPr>
          <w:rStyle w:val="69"/>
          <w:rFonts w:hint="eastAsia" w:ascii="宋体" w:hAnsi="宋体" w:eastAsia="宋体" w:cs="宋体"/>
          <w:sz w:val="44"/>
          <w:szCs w:val="44"/>
          <w:highlight w:val="none"/>
        </w:rPr>
      </w:pPr>
      <w:bookmarkStart w:id="527" w:name="_Toc17232"/>
      <w:r>
        <w:rPr>
          <w:rStyle w:val="69"/>
          <w:rFonts w:hint="eastAsia" w:ascii="宋体" w:hAnsi="宋体" w:eastAsia="宋体" w:cs="宋体"/>
          <w:sz w:val="44"/>
          <w:szCs w:val="44"/>
          <w:highlight w:val="none"/>
        </w:rPr>
        <w:t>第五章  磋商响应性文件格式</w:t>
      </w:r>
      <w:bookmarkEnd w:id="519"/>
      <w:bookmarkEnd w:id="520"/>
      <w:bookmarkEnd w:id="521"/>
      <w:bookmarkEnd w:id="522"/>
      <w:bookmarkEnd w:id="523"/>
      <w:bookmarkEnd w:id="527"/>
    </w:p>
    <w:p w14:paraId="09CFA343">
      <w:pPr>
        <w:pStyle w:val="3"/>
        <w:pageBreakBefore w:val="0"/>
        <w:widowControl w:val="0"/>
        <w:kinsoku/>
        <w:wordWrap/>
        <w:overflowPunct/>
        <w:topLinePunct w:val="0"/>
        <w:autoSpaceDE/>
        <w:autoSpaceDN/>
        <w:bidi w:val="0"/>
        <w:snapToGrid/>
        <w:spacing w:line="400" w:lineRule="exact"/>
        <w:rPr>
          <w:rFonts w:hint="eastAsia" w:ascii="宋体" w:hAnsi="宋体" w:eastAsia="宋体" w:cs="宋体"/>
          <w:highlight w:val="none"/>
        </w:rPr>
      </w:pPr>
      <w:bookmarkStart w:id="528" w:name="_Toc389731555"/>
      <w:bookmarkStart w:id="529" w:name="_Toc390078447"/>
      <w:bookmarkStart w:id="530" w:name="_Toc390084413"/>
      <w:bookmarkStart w:id="531" w:name="_Toc390084953"/>
      <w:bookmarkStart w:id="532" w:name="_Toc390084889"/>
      <w:bookmarkStart w:id="533" w:name="_Toc30580"/>
      <w:bookmarkStart w:id="534" w:name="_Toc396597539"/>
      <w:r>
        <w:rPr>
          <w:rFonts w:hint="eastAsia" w:ascii="宋体" w:hAnsi="宋体" w:eastAsia="宋体" w:cs="宋体"/>
          <w:highlight w:val="none"/>
        </w:rPr>
        <w:t>一 、</w:t>
      </w:r>
      <w:r>
        <w:rPr>
          <w:rFonts w:hint="eastAsia" w:ascii="宋体" w:hAnsi="宋体" w:eastAsia="宋体" w:cs="宋体"/>
          <w:highlight w:val="none"/>
          <w:lang w:eastAsia="zh-CN"/>
        </w:rPr>
        <w:t>磋商</w:t>
      </w:r>
      <w:r>
        <w:rPr>
          <w:rFonts w:hint="eastAsia" w:ascii="宋体" w:hAnsi="宋体" w:eastAsia="宋体" w:cs="宋体"/>
          <w:highlight w:val="none"/>
        </w:rPr>
        <w:t>函</w:t>
      </w:r>
      <w:bookmarkEnd w:id="524"/>
      <w:bookmarkEnd w:id="525"/>
      <w:bookmarkEnd w:id="528"/>
      <w:bookmarkEnd w:id="529"/>
      <w:bookmarkEnd w:id="530"/>
      <w:bookmarkEnd w:id="531"/>
      <w:bookmarkEnd w:id="532"/>
      <w:bookmarkEnd w:id="533"/>
      <w:bookmarkEnd w:id="534"/>
    </w:p>
    <w:p w14:paraId="067D7E7C">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sz w:val="24"/>
          <w:highlight w:val="none"/>
          <w:u w:val="single"/>
          <w:lang w:eastAsia="zh-CN"/>
        </w:rPr>
      </w:pPr>
      <w:r>
        <w:rPr>
          <w:rFonts w:hint="eastAsia" w:ascii="宋体" w:hAnsi="宋体" w:eastAsia="宋体" w:cs="宋体"/>
          <w:b/>
          <w:sz w:val="24"/>
          <w:highlight w:val="none"/>
        </w:rPr>
        <w:t>致：</w:t>
      </w:r>
      <w:r>
        <w:rPr>
          <w:rFonts w:hint="eastAsia" w:ascii="宋体" w:hAnsi="宋体" w:eastAsia="宋体" w:cs="宋体"/>
          <w:b/>
          <w:sz w:val="24"/>
          <w:highlight w:val="none"/>
          <w:u w:val="single"/>
          <w:lang w:eastAsia="zh-CN"/>
        </w:rPr>
        <w:t>甘肃创慧惠科建设工程管理有限公司</w:t>
      </w:r>
    </w:p>
    <w:p w14:paraId="25C0DBD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我方全面研究了“</w:t>
      </w:r>
      <w:r>
        <w:rPr>
          <w:rFonts w:hint="eastAsia" w:ascii="宋体" w:hAnsi="宋体" w:eastAsia="宋体" w:cs="宋体"/>
          <w:sz w:val="24"/>
          <w:highlight w:val="none"/>
          <w:u w:val="single"/>
        </w:rPr>
        <w:t xml:space="preserve">     （项目名称）</w:t>
      </w:r>
      <w:r>
        <w:rPr>
          <w:rFonts w:hint="eastAsia" w:ascii="宋体" w:hAnsi="宋体" w:eastAsia="宋体" w:cs="宋体"/>
          <w:sz w:val="24"/>
          <w:highlight w:val="none"/>
        </w:rPr>
        <w:t>”《磋商文件》（项目编号：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），决定参加贵单位组织的本次投标。我方提交《磋商响应性文件》正本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份、副本</w:t>
      </w:r>
    </w:p>
    <w:p w14:paraId="3C6DFA80">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none"/>
          <w:lang w:val="en-US" w:eastAsia="zh-CN"/>
        </w:rPr>
        <w:t xml:space="preserve"> </w:t>
      </w:r>
      <w:r>
        <w:rPr>
          <w:rFonts w:hint="eastAsia" w:ascii="宋体" w:hAnsi="宋体" w:eastAsia="宋体" w:cs="宋体"/>
          <w:sz w:val="24"/>
          <w:highlight w:val="none"/>
        </w:rPr>
        <w:t>份并保证其真实性，并承诺，以下情况若未完全履行，愿无条件接受我方投标被拒绝的后果：</w:t>
      </w:r>
    </w:p>
    <w:p w14:paraId="71DA3EA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1.我方完全接受《磋商文件》要求的内容，愿承担该项目的实施和售后服务任务，并将履行《磋商文件》对成交人的要求和应承担的责任及义务。</w:t>
      </w:r>
    </w:p>
    <w:p w14:paraId="1CE5683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2.我方已全面研究了《磋商文件》的所有内容，包括澄清文件、参考资料及有关附件，无其他不明事项且无任何异议。</w:t>
      </w:r>
    </w:p>
    <w:p w14:paraId="5A8BE85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3.我方接受提供贵方可能另外要求的与投标有关的任何证据或资料，并保证已提供和将要提供的文件资料是真实、准确的。</w:t>
      </w:r>
    </w:p>
    <w:p w14:paraId="2ECD01D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4.我方接受</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天的投标有效期（如成交，有效期将延至合同终止日为止），在此期间我方将受此约束。</w:t>
      </w:r>
    </w:p>
    <w:p w14:paraId="1828CF9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5.我方完全理解采购人不一定将合同授予最低报价的供应商的行为。</w:t>
      </w:r>
    </w:p>
    <w:p w14:paraId="2D2C9B3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6.如我方成交，将按《磋商文件》中的规定在取得《成交通知书》前向</w:t>
      </w:r>
      <w:r>
        <w:rPr>
          <w:rFonts w:hint="eastAsia" w:ascii="宋体" w:hAnsi="宋体" w:eastAsia="宋体" w:cs="宋体"/>
          <w:sz w:val="24"/>
          <w:highlight w:val="none"/>
          <w:lang w:eastAsia="zh-CN"/>
        </w:rPr>
        <w:t>甘肃创慧惠科建设工程管理有限公司</w:t>
      </w:r>
      <w:r>
        <w:rPr>
          <w:rFonts w:hint="eastAsia" w:ascii="宋体" w:hAnsi="宋体" w:eastAsia="宋体" w:cs="宋体"/>
          <w:sz w:val="24"/>
          <w:highlight w:val="none"/>
        </w:rPr>
        <w:t>一次性支付相关费用。</w:t>
      </w:r>
    </w:p>
    <w:p w14:paraId="44DDE01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投标有关的一切资金往来请使用以下账户：</w:t>
      </w:r>
    </w:p>
    <w:p w14:paraId="28F562C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户  名：</w:t>
      </w:r>
      <w:r>
        <w:rPr>
          <w:rFonts w:hint="eastAsia" w:ascii="宋体" w:hAnsi="宋体" w:eastAsia="宋体" w:cs="宋体"/>
          <w:sz w:val="24"/>
          <w:highlight w:val="none"/>
          <w:u w:val="single"/>
        </w:rPr>
        <w:t xml:space="preserve">                   </w:t>
      </w:r>
    </w:p>
    <w:p w14:paraId="693C03F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账  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税  号：</w:t>
      </w:r>
      <w:r>
        <w:rPr>
          <w:rFonts w:hint="eastAsia" w:ascii="宋体" w:hAnsi="宋体" w:eastAsia="宋体" w:cs="宋体"/>
          <w:sz w:val="24"/>
          <w:highlight w:val="none"/>
          <w:u w:val="single"/>
        </w:rPr>
        <w:t xml:space="preserve">                   </w:t>
      </w:r>
    </w:p>
    <w:p w14:paraId="1793E7DF">
      <w:pPr>
        <w:keepNext w:val="0"/>
        <w:keepLines w:val="0"/>
        <w:pageBreakBefore w:val="0"/>
        <w:widowControl w:val="0"/>
        <w:kinsoku/>
        <w:wordWrap/>
        <w:overflowPunct/>
        <w:topLinePunct w:val="0"/>
        <w:autoSpaceDE/>
        <w:autoSpaceDN/>
        <w:bidi w:val="0"/>
        <w:adjustRightInd w:val="0"/>
        <w:snapToGrid w:val="0"/>
        <w:spacing w:line="420" w:lineRule="exact"/>
        <w:ind w:firstLine="456" w:firstLineChars="200"/>
        <w:textAlignment w:val="baseline"/>
        <w:rPr>
          <w:rFonts w:hint="eastAsia" w:ascii="宋体" w:hAnsi="宋体" w:eastAsia="宋体" w:cs="宋体"/>
          <w:spacing w:val="-6"/>
          <w:sz w:val="24"/>
          <w:highlight w:val="none"/>
        </w:rPr>
      </w:pPr>
      <w:r>
        <w:rPr>
          <w:rFonts w:hint="eastAsia" w:ascii="宋体" w:hAnsi="宋体" w:eastAsia="宋体" w:cs="宋体"/>
          <w:spacing w:val="-6"/>
          <w:sz w:val="24"/>
          <w:highlight w:val="none"/>
        </w:rPr>
        <w:t>7.如我方成交，《</w:t>
      </w:r>
      <w:r>
        <w:rPr>
          <w:rFonts w:hint="eastAsia" w:ascii="宋体" w:hAnsi="宋体" w:eastAsia="宋体" w:cs="宋体"/>
          <w:bCs/>
          <w:spacing w:val="-6"/>
          <w:sz w:val="24"/>
          <w:highlight w:val="none"/>
        </w:rPr>
        <w:t>成交通知书》</w:t>
      </w:r>
      <w:r>
        <w:rPr>
          <w:rFonts w:hint="eastAsia" w:ascii="宋体" w:hAnsi="宋体" w:eastAsia="宋体" w:cs="宋体"/>
          <w:spacing w:val="-6"/>
          <w:sz w:val="24"/>
          <w:highlight w:val="none"/>
        </w:rPr>
        <w:t>将选择</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方式领取（下列方式二选一）：</w:t>
      </w:r>
    </w:p>
    <w:p w14:paraId="2266F9D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（1）快递（提供详细准确的通讯信息）</w:t>
      </w:r>
    </w:p>
    <w:p w14:paraId="0C2CBB7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  话：</w:t>
      </w:r>
      <w:r>
        <w:rPr>
          <w:rFonts w:hint="eastAsia" w:ascii="宋体" w:hAnsi="宋体" w:eastAsia="宋体" w:cs="宋体"/>
          <w:sz w:val="24"/>
          <w:highlight w:val="none"/>
          <w:u w:val="single"/>
        </w:rPr>
        <w:t xml:space="preserve">         </w:t>
      </w:r>
    </w:p>
    <w:p w14:paraId="6DBF90C5">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（2）自取</w:t>
      </w:r>
      <w:r>
        <w:rPr>
          <w:rFonts w:hint="eastAsia" w:ascii="宋体" w:hAnsi="宋体" w:cs="宋体"/>
          <w:sz w:val="24"/>
          <w:highlight w:val="none"/>
          <w:lang w:eastAsia="zh-CN"/>
        </w:rPr>
        <w:t>（</w:t>
      </w:r>
      <w:r>
        <w:rPr>
          <w:rFonts w:hint="eastAsia" w:ascii="宋体" w:hAnsi="宋体" w:eastAsia="宋体" w:cs="宋体"/>
          <w:sz w:val="24"/>
          <w:highlight w:val="none"/>
        </w:rPr>
        <w:t>到</w:t>
      </w:r>
      <w:r>
        <w:rPr>
          <w:rFonts w:hint="eastAsia" w:ascii="宋体" w:hAnsi="宋体" w:eastAsia="宋体" w:cs="宋体"/>
          <w:sz w:val="24"/>
          <w:highlight w:val="none"/>
          <w:lang w:eastAsia="zh-CN"/>
        </w:rPr>
        <w:t>甘肃创慧惠科建设工程管理有限公司</w:t>
      </w:r>
      <w:r>
        <w:rPr>
          <w:rFonts w:hint="eastAsia" w:ascii="宋体" w:hAnsi="宋体" w:cs="宋体"/>
          <w:sz w:val="24"/>
          <w:highlight w:val="none"/>
          <w:lang w:eastAsia="zh-CN"/>
        </w:rPr>
        <w:t>）</w:t>
      </w:r>
    </w:p>
    <w:p w14:paraId="633BF03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baseline"/>
        <w:rPr>
          <w:rFonts w:hint="eastAsia" w:ascii="宋体" w:hAnsi="宋体" w:eastAsia="宋体" w:cs="宋体"/>
          <w:sz w:val="24"/>
          <w:highlight w:val="none"/>
          <w:u w:val="single"/>
          <w:lang w:eastAsia="zh-CN"/>
        </w:rPr>
      </w:pPr>
      <w:r>
        <w:rPr>
          <w:rFonts w:hint="eastAsia" w:ascii="宋体" w:hAnsi="宋体" w:eastAsia="宋体" w:cs="宋体"/>
          <w:sz w:val="24"/>
          <w:highlight w:val="none"/>
        </w:rPr>
        <w:t>地  址：</w:t>
      </w:r>
      <w:r>
        <w:rPr>
          <w:rFonts w:hint="eastAsia" w:ascii="宋体" w:hAnsi="宋体" w:eastAsia="宋体" w:cs="宋体"/>
          <w:sz w:val="24"/>
          <w:highlight w:val="none"/>
          <w:u w:val="single"/>
        </w:rPr>
        <w:t>甘肃省平凉市崆峒区北门什字创</w:t>
      </w:r>
      <w:r>
        <w:rPr>
          <w:rFonts w:hint="eastAsia" w:ascii="宋体" w:hAnsi="宋体" w:eastAsia="宋体" w:cs="宋体"/>
          <w:sz w:val="24"/>
          <w:highlight w:val="none"/>
          <w:u w:val="single"/>
          <w:lang w:val="en-US" w:eastAsia="zh-CN"/>
        </w:rPr>
        <w:t>慧</w:t>
      </w:r>
      <w:r>
        <w:rPr>
          <w:rFonts w:hint="eastAsia" w:ascii="宋体" w:hAnsi="宋体" w:eastAsia="宋体" w:cs="宋体"/>
          <w:sz w:val="24"/>
          <w:highlight w:val="none"/>
          <w:u w:val="single"/>
        </w:rPr>
        <w:t>中心</w:t>
      </w:r>
    </w:p>
    <w:p w14:paraId="5179551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lang w:eastAsia="zh-CN"/>
        </w:rPr>
        <w:t>18193312581</w:t>
      </w:r>
      <w:r>
        <w:rPr>
          <w:rFonts w:hint="eastAsia" w:ascii="宋体" w:hAnsi="宋体" w:eastAsia="宋体" w:cs="宋体"/>
          <w:sz w:val="24"/>
          <w:highlight w:val="none"/>
          <w:u w:val="single"/>
        </w:rPr>
        <w:t xml:space="preserve"> </w:t>
      </w:r>
    </w:p>
    <w:p w14:paraId="4CA6A725">
      <w:pPr>
        <w:keepNext w:val="0"/>
        <w:keepLines w:val="0"/>
        <w:pageBreakBefore w:val="0"/>
        <w:widowControl w:val="0"/>
        <w:kinsoku/>
        <w:wordWrap/>
        <w:overflowPunct/>
        <w:topLinePunct w:val="0"/>
        <w:autoSpaceDE/>
        <w:autoSpaceDN/>
        <w:bidi w:val="0"/>
        <w:adjustRightInd w:val="0"/>
        <w:snapToGrid w:val="0"/>
        <w:spacing w:line="420" w:lineRule="exact"/>
        <w:ind w:firstLine="3840" w:firstLineChars="1600"/>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单位公章：</w:t>
      </w:r>
      <w:r>
        <w:rPr>
          <w:rFonts w:hint="eastAsia" w:ascii="宋体" w:hAnsi="宋体" w:eastAsia="宋体" w:cs="宋体"/>
          <w:sz w:val="24"/>
          <w:highlight w:val="none"/>
          <w:u w:val="single"/>
        </w:rPr>
        <w:t xml:space="preserve">                </w:t>
      </w:r>
    </w:p>
    <w:p w14:paraId="488EDE57">
      <w:pPr>
        <w:keepNext w:val="0"/>
        <w:keepLines w:val="0"/>
        <w:pageBreakBefore w:val="0"/>
        <w:widowControl w:val="0"/>
        <w:kinsoku/>
        <w:wordWrap/>
        <w:overflowPunct/>
        <w:topLinePunct w:val="0"/>
        <w:autoSpaceDE/>
        <w:autoSpaceDN/>
        <w:bidi w:val="0"/>
        <w:adjustRightInd w:val="0"/>
        <w:snapToGrid w:val="0"/>
        <w:spacing w:line="420" w:lineRule="exact"/>
        <w:ind w:firstLine="3840" w:firstLineChars="1600"/>
        <w:textAlignment w:val="baseline"/>
        <w:rPr>
          <w:rFonts w:hint="eastAsia" w:ascii="宋体" w:hAnsi="宋体" w:eastAsia="宋体" w:cs="宋体"/>
          <w:sz w:val="24"/>
          <w:highlight w:val="none"/>
        </w:rPr>
      </w:pPr>
      <w:r>
        <w:rPr>
          <w:rFonts w:hint="eastAsia" w:ascii="宋体" w:hAnsi="宋体" w:eastAsia="宋体" w:cs="宋体"/>
          <w:sz w:val="24"/>
          <w:highlight w:val="none"/>
        </w:rPr>
        <w:t>法定代表人或被授权人签字：</w:t>
      </w:r>
      <w:r>
        <w:rPr>
          <w:rFonts w:hint="eastAsia" w:ascii="宋体" w:hAnsi="宋体" w:eastAsia="宋体" w:cs="宋体"/>
          <w:sz w:val="24"/>
          <w:highlight w:val="none"/>
          <w:u w:val="single"/>
        </w:rPr>
        <w:t xml:space="preserve">           </w:t>
      </w:r>
    </w:p>
    <w:p w14:paraId="1CA0D19C">
      <w:pPr>
        <w:pStyle w:val="22"/>
        <w:keepNext w:val="0"/>
        <w:keepLines w:val="0"/>
        <w:pageBreakBefore w:val="0"/>
        <w:widowControl w:val="0"/>
        <w:kinsoku/>
        <w:wordWrap/>
        <w:overflowPunct/>
        <w:topLinePunct w:val="0"/>
        <w:autoSpaceDE/>
        <w:autoSpaceDN/>
        <w:bidi w:val="0"/>
        <w:adjustRightInd w:val="0"/>
        <w:snapToGrid w:val="0"/>
        <w:spacing w:line="420" w:lineRule="exact"/>
        <w:ind w:left="3360" w:right="520"/>
        <w:jc w:val="right"/>
        <w:textAlignment w:val="baseline"/>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日</w:t>
      </w:r>
      <w:r>
        <w:rPr>
          <w:rFonts w:hint="eastAsia" w:ascii="宋体" w:hAnsi="宋体" w:eastAsia="宋体" w:cs="宋体"/>
          <w:sz w:val="24"/>
          <w:highlight w:val="none"/>
          <w:u w:val="single"/>
        </w:rPr>
        <w:t xml:space="preserve"> </w:t>
      </w:r>
    </w:p>
    <w:p w14:paraId="6726F13B">
      <w:pPr>
        <w:keepNext w:val="0"/>
        <w:keepLines w:val="0"/>
        <w:pageBreakBefore w:val="0"/>
        <w:widowControl w:val="0"/>
        <w:kinsoku/>
        <w:wordWrap/>
        <w:overflowPunct/>
        <w:topLinePunct w:val="0"/>
        <w:autoSpaceDE/>
        <w:autoSpaceDN/>
        <w:bidi w:val="0"/>
        <w:spacing w:line="420" w:lineRule="exact"/>
        <w:rPr>
          <w:rFonts w:hint="eastAsia" w:ascii="宋体" w:hAnsi="宋体" w:eastAsia="宋体" w:cs="宋体"/>
          <w:highlight w:val="none"/>
        </w:rPr>
        <w:sectPr>
          <w:footerReference r:id="rId11" w:type="first"/>
          <w:footerReference r:id="rId10" w:type="default"/>
          <w:pgSz w:w="11905" w:h="16838"/>
          <w:pgMar w:top="1440" w:right="1531" w:bottom="1440" w:left="1531" w:header="850" w:footer="850" w:gutter="0"/>
          <w:pgNumType w:fmt="decimal" w:start="48"/>
          <w:cols w:space="0" w:num="1"/>
          <w:rtlGutter w:val="0"/>
          <w:docGrid w:type="lines" w:linePitch="312" w:charSpace="0"/>
        </w:sectPr>
      </w:pPr>
    </w:p>
    <w:p w14:paraId="59DF743B">
      <w:pPr>
        <w:pStyle w:val="3"/>
        <w:numPr>
          <w:ilvl w:val="0"/>
          <w:numId w:val="2"/>
        </w:numPr>
        <w:ind w:left="0" w:leftChars="0" w:firstLine="602" w:firstLineChars="200"/>
        <w:rPr>
          <w:rFonts w:hint="eastAsia" w:ascii="宋体" w:hAnsi="宋体" w:eastAsia="宋体" w:cs="宋体"/>
          <w:highlight w:val="none"/>
        </w:rPr>
      </w:pPr>
      <w:bookmarkStart w:id="535" w:name="_Toc389731556"/>
      <w:bookmarkStart w:id="536" w:name="_Toc396597540"/>
      <w:bookmarkStart w:id="537" w:name="_Toc390078448"/>
      <w:bookmarkStart w:id="538" w:name="_Toc390084954"/>
      <w:bookmarkStart w:id="539" w:name="_Toc390084890"/>
      <w:bookmarkStart w:id="540" w:name="_Toc390084414"/>
      <w:bookmarkStart w:id="541" w:name="_Toc31824"/>
      <w:r>
        <w:rPr>
          <w:rFonts w:hint="eastAsia" w:ascii="宋体" w:hAnsi="宋体" w:eastAsia="宋体" w:cs="宋体"/>
          <w:highlight w:val="none"/>
        </w:rPr>
        <w:t>磋商报价一览表</w:t>
      </w:r>
      <w:bookmarkEnd w:id="535"/>
      <w:bookmarkEnd w:id="536"/>
      <w:bookmarkEnd w:id="537"/>
      <w:bookmarkEnd w:id="538"/>
      <w:bookmarkEnd w:id="539"/>
      <w:bookmarkEnd w:id="540"/>
      <w:bookmarkEnd w:id="541"/>
    </w:p>
    <w:p w14:paraId="3EC7C953">
      <w:pPr>
        <w:numPr>
          <w:ilvl w:val="0"/>
          <w:numId w:val="0"/>
        </w:numPr>
        <w:ind w:leftChars="200"/>
        <w:rPr>
          <w:rFonts w:hint="eastAsia" w:ascii="宋体" w:hAnsi="宋体" w:cs="宋体"/>
          <w:sz w:val="24"/>
          <w:highlight w:val="none"/>
          <w:u w:val="none"/>
          <w:lang w:val="en-US" w:eastAsia="zh-CN"/>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 xml:space="preserve"> </w:t>
      </w:r>
    </w:p>
    <w:p w14:paraId="2B17D0F3">
      <w:pPr>
        <w:numPr>
          <w:ilvl w:val="0"/>
          <w:numId w:val="0"/>
        </w:numPr>
        <w:ind w:leftChars="200"/>
        <w:rPr>
          <w:rFonts w:hint="default" w:ascii="宋体" w:hAnsi="宋体" w:cs="宋体"/>
          <w:sz w:val="24"/>
          <w:highlight w:val="none"/>
          <w:u w:val="single"/>
          <w:lang w:val="en-US" w:eastAsia="zh-CN"/>
        </w:rPr>
      </w:pPr>
      <w:r>
        <w:rPr>
          <w:rFonts w:hint="eastAsia" w:ascii="宋体" w:hAnsi="宋体" w:cs="宋体"/>
          <w:sz w:val="24"/>
          <w:highlight w:val="none"/>
          <w:u w:val="none"/>
          <w:lang w:val="en-US" w:eastAsia="zh-CN"/>
        </w:rPr>
        <w:t xml:space="preserve">项目编号： </w:t>
      </w:r>
      <w:r>
        <w:rPr>
          <w:rFonts w:hint="eastAsia" w:ascii="宋体" w:hAnsi="宋体" w:cs="宋体"/>
          <w:sz w:val="24"/>
          <w:highlight w:val="none"/>
          <w:u w:val="single"/>
          <w:lang w:val="en-US" w:eastAsia="zh-CN"/>
        </w:rPr>
        <w:t xml:space="preserve">                                 </w:t>
      </w:r>
    </w:p>
    <w:tbl>
      <w:tblPr>
        <w:tblStyle w:val="40"/>
        <w:tblW w:w="8927"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6905"/>
      </w:tblGrid>
      <w:tr w14:paraId="39A4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exact"/>
        </w:trPr>
        <w:tc>
          <w:tcPr>
            <w:tcW w:w="2022" w:type="dxa"/>
            <w:noWrap w:val="0"/>
            <w:vAlign w:val="center"/>
          </w:tcPr>
          <w:p w14:paraId="0412A27F">
            <w:pPr>
              <w:adjustRightInd w:val="0"/>
              <w:snapToGrid w:val="0"/>
              <w:spacing w:line="400" w:lineRule="exact"/>
              <w:jc w:val="center"/>
              <w:rPr>
                <w:rFonts w:hint="eastAsia" w:ascii="宋体" w:hAnsi="宋体" w:eastAsia="宋体" w:cs="宋体"/>
                <w:sz w:val="24"/>
                <w:highlight w:val="none"/>
              </w:rPr>
            </w:pPr>
            <w:r>
              <w:rPr>
                <w:rFonts w:hint="eastAsia" w:ascii="宋体" w:hAnsi="宋体" w:cs="宋体"/>
                <w:sz w:val="24"/>
                <w:highlight w:val="none"/>
                <w:lang w:val="en-US" w:eastAsia="zh-CN"/>
              </w:rPr>
              <w:t>总金额（万元）</w:t>
            </w:r>
          </w:p>
        </w:tc>
        <w:tc>
          <w:tcPr>
            <w:tcW w:w="6905" w:type="dxa"/>
            <w:noWrap w:val="0"/>
            <w:vAlign w:val="center"/>
          </w:tcPr>
          <w:p w14:paraId="6BFF885C">
            <w:pPr>
              <w:adjustRightInd w:val="0"/>
              <w:snapToGrid w:val="0"/>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大写：</w:t>
            </w:r>
          </w:p>
          <w:p w14:paraId="40A56243">
            <w:pPr>
              <w:adjustRightInd w:val="0"/>
              <w:snapToGrid w:val="0"/>
              <w:spacing w:line="40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小写：</w:t>
            </w:r>
            <w:r>
              <w:rPr>
                <w:rFonts w:hint="eastAsia" w:ascii="宋体" w:hAnsi="宋体" w:cs="宋体"/>
                <w:sz w:val="24"/>
                <w:highlight w:val="none"/>
                <w:lang w:val="en-US" w:eastAsia="zh-CN"/>
              </w:rPr>
              <w:t xml:space="preserve">      </w:t>
            </w:r>
          </w:p>
        </w:tc>
      </w:tr>
      <w:tr w14:paraId="2CBF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exact"/>
        </w:trPr>
        <w:tc>
          <w:tcPr>
            <w:tcW w:w="2022" w:type="dxa"/>
            <w:noWrap w:val="0"/>
            <w:vAlign w:val="center"/>
          </w:tcPr>
          <w:p w14:paraId="4A3E54CD">
            <w:pPr>
              <w:adjustRightInd w:val="0"/>
              <w:snapToGrid w:val="0"/>
              <w:spacing w:line="400" w:lineRule="exact"/>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合同履行</w:t>
            </w:r>
            <w:r>
              <w:rPr>
                <w:rFonts w:hint="eastAsia" w:ascii="宋体" w:hAnsi="宋体" w:eastAsia="宋体" w:cs="宋体"/>
                <w:sz w:val="24"/>
                <w:highlight w:val="none"/>
                <w:lang w:eastAsia="zh-CN"/>
              </w:rPr>
              <w:t>期限</w:t>
            </w:r>
          </w:p>
        </w:tc>
        <w:tc>
          <w:tcPr>
            <w:tcW w:w="6905" w:type="dxa"/>
            <w:noWrap w:val="0"/>
            <w:vAlign w:val="center"/>
          </w:tcPr>
          <w:p w14:paraId="6F4A70A3">
            <w:pPr>
              <w:adjustRightInd w:val="0"/>
              <w:snapToGrid w:val="0"/>
              <w:spacing w:line="400" w:lineRule="exact"/>
              <w:jc w:val="left"/>
              <w:rPr>
                <w:rFonts w:hint="eastAsia" w:ascii="宋体" w:hAnsi="宋体" w:eastAsia="宋体" w:cs="宋体"/>
                <w:sz w:val="24"/>
                <w:highlight w:val="none"/>
              </w:rPr>
            </w:pPr>
          </w:p>
        </w:tc>
      </w:tr>
      <w:tr w14:paraId="3D32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exact"/>
        </w:trPr>
        <w:tc>
          <w:tcPr>
            <w:tcW w:w="2022" w:type="dxa"/>
            <w:noWrap w:val="0"/>
            <w:vAlign w:val="center"/>
          </w:tcPr>
          <w:p w14:paraId="18F6C122">
            <w:pPr>
              <w:adjustRightInd w:val="0"/>
              <w:snapToGrid w:val="0"/>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905" w:type="dxa"/>
            <w:noWrap w:val="0"/>
            <w:vAlign w:val="center"/>
          </w:tcPr>
          <w:p w14:paraId="1E398B44">
            <w:pPr>
              <w:adjustRightInd w:val="0"/>
              <w:snapToGrid w:val="0"/>
              <w:spacing w:line="400" w:lineRule="exact"/>
              <w:jc w:val="left"/>
              <w:rPr>
                <w:rFonts w:hint="eastAsia" w:ascii="宋体" w:hAnsi="宋体" w:eastAsia="宋体" w:cs="宋体"/>
                <w:sz w:val="24"/>
                <w:highlight w:val="none"/>
              </w:rPr>
            </w:pPr>
          </w:p>
        </w:tc>
      </w:tr>
    </w:tbl>
    <w:p w14:paraId="05581265">
      <w:pPr>
        <w:pStyle w:val="20"/>
        <w:adjustRightInd w:val="0"/>
        <w:snapToGrid w:val="0"/>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  </w:t>
      </w:r>
      <w:r>
        <w:rPr>
          <w:rFonts w:hint="eastAsia" w:hAnsi="宋体" w:cs="宋体"/>
          <w:sz w:val="24"/>
          <w:highlight w:val="none"/>
          <w:lang w:val="en-US" w:eastAsia="zh-CN"/>
        </w:rPr>
        <w:t>注：</w:t>
      </w:r>
    </w:p>
    <w:p w14:paraId="35004ED9">
      <w:pPr>
        <w:pStyle w:val="20"/>
        <w:adjustRightInd w:val="0"/>
        <w:snapToGrid w:val="0"/>
        <w:spacing w:line="400" w:lineRule="exact"/>
        <w:rPr>
          <w:rFonts w:hint="eastAsia" w:ascii="宋体" w:hAnsi="宋体" w:eastAsia="宋体" w:cs="宋体"/>
          <w:sz w:val="24"/>
          <w:highlight w:val="none"/>
          <w:lang w:val="en-US" w:eastAsia="zh-CN"/>
        </w:rPr>
      </w:pPr>
    </w:p>
    <w:p w14:paraId="46870FAC">
      <w:pPr>
        <w:pStyle w:val="20"/>
        <w:adjustRightInd w:val="0"/>
        <w:snapToGrid w:val="0"/>
        <w:spacing w:line="400" w:lineRule="exact"/>
        <w:rPr>
          <w:rFonts w:hint="eastAsia" w:ascii="宋体" w:hAnsi="宋体" w:eastAsia="宋体" w:cs="宋体"/>
          <w:sz w:val="24"/>
          <w:highlight w:val="none"/>
        </w:rPr>
      </w:pPr>
      <w:r>
        <w:rPr>
          <w:rFonts w:hint="eastAsia" w:hAnsi="宋体" w:cs="宋体"/>
          <w:sz w:val="24"/>
          <w:highlight w:val="none"/>
          <w:lang w:val="en-US" w:eastAsia="zh-CN"/>
        </w:rPr>
        <w:t>1.</w:t>
      </w:r>
      <w:r>
        <w:rPr>
          <w:rFonts w:hint="eastAsia" w:ascii="宋体" w:hAnsi="宋体" w:eastAsia="宋体" w:cs="宋体"/>
          <w:sz w:val="24"/>
          <w:highlight w:val="none"/>
        </w:rPr>
        <w:t>请严格</w:t>
      </w:r>
      <w:r>
        <w:rPr>
          <w:rFonts w:hint="eastAsia" w:hAnsi="宋体" w:cs="宋体"/>
          <w:sz w:val="24"/>
          <w:highlight w:val="none"/>
          <w:lang w:eastAsia="zh-CN"/>
        </w:rPr>
        <w:t>按照</w:t>
      </w:r>
      <w:r>
        <w:rPr>
          <w:rFonts w:hint="eastAsia" w:ascii="宋体" w:hAnsi="宋体" w:eastAsia="宋体" w:cs="宋体"/>
          <w:sz w:val="24"/>
          <w:highlight w:val="none"/>
        </w:rPr>
        <w:t>“投标报价一览表”格式填写，投标人报价时应详细阅读招标文件报价要求并自行考虑市场风险以及价格合理性。</w:t>
      </w:r>
    </w:p>
    <w:p w14:paraId="2F9BEB5E">
      <w:pPr>
        <w:pStyle w:val="20"/>
        <w:adjustRightInd w:val="0"/>
        <w:snapToGrid w:val="0"/>
        <w:spacing w:line="400" w:lineRule="exact"/>
        <w:rPr>
          <w:rFonts w:hint="eastAsia" w:ascii="宋体" w:hAnsi="宋体" w:eastAsia="宋体" w:cs="宋体"/>
          <w:sz w:val="24"/>
          <w:highlight w:val="none"/>
        </w:rPr>
      </w:pPr>
      <w:r>
        <w:rPr>
          <w:rFonts w:hint="eastAsia" w:hAnsi="宋体" w:cs="宋体"/>
          <w:sz w:val="24"/>
          <w:highlight w:val="none"/>
          <w:lang w:val="en-US" w:eastAsia="zh-CN"/>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 xml:space="preserve">投标报价一览表中报价应与投标函一致。 </w:t>
      </w:r>
    </w:p>
    <w:p w14:paraId="5695372B">
      <w:pPr>
        <w:pStyle w:val="20"/>
        <w:adjustRightInd w:val="0"/>
        <w:snapToGrid w:val="0"/>
        <w:spacing w:line="400" w:lineRule="exact"/>
        <w:rPr>
          <w:rFonts w:hint="eastAsia" w:ascii="宋体" w:hAnsi="宋体" w:eastAsia="宋体" w:cs="宋体"/>
          <w:sz w:val="24"/>
          <w:highlight w:val="none"/>
        </w:rPr>
      </w:pPr>
      <w:r>
        <w:rPr>
          <w:rFonts w:hint="eastAsia" w:hAnsi="宋体" w:cs="宋体"/>
          <w:sz w:val="24"/>
          <w:highlight w:val="none"/>
          <w:lang w:val="en-US" w:eastAsia="zh-CN"/>
        </w:rPr>
        <w:t>3</w:t>
      </w:r>
      <w:r>
        <w:rPr>
          <w:rFonts w:hint="eastAsia" w:ascii="宋体" w:hAnsi="宋体" w:eastAsia="宋体" w:cs="宋体"/>
          <w:sz w:val="24"/>
          <w:highlight w:val="none"/>
          <w:lang w:val="en-US" w:eastAsia="zh-CN"/>
        </w:rPr>
        <w:t>.</w:t>
      </w:r>
      <w:r>
        <w:rPr>
          <w:rFonts w:hint="eastAsia" w:hAnsi="宋体" w:cs="宋体"/>
          <w:sz w:val="24"/>
          <w:highlight w:val="none"/>
          <w:lang w:val="en-US" w:eastAsia="zh-CN"/>
        </w:rPr>
        <w:t>采购人</w:t>
      </w:r>
      <w:r>
        <w:rPr>
          <w:rFonts w:hint="eastAsia" w:ascii="宋体" w:hAnsi="宋体" w:eastAsia="宋体" w:cs="宋体"/>
          <w:sz w:val="24"/>
          <w:highlight w:val="none"/>
        </w:rPr>
        <w:t>不接受任何形式的选择性优惠报价。</w:t>
      </w:r>
    </w:p>
    <w:p w14:paraId="1C1076D9">
      <w:pPr>
        <w:pStyle w:val="20"/>
        <w:adjustRightInd w:val="0"/>
        <w:snapToGrid w:val="0"/>
        <w:spacing w:line="400" w:lineRule="exact"/>
        <w:rPr>
          <w:rFonts w:hint="eastAsia" w:ascii="宋体" w:hAnsi="宋体" w:eastAsia="宋体" w:cs="宋体"/>
          <w:b/>
          <w:bCs/>
          <w:sz w:val="24"/>
          <w:highlight w:val="none"/>
        </w:rPr>
      </w:pPr>
      <w:r>
        <w:rPr>
          <w:rFonts w:hint="eastAsia" w:hAnsi="宋体" w:cs="宋体"/>
          <w:b/>
          <w:bCs/>
          <w:sz w:val="24"/>
          <w:highlight w:val="none"/>
          <w:lang w:val="en-US" w:eastAsia="zh-CN"/>
        </w:rPr>
        <w:t>4</w:t>
      </w:r>
      <w:r>
        <w:rPr>
          <w:rFonts w:hint="eastAsia" w:ascii="宋体" w:hAnsi="宋体" w:eastAsia="宋体" w:cs="宋体"/>
          <w:b/>
          <w:bCs/>
          <w:sz w:val="24"/>
          <w:highlight w:val="none"/>
          <w:lang w:val="en-US" w:eastAsia="zh-CN"/>
        </w:rPr>
        <w:t>.乙方所报价格包含：本项目费用涵盖生产或采购、运输、装卸、搬运、保险及售后以及所有成本、管理费、利润、税金和各类相关风险费用等，即项目完成前产生的所有费用均包含在内。</w:t>
      </w:r>
    </w:p>
    <w:p w14:paraId="40993B90">
      <w:pPr>
        <w:pStyle w:val="20"/>
        <w:adjustRightInd w:val="0"/>
        <w:snapToGrid w:val="0"/>
        <w:spacing w:line="400" w:lineRule="exact"/>
        <w:rPr>
          <w:rFonts w:hint="eastAsia" w:ascii="宋体" w:hAnsi="宋体" w:eastAsia="宋体" w:cs="宋体"/>
          <w:sz w:val="24"/>
          <w:highlight w:val="none"/>
        </w:rPr>
      </w:pPr>
    </w:p>
    <w:p w14:paraId="423B27DB">
      <w:pPr>
        <w:pStyle w:val="20"/>
        <w:adjustRightInd w:val="0"/>
        <w:snapToGrid w:val="0"/>
        <w:spacing w:line="400" w:lineRule="exact"/>
        <w:rPr>
          <w:rFonts w:hint="eastAsia" w:ascii="宋体" w:hAnsi="宋体" w:eastAsia="宋体" w:cs="宋体"/>
          <w:sz w:val="24"/>
          <w:highlight w:val="none"/>
        </w:rPr>
      </w:pPr>
    </w:p>
    <w:p w14:paraId="47FC7E47">
      <w:pPr>
        <w:pStyle w:val="20"/>
        <w:adjustRightInd w:val="0"/>
        <w:snapToGrid w:val="0"/>
        <w:spacing w:line="400" w:lineRule="exact"/>
        <w:rPr>
          <w:rFonts w:hint="eastAsia" w:ascii="宋体" w:hAnsi="宋体" w:eastAsia="宋体" w:cs="宋体"/>
          <w:sz w:val="24"/>
          <w:highlight w:val="none"/>
        </w:rPr>
      </w:pPr>
    </w:p>
    <w:p w14:paraId="70BBAD7C">
      <w:pPr>
        <w:pStyle w:val="20"/>
        <w:adjustRightInd w:val="0"/>
        <w:snapToGrid w:val="0"/>
        <w:spacing w:line="400" w:lineRule="exact"/>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（单位公章） </w:t>
      </w:r>
    </w:p>
    <w:p w14:paraId="0104FCBF">
      <w:pPr>
        <w:pStyle w:val="20"/>
        <w:adjustRightInd w:val="0"/>
        <w:snapToGrid w:val="0"/>
        <w:spacing w:line="400" w:lineRule="exact"/>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法定代表人或被授权人：</w:t>
      </w:r>
      <w:r>
        <w:rPr>
          <w:rFonts w:hint="eastAsia" w:ascii="宋体" w:hAnsi="宋体" w:eastAsia="宋体" w:cs="宋体"/>
          <w:sz w:val="24"/>
          <w:highlight w:val="none"/>
          <w:u w:val="single"/>
        </w:rPr>
        <w:t xml:space="preserve">         （签字） </w:t>
      </w:r>
    </w:p>
    <w:p w14:paraId="67629796">
      <w:pPr>
        <w:adjustRightInd w:val="0"/>
        <w:snapToGrid w:val="0"/>
        <w:spacing w:line="400" w:lineRule="exact"/>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日</w:t>
      </w:r>
    </w:p>
    <w:p w14:paraId="3E7B3AE9">
      <w:pPr>
        <w:pStyle w:val="3"/>
        <w:jc w:val="both"/>
        <w:rPr>
          <w:rFonts w:hint="eastAsia" w:ascii="宋体" w:hAnsi="宋体" w:eastAsia="宋体" w:cs="宋体"/>
          <w:highlight w:val="none"/>
        </w:rPr>
      </w:pPr>
      <w:bookmarkStart w:id="542" w:name="_Toc390084955"/>
      <w:bookmarkStart w:id="543" w:name="_Toc390084891"/>
      <w:bookmarkStart w:id="544" w:name="_Toc390078449"/>
      <w:bookmarkStart w:id="545" w:name="_Toc390084415"/>
      <w:bookmarkStart w:id="546" w:name="_Toc389731557"/>
      <w:bookmarkStart w:id="547" w:name="_Toc5337"/>
      <w:bookmarkStart w:id="548" w:name="_Toc396597541"/>
    </w:p>
    <w:p w14:paraId="2E075B8C">
      <w:pPr>
        <w:rPr>
          <w:rFonts w:hint="eastAsia" w:ascii="宋体" w:hAnsi="宋体" w:eastAsia="宋体" w:cs="宋体"/>
          <w:highlight w:val="none"/>
        </w:rPr>
      </w:pPr>
    </w:p>
    <w:p w14:paraId="6F73867D">
      <w:pPr>
        <w:pStyle w:val="32"/>
        <w:rPr>
          <w:rFonts w:hint="eastAsia" w:ascii="宋体" w:hAnsi="宋体" w:eastAsia="宋体" w:cs="宋体"/>
          <w:highlight w:val="none"/>
        </w:rPr>
      </w:pPr>
    </w:p>
    <w:p w14:paraId="0A9321DA">
      <w:pPr>
        <w:rPr>
          <w:rFonts w:hint="eastAsia" w:ascii="宋体" w:hAnsi="宋体" w:eastAsia="宋体" w:cs="宋体"/>
          <w:highlight w:val="none"/>
        </w:rPr>
      </w:pPr>
    </w:p>
    <w:p w14:paraId="51A6779B">
      <w:pPr>
        <w:pStyle w:val="32"/>
        <w:rPr>
          <w:rFonts w:hint="eastAsia" w:ascii="宋体" w:hAnsi="宋体" w:eastAsia="宋体" w:cs="宋体"/>
          <w:highlight w:val="none"/>
        </w:rPr>
      </w:pPr>
    </w:p>
    <w:p w14:paraId="163012DA">
      <w:pPr>
        <w:rPr>
          <w:rFonts w:hint="eastAsia" w:ascii="宋体" w:hAnsi="宋体" w:eastAsia="宋体" w:cs="宋体"/>
          <w:highlight w:val="none"/>
        </w:rPr>
      </w:pPr>
    </w:p>
    <w:p w14:paraId="2600FE80">
      <w:pPr>
        <w:pStyle w:val="32"/>
        <w:rPr>
          <w:rFonts w:hint="eastAsia" w:ascii="宋体" w:hAnsi="宋体" w:eastAsia="宋体" w:cs="宋体"/>
          <w:highlight w:val="none"/>
        </w:rPr>
      </w:pPr>
    </w:p>
    <w:p w14:paraId="4EB6C91E">
      <w:pPr>
        <w:rPr>
          <w:rFonts w:hint="eastAsia"/>
        </w:rPr>
      </w:pPr>
    </w:p>
    <w:bookmarkEnd w:id="542"/>
    <w:bookmarkEnd w:id="543"/>
    <w:bookmarkEnd w:id="544"/>
    <w:bookmarkEnd w:id="545"/>
    <w:bookmarkEnd w:id="546"/>
    <w:bookmarkEnd w:id="547"/>
    <w:bookmarkEnd w:id="548"/>
    <w:p w14:paraId="11C36E4D">
      <w:pPr>
        <w:pStyle w:val="3"/>
        <w:numPr>
          <w:ilvl w:val="0"/>
          <w:numId w:val="2"/>
        </w:numPr>
        <w:ind w:left="0" w:leftChars="0" w:firstLine="602" w:firstLineChars="200"/>
        <w:rPr>
          <w:rFonts w:hint="eastAsia" w:ascii="宋体" w:hAnsi="宋体" w:eastAsia="宋体" w:cs="宋体"/>
          <w:highlight w:val="none"/>
        </w:rPr>
      </w:pPr>
      <w:bookmarkStart w:id="549" w:name="_Toc14676"/>
      <w:bookmarkStart w:id="550" w:name="_Toc390084892"/>
      <w:bookmarkStart w:id="551" w:name="_Toc390078450"/>
      <w:bookmarkStart w:id="552" w:name="_Toc390084956"/>
      <w:bookmarkStart w:id="553" w:name="_Toc389731558"/>
      <w:bookmarkStart w:id="554" w:name="_Toc390084416"/>
      <w:r>
        <w:rPr>
          <w:rFonts w:hint="eastAsia" w:ascii="宋体" w:hAnsi="宋体" w:eastAsia="宋体" w:cs="宋体"/>
          <w:highlight w:val="none"/>
          <w:lang w:val="en-US" w:eastAsia="zh-CN"/>
        </w:rPr>
        <w:t>分项报价表</w:t>
      </w:r>
    </w:p>
    <w:p w14:paraId="24442C93">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项目名称：</w:t>
      </w:r>
    </w:p>
    <w:p w14:paraId="4016FB45">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项目编号：</w:t>
      </w:r>
    </w:p>
    <w:p w14:paraId="2A11DD22">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价格单位：人民币/元</w:t>
      </w:r>
    </w:p>
    <w:tbl>
      <w:tblPr>
        <w:tblStyle w:val="41"/>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722"/>
        <w:gridCol w:w="1100"/>
        <w:gridCol w:w="981"/>
        <w:gridCol w:w="1064"/>
        <w:gridCol w:w="1051"/>
        <w:gridCol w:w="1017"/>
        <w:gridCol w:w="1038"/>
        <w:gridCol w:w="1050"/>
      </w:tblGrid>
      <w:tr w14:paraId="0282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0" w:type="auto"/>
            <w:vAlign w:val="center"/>
          </w:tcPr>
          <w:p w14:paraId="2D52F24E">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722" w:type="dxa"/>
            <w:vAlign w:val="center"/>
          </w:tcPr>
          <w:p w14:paraId="1B47701C">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内容</w:t>
            </w:r>
          </w:p>
        </w:tc>
        <w:tc>
          <w:tcPr>
            <w:tcW w:w="1100" w:type="dxa"/>
            <w:vAlign w:val="center"/>
          </w:tcPr>
          <w:p w14:paraId="3E695A01">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规格</w:t>
            </w:r>
          </w:p>
        </w:tc>
        <w:tc>
          <w:tcPr>
            <w:tcW w:w="981" w:type="dxa"/>
            <w:vAlign w:val="center"/>
          </w:tcPr>
          <w:p w14:paraId="0F5FCCA0">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型号</w:t>
            </w:r>
          </w:p>
        </w:tc>
        <w:tc>
          <w:tcPr>
            <w:tcW w:w="1064" w:type="dxa"/>
            <w:vAlign w:val="center"/>
          </w:tcPr>
          <w:p w14:paraId="524F3DE8">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品牌</w:t>
            </w:r>
          </w:p>
        </w:tc>
        <w:tc>
          <w:tcPr>
            <w:tcW w:w="1051" w:type="dxa"/>
            <w:vAlign w:val="center"/>
          </w:tcPr>
          <w:p w14:paraId="5355A511">
            <w:pPr>
              <w:adjustRightInd w:val="0"/>
              <w:snapToGrid w:val="0"/>
              <w:spacing w:line="56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数量</w:t>
            </w:r>
          </w:p>
        </w:tc>
        <w:tc>
          <w:tcPr>
            <w:tcW w:w="1017" w:type="dxa"/>
            <w:vAlign w:val="center"/>
          </w:tcPr>
          <w:p w14:paraId="198947F5">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单位</w:t>
            </w:r>
          </w:p>
        </w:tc>
        <w:tc>
          <w:tcPr>
            <w:tcW w:w="1038" w:type="dxa"/>
            <w:vAlign w:val="center"/>
          </w:tcPr>
          <w:p w14:paraId="39ECE91D">
            <w:pPr>
              <w:adjustRightInd w:val="0"/>
              <w:snapToGrid w:val="0"/>
              <w:spacing w:line="56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单价</w:t>
            </w:r>
          </w:p>
        </w:tc>
        <w:tc>
          <w:tcPr>
            <w:tcW w:w="1050" w:type="dxa"/>
            <w:vAlign w:val="center"/>
          </w:tcPr>
          <w:p w14:paraId="44AB5BFA">
            <w:pPr>
              <w:adjustRightInd w:val="0"/>
              <w:snapToGrid w:val="0"/>
              <w:spacing w:line="56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总价</w:t>
            </w:r>
          </w:p>
        </w:tc>
      </w:tr>
      <w:tr w14:paraId="55D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C8EE94">
            <w:pPr>
              <w:jc w:val="center"/>
              <w:rPr>
                <w:rFonts w:hint="eastAsia" w:ascii="宋体" w:hAnsi="宋体" w:eastAsia="宋体" w:cs="宋体"/>
                <w:kern w:val="0"/>
                <w:sz w:val="24"/>
                <w:szCs w:val="24"/>
                <w:vertAlign w:val="baseline"/>
                <w:lang w:val="en-US" w:eastAsia="zh-CN"/>
              </w:rPr>
            </w:pPr>
          </w:p>
        </w:tc>
        <w:tc>
          <w:tcPr>
            <w:tcW w:w="1722" w:type="dxa"/>
            <w:vAlign w:val="center"/>
          </w:tcPr>
          <w:p w14:paraId="46C0D03B">
            <w:pPr>
              <w:jc w:val="center"/>
              <w:rPr>
                <w:rFonts w:hint="eastAsia" w:ascii="宋体" w:hAnsi="宋体" w:eastAsia="宋体" w:cs="宋体"/>
                <w:kern w:val="0"/>
                <w:sz w:val="24"/>
                <w:szCs w:val="24"/>
                <w:vertAlign w:val="baseline"/>
                <w:lang w:val="en-US" w:eastAsia="zh-CN"/>
              </w:rPr>
            </w:pPr>
          </w:p>
        </w:tc>
        <w:tc>
          <w:tcPr>
            <w:tcW w:w="1100" w:type="dxa"/>
            <w:vAlign w:val="center"/>
          </w:tcPr>
          <w:p w14:paraId="3132A7C3">
            <w:pPr>
              <w:jc w:val="center"/>
              <w:rPr>
                <w:rFonts w:hint="eastAsia" w:ascii="宋体" w:hAnsi="宋体" w:eastAsia="宋体" w:cs="宋体"/>
                <w:kern w:val="0"/>
                <w:sz w:val="24"/>
                <w:szCs w:val="24"/>
                <w:vertAlign w:val="baseline"/>
                <w:lang w:val="en-US" w:eastAsia="zh-CN"/>
              </w:rPr>
            </w:pPr>
          </w:p>
        </w:tc>
        <w:tc>
          <w:tcPr>
            <w:tcW w:w="981" w:type="dxa"/>
            <w:vAlign w:val="center"/>
          </w:tcPr>
          <w:p w14:paraId="50ED4034">
            <w:pPr>
              <w:jc w:val="center"/>
              <w:rPr>
                <w:rFonts w:hint="eastAsia" w:ascii="宋体" w:hAnsi="宋体" w:eastAsia="宋体" w:cs="宋体"/>
                <w:kern w:val="0"/>
                <w:sz w:val="24"/>
                <w:szCs w:val="24"/>
                <w:vertAlign w:val="baseline"/>
                <w:lang w:val="en-US" w:eastAsia="zh-CN"/>
              </w:rPr>
            </w:pPr>
          </w:p>
        </w:tc>
        <w:tc>
          <w:tcPr>
            <w:tcW w:w="1064" w:type="dxa"/>
            <w:vAlign w:val="center"/>
          </w:tcPr>
          <w:p w14:paraId="3B6ACD4B">
            <w:pPr>
              <w:jc w:val="center"/>
              <w:rPr>
                <w:rFonts w:hint="eastAsia" w:ascii="宋体" w:hAnsi="宋体" w:eastAsia="宋体" w:cs="宋体"/>
                <w:kern w:val="0"/>
                <w:sz w:val="24"/>
                <w:szCs w:val="24"/>
                <w:vertAlign w:val="baseline"/>
                <w:lang w:val="en-US" w:eastAsia="zh-CN"/>
              </w:rPr>
            </w:pPr>
          </w:p>
        </w:tc>
        <w:tc>
          <w:tcPr>
            <w:tcW w:w="1051" w:type="dxa"/>
            <w:vAlign w:val="center"/>
          </w:tcPr>
          <w:p w14:paraId="16E6C593">
            <w:pPr>
              <w:jc w:val="center"/>
              <w:rPr>
                <w:rFonts w:hint="eastAsia" w:ascii="宋体" w:hAnsi="宋体" w:eastAsia="宋体" w:cs="宋体"/>
                <w:kern w:val="0"/>
                <w:sz w:val="24"/>
                <w:szCs w:val="24"/>
                <w:vertAlign w:val="baseline"/>
                <w:lang w:val="en-US" w:eastAsia="zh-CN"/>
              </w:rPr>
            </w:pPr>
          </w:p>
        </w:tc>
        <w:tc>
          <w:tcPr>
            <w:tcW w:w="1017" w:type="dxa"/>
            <w:vAlign w:val="center"/>
          </w:tcPr>
          <w:p w14:paraId="4DF4EECA">
            <w:pPr>
              <w:jc w:val="center"/>
              <w:rPr>
                <w:rFonts w:hint="eastAsia" w:ascii="宋体" w:hAnsi="宋体" w:eastAsia="宋体" w:cs="宋体"/>
                <w:kern w:val="0"/>
                <w:sz w:val="24"/>
                <w:szCs w:val="24"/>
                <w:vertAlign w:val="baseline"/>
                <w:lang w:val="en-US" w:eastAsia="zh-CN"/>
              </w:rPr>
            </w:pPr>
          </w:p>
        </w:tc>
        <w:tc>
          <w:tcPr>
            <w:tcW w:w="1038" w:type="dxa"/>
            <w:vAlign w:val="center"/>
          </w:tcPr>
          <w:p w14:paraId="6536F406">
            <w:pPr>
              <w:jc w:val="center"/>
              <w:rPr>
                <w:rFonts w:hint="eastAsia" w:ascii="宋体" w:hAnsi="宋体" w:eastAsia="宋体" w:cs="宋体"/>
                <w:kern w:val="0"/>
                <w:sz w:val="24"/>
                <w:szCs w:val="24"/>
                <w:vertAlign w:val="baseline"/>
                <w:lang w:val="en-US" w:eastAsia="zh-CN"/>
              </w:rPr>
            </w:pPr>
          </w:p>
        </w:tc>
        <w:tc>
          <w:tcPr>
            <w:tcW w:w="1050" w:type="dxa"/>
            <w:vAlign w:val="center"/>
          </w:tcPr>
          <w:p w14:paraId="548534D5">
            <w:pPr>
              <w:jc w:val="center"/>
              <w:rPr>
                <w:rFonts w:hint="eastAsia" w:ascii="宋体" w:hAnsi="宋体" w:eastAsia="宋体" w:cs="宋体"/>
                <w:kern w:val="0"/>
                <w:sz w:val="24"/>
                <w:szCs w:val="24"/>
                <w:vertAlign w:val="baseline"/>
                <w:lang w:val="en-US" w:eastAsia="zh-CN"/>
              </w:rPr>
            </w:pPr>
          </w:p>
        </w:tc>
      </w:tr>
      <w:tr w14:paraId="5548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15A517">
            <w:pPr>
              <w:jc w:val="center"/>
              <w:rPr>
                <w:rFonts w:hint="eastAsia" w:ascii="宋体" w:hAnsi="宋体" w:eastAsia="宋体" w:cs="宋体"/>
                <w:kern w:val="0"/>
                <w:sz w:val="24"/>
                <w:szCs w:val="24"/>
                <w:vertAlign w:val="baseline"/>
                <w:lang w:val="en-US" w:eastAsia="zh-CN"/>
              </w:rPr>
            </w:pPr>
          </w:p>
        </w:tc>
        <w:tc>
          <w:tcPr>
            <w:tcW w:w="1722" w:type="dxa"/>
            <w:vAlign w:val="center"/>
          </w:tcPr>
          <w:p w14:paraId="188ACDA4">
            <w:pPr>
              <w:jc w:val="center"/>
              <w:rPr>
                <w:rFonts w:hint="eastAsia" w:ascii="宋体" w:hAnsi="宋体" w:eastAsia="宋体" w:cs="宋体"/>
                <w:kern w:val="0"/>
                <w:sz w:val="24"/>
                <w:szCs w:val="24"/>
                <w:vertAlign w:val="baseline"/>
                <w:lang w:val="en-US" w:eastAsia="zh-CN"/>
              </w:rPr>
            </w:pPr>
          </w:p>
        </w:tc>
        <w:tc>
          <w:tcPr>
            <w:tcW w:w="1100" w:type="dxa"/>
            <w:vAlign w:val="center"/>
          </w:tcPr>
          <w:p w14:paraId="6937576D">
            <w:pPr>
              <w:jc w:val="center"/>
              <w:rPr>
                <w:rFonts w:hint="eastAsia" w:ascii="宋体" w:hAnsi="宋体" w:eastAsia="宋体" w:cs="宋体"/>
                <w:kern w:val="0"/>
                <w:sz w:val="24"/>
                <w:szCs w:val="24"/>
                <w:vertAlign w:val="baseline"/>
                <w:lang w:val="en-US" w:eastAsia="zh-CN"/>
              </w:rPr>
            </w:pPr>
          </w:p>
        </w:tc>
        <w:tc>
          <w:tcPr>
            <w:tcW w:w="981" w:type="dxa"/>
            <w:vAlign w:val="center"/>
          </w:tcPr>
          <w:p w14:paraId="694B27D9">
            <w:pPr>
              <w:jc w:val="center"/>
              <w:rPr>
                <w:rFonts w:hint="eastAsia" w:ascii="宋体" w:hAnsi="宋体" w:eastAsia="宋体" w:cs="宋体"/>
                <w:kern w:val="0"/>
                <w:sz w:val="24"/>
                <w:szCs w:val="24"/>
                <w:vertAlign w:val="baseline"/>
                <w:lang w:val="en-US" w:eastAsia="zh-CN"/>
              </w:rPr>
            </w:pPr>
          </w:p>
        </w:tc>
        <w:tc>
          <w:tcPr>
            <w:tcW w:w="1064" w:type="dxa"/>
            <w:vAlign w:val="center"/>
          </w:tcPr>
          <w:p w14:paraId="7E702458">
            <w:pPr>
              <w:jc w:val="center"/>
              <w:rPr>
                <w:rFonts w:hint="eastAsia" w:ascii="宋体" w:hAnsi="宋体" w:eastAsia="宋体" w:cs="宋体"/>
                <w:kern w:val="0"/>
                <w:sz w:val="24"/>
                <w:szCs w:val="24"/>
                <w:vertAlign w:val="baseline"/>
                <w:lang w:val="en-US" w:eastAsia="zh-CN"/>
              </w:rPr>
            </w:pPr>
          </w:p>
        </w:tc>
        <w:tc>
          <w:tcPr>
            <w:tcW w:w="1051" w:type="dxa"/>
            <w:vAlign w:val="center"/>
          </w:tcPr>
          <w:p w14:paraId="18149E75">
            <w:pPr>
              <w:jc w:val="center"/>
              <w:rPr>
                <w:rFonts w:hint="eastAsia" w:ascii="宋体" w:hAnsi="宋体" w:eastAsia="宋体" w:cs="宋体"/>
                <w:kern w:val="0"/>
                <w:sz w:val="24"/>
                <w:szCs w:val="24"/>
                <w:vertAlign w:val="baseline"/>
                <w:lang w:val="en-US" w:eastAsia="zh-CN"/>
              </w:rPr>
            </w:pPr>
          </w:p>
        </w:tc>
        <w:tc>
          <w:tcPr>
            <w:tcW w:w="1017" w:type="dxa"/>
            <w:vAlign w:val="center"/>
          </w:tcPr>
          <w:p w14:paraId="35FC9F31">
            <w:pPr>
              <w:jc w:val="center"/>
              <w:rPr>
                <w:rFonts w:hint="eastAsia" w:ascii="宋体" w:hAnsi="宋体" w:eastAsia="宋体" w:cs="宋体"/>
                <w:kern w:val="0"/>
                <w:sz w:val="24"/>
                <w:szCs w:val="24"/>
                <w:vertAlign w:val="baseline"/>
                <w:lang w:val="en-US" w:eastAsia="zh-CN"/>
              </w:rPr>
            </w:pPr>
          </w:p>
        </w:tc>
        <w:tc>
          <w:tcPr>
            <w:tcW w:w="1038" w:type="dxa"/>
            <w:vAlign w:val="center"/>
          </w:tcPr>
          <w:p w14:paraId="461A9500">
            <w:pPr>
              <w:jc w:val="center"/>
              <w:rPr>
                <w:rFonts w:hint="eastAsia" w:ascii="宋体" w:hAnsi="宋体" w:eastAsia="宋体" w:cs="宋体"/>
                <w:kern w:val="0"/>
                <w:sz w:val="24"/>
                <w:szCs w:val="24"/>
                <w:vertAlign w:val="baseline"/>
                <w:lang w:val="en-US" w:eastAsia="zh-CN"/>
              </w:rPr>
            </w:pPr>
          </w:p>
        </w:tc>
        <w:tc>
          <w:tcPr>
            <w:tcW w:w="1050" w:type="dxa"/>
            <w:vAlign w:val="center"/>
          </w:tcPr>
          <w:p w14:paraId="31E51BD3">
            <w:pPr>
              <w:jc w:val="center"/>
              <w:rPr>
                <w:rFonts w:hint="eastAsia" w:ascii="宋体" w:hAnsi="宋体" w:eastAsia="宋体" w:cs="宋体"/>
                <w:kern w:val="0"/>
                <w:sz w:val="24"/>
                <w:szCs w:val="24"/>
                <w:vertAlign w:val="baseline"/>
                <w:lang w:val="en-US" w:eastAsia="zh-CN"/>
              </w:rPr>
            </w:pPr>
          </w:p>
        </w:tc>
      </w:tr>
      <w:tr w14:paraId="273F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71F809">
            <w:pPr>
              <w:jc w:val="center"/>
              <w:rPr>
                <w:rFonts w:hint="eastAsia" w:ascii="宋体" w:hAnsi="宋体" w:eastAsia="宋体" w:cs="宋体"/>
                <w:kern w:val="0"/>
                <w:sz w:val="24"/>
                <w:szCs w:val="24"/>
                <w:vertAlign w:val="baseline"/>
                <w:lang w:val="en-US" w:eastAsia="zh-CN"/>
              </w:rPr>
            </w:pPr>
          </w:p>
        </w:tc>
        <w:tc>
          <w:tcPr>
            <w:tcW w:w="1722" w:type="dxa"/>
            <w:vAlign w:val="center"/>
          </w:tcPr>
          <w:p w14:paraId="5A08A980">
            <w:pPr>
              <w:jc w:val="center"/>
              <w:rPr>
                <w:rFonts w:hint="eastAsia" w:ascii="宋体" w:hAnsi="宋体" w:eastAsia="宋体" w:cs="宋体"/>
                <w:kern w:val="0"/>
                <w:sz w:val="24"/>
                <w:szCs w:val="24"/>
                <w:vertAlign w:val="baseline"/>
                <w:lang w:val="en-US" w:eastAsia="zh-CN"/>
              </w:rPr>
            </w:pPr>
          </w:p>
        </w:tc>
        <w:tc>
          <w:tcPr>
            <w:tcW w:w="1100" w:type="dxa"/>
            <w:vAlign w:val="center"/>
          </w:tcPr>
          <w:p w14:paraId="14D5948F">
            <w:pPr>
              <w:jc w:val="center"/>
              <w:rPr>
                <w:rFonts w:hint="eastAsia" w:ascii="宋体" w:hAnsi="宋体" w:eastAsia="宋体" w:cs="宋体"/>
                <w:kern w:val="0"/>
                <w:sz w:val="24"/>
                <w:szCs w:val="24"/>
                <w:vertAlign w:val="baseline"/>
                <w:lang w:val="en-US" w:eastAsia="zh-CN"/>
              </w:rPr>
            </w:pPr>
          </w:p>
        </w:tc>
        <w:tc>
          <w:tcPr>
            <w:tcW w:w="981" w:type="dxa"/>
            <w:vAlign w:val="center"/>
          </w:tcPr>
          <w:p w14:paraId="2809D726">
            <w:pPr>
              <w:jc w:val="center"/>
              <w:rPr>
                <w:rFonts w:hint="eastAsia" w:ascii="宋体" w:hAnsi="宋体" w:eastAsia="宋体" w:cs="宋体"/>
                <w:kern w:val="0"/>
                <w:sz w:val="24"/>
                <w:szCs w:val="24"/>
                <w:vertAlign w:val="baseline"/>
                <w:lang w:val="en-US" w:eastAsia="zh-CN"/>
              </w:rPr>
            </w:pPr>
          </w:p>
        </w:tc>
        <w:tc>
          <w:tcPr>
            <w:tcW w:w="1064" w:type="dxa"/>
            <w:vAlign w:val="center"/>
          </w:tcPr>
          <w:p w14:paraId="1B89C60C">
            <w:pPr>
              <w:jc w:val="center"/>
              <w:rPr>
                <w:rFonts w:hint="eastAsia" w:ascii="宋体" w:hAnsi="宋体" w:eastAsia="宋体" w:cs="宋体"/>
                <w:kern w:val="0"/>
                <w:sz w:val="24"/>
                <w:szCs w:val="24"/>
                <w:vertAlign w:val="baseline"/>
                <w:lang w:val="en-US" w:eastAsia="zh-CN"/>
              </w:rPr>
            </w:pPr>
          </w:p>
        </w:tc>
        <w:tc>
          <w:tcPr>
            <w:tcW w:w="1051" w:type="dxa"/>
            <w:vAlign w:val="center"/>
          </w:tcPr>
          <w:p w14:paraId="10D2F8A6">
            <w:pPr>
              <w:jc w:val="center"/>
              <w:rPr>
                <w:rFonts w:hint="eastAsia" w:ascii="宋体" w:hAnsi="宋体" w:eastAsia="宋体" w:cs="宋体"/>
                <w:kern w:val="0"/>
                <w:sz w:val="24"/>
                <w:szCs w:val="24"/>
                <w:vertAlign w:val="baseline"/>
                <w:lang w:val="en-US" w:eastAsia="zh-CN"/>
              </w:rPr>
            </w:pPr>
          </w:p>
        </w:tc>
        <w:tc>
          <w:tcPr>
            <w:tcW w:w="1017" w:type="dxa"/>
            <w:vAlign w:val="center"/>
          </w:tcPr>
          <w:p w14:paraId="467341FD">
            <w:pPr>
              <w:jc w:val="center"/>
              <w:rPr>
                <w:rFonts w:hint="eastAsia" w:ascii="宋体" w:hAnsi="宋体" w:eastAsia="宋体" w:cs="宋体"/>
                <w:kern w:val="0"/>
                <w:sz w:val="24"/>
                <w:szCs w:val="24"/>
                <w:vertAlign w:val="baseline"/>
                <w:lang w:val="en-US" w:eastAsia="zh-CN"/>
              </w:rPr>
            </w:pPr>
          </w:p>
        </w:tc>
        <w:tc>
          <w:tcPr>
            <w:tcW w:w="1038" w:type="dxa"/>
            <w:vAlign w:val="center"/>
          </w:tcPr>
          <w:p w14:paraId="749E3B7E">
            <w:pPr>
              <w:jc w:val="center"/>
              <w:rPr>
                <w:rFonts w:hint="eastAsia" w:ascii="宋体" w:hAnsi="宋体" w:eastAsia="宋体" w:cs="宋体"/>
                <w:kern w:val="0"/>
                <w:sz w:val="24"/>
                <w:szCs w:val="24"/>
                <w:vertAlign w:val="baseline"/>
                <w:lang w:val="en-US" w:eastAsia="zh-CN"/>
              </w:rPr>
            </w:pPr>
          </w:p>
        </w:tc>
        <w:tc>
          <w:tcPr>
            <w:tcW w:w="1050" w:type="dxa"/>
            <w:vAlign w:val="center"/>
          </w:tcPr>
          <w:p w14:paraId="0A9FCF14">
            <w:pPr>
              <w:jc w:val="center"/>
              <w:rPr>
                <w:rFonts w:hint="eastAsia" w:ascii="宋体" w:hAnsi="宋体" w:eastAsia="宋体" w:cs="宋体"/>
                <w:kern w:val="0"/>
                <w:sz w:val="24"/>
                <w:szCs w:val="24"/>
                <w:vertAlign w:val="baseline"/>
                <w:lang w:val="en-US" w:eastAsia="zh-CN"/>
              </w:rPr>
            </w:pPr>
          </w:p>
        </w:tc>
      </w:tr>
      <w:tr w14:paraId="049F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0323189">
            <w:pPr>
              <w:jc w:val="center"/>
              <w:rPr>
                <w:rFonts w:hint="eastAsia" w:ascii="宋体" w:hAnsi="宋体" w:eastAsia="宋体" w:cs="宋体"/>
                <w:kern w:val="0"/>
                <w:sz w:val="24"/>
                <w:szCs w:val="24"/>
                <w:vertAlign w:val="baseline"/>
                <w:lang w:val="en-US" w:eastAsia="zh-CN"/>
              </w:rPr>
            </w:pPr>
          </w:p>
        </w:tc>
        <w:tc>
          <w:tcPr>
            <w:tcW w:w="1722" w:type="dxa"/>
            <w:vAlign w:val="center"/>
          </w:tcPr>
          <w:p w14:paraId="707066D7">
            <w:pPr>
              <w:jc w:val="center"/>
              <w:rPr>
                <w:rFonts w:hint="eastAsia" w:ascii="宋体" w:hAnsi="宋体" w:eastAsia="宋体" w:cs="宋体"/>
                <w:kern w:val="0"/>
                <w:sz w:val="24"/>
                <w:szCs w:val="24"/>
                <w:vertAlign w:val="baseline"/>
                <w:lang w:val="en-US" w:eastAsia="zh-CN"/>
              </w:rPr>
            </w:pPr>
          </w:p>
        </w:tc>
        <w:tc>
          <w:tcPr>
            <w:tcW w:w="1100" w:type="dxa"/>
            <w:vAlign w:val="center"/>
          </w:tcPr>
          <w:p w14:paraId="095C4305">
            <w:pPr>
              <w:jc w:val="center"/>
              <w:rPr>
                <w:rFonts w:hint="eastAsia" w:ascii="宋体" w:hAnsi="宋体" w:eastAsia="宋体" w:cs="宋体"/>
                <w:kern w:val="0"/>
                <w:sz w:val="24"/>
                <w:szCs w:val="24"/>
                <w:vertAlign w:val="baseline"/>
                <w:lang w:val="en-US" w:eastAsia="zh-CN"/>
              </w:rPr>
            </w:pPr>
          </w:p>
        </w:tc>
        <w:tc>
          <w:tcPr>
            <w:tcW w:w="981" w:type="dxa"/>
            <w:vAlign w:val="center"/>
          </w:tcPr>
          <w:p w14:paraId="16372D76">
            <w:pPr>
              <w:jc w:val="center"/>
              <w:rPr>
                <w:rFonts w:hint="eastAsia" w:ascii="宋体" w:hAnsi="宋体" w:eastAsia="宋体" w:cs="宋体"/>
                <w:kern w:val="0"/>
                <w:sz w:val="24"/>
                <w:szCs w:val="24"/>
                <w:vertAlign w:val="baseline"/>
                <w:lang w:val="en-US" w:eastAsia="zh-CN"/>
              </w:rPr>
            </w:pPr>
          </w:p>
        </w:tc>
        <w:tc>
          <w:tcPr>
            <w:tcW w:w="1064" w:type="dxa"/>
            <w:vAlign w:val="center"/>
          </w:tcPr>
          <w:p w14:paraId="21C90909">
            <w:pPr>
              <w:jc w:val="center"/>
              <w:rPr>
                <w:rFonts w:hint="eastAsia" w:ascii="宋体" w:hAnsi="宋体" w:eastAsia="宋体" w:cs="宋体"/>
                <w:kern w:val="0"/>
                <w:sz w:val="24"/>
                <w:szCs w:val="24"/>
                <w:vertAlign w:val="baseline"/>
                <w:lang w:val="en-US" w:eastAsia="zh-CN"/>
              </w:rPr>
            </w:pPr>
          </w:p>
        </w:tc>
        <w:tc>
          <w:tcPr>
            <w:tcW w:w="1051" w:type="dxa"/>
            <w:vAlign w:val="center"/>
          </w:tcPr>
          <w:p w14:paraId="0E33A76B">
            <w:pPr>
              <w:jc w:val="center"/>
              <w:rPr>
                <w:rFonts w:hint="eastAsia" w:ascii="宋体" w:hAnsi="宋体" w:eastAsia="宋体" w:cs="宋体"/>
                <w:kern w:val="0"/>
                <w:sz w:val="24"/>
                <w:szCs w:val="24"/>
                <w:vertAlign w:val="baseline"/>
                <w:lang w:val="en-US" w:eastAsia="zh-CN"/>
              </w:rPr>
            </w:pPr>
          </w:p>
        </w:tc>
        <w:tc>
          <w:tcPr>
            <w:tcW w:w="1017" w:type="dxa"/>
            <w:vAlign w:val="center"/>
          </w:tcPr>
          <w:p w14:paraId="348C560F">
            <w:pPr>
              <w:jc w:val="center"/>
              <w:rPr>
                <w:rFonts w:hint="eastAsia" w:ascii="宋体" w:hAnsi="宋体" w:eastAsia="宋体" w:cs="宋体"/>
                <w:kern w:val="0"/>
                <w:sz w:val="24"/>
                <w:szCs w:val="24"/>
                <w:vertAlign w:val="baseline"/>
                <w:lang w:val="en-US" w:eastAsia="zh-CN"/>
              </w:rPr>
            </w:pPr>
          </w:p>
        </w:tc>
        <w:tc>
          <w:tcPr>
            <w:tcW w:w="1038" w:type="dxa"/>
            <w:vAlign w:val="center"/>
          </w:tcPr>
          <w:p w14:paraId="698F2F61">
            <w:pPr>
              <w:jc w:val="center"/>
              <w:rPr>
                <w:rFonts w:hint="eastAsia" w:ascii="宋体" w:hAnsi="宋体" w:eastAsia="宋体" w:cs="宋体"/>
                <w:kern w:val="0"/>
                <w:sz w:val="24"/>
                <w:szCs w:val="24"/>
                <w:vertAlign w:val="baseline"/>
                <w:lang w:val="en-US" w:eastAsia="zh-CN"/>
              </w:rPr>
            </w:pPr>
          </w:p>
        </w:tc>
        <w:tc>
          <w:tcPr>
            <w:tcW w:w="1050" w:type="dxa"/>
            <w:vAlign w:val="center"/>
          </w:tcPr>
          <w:p w14:paraId="5B050D9D">
            <w:pPr>
              <w:jc w:val="center"/>
              <w:rPr>
                <w:rFonts w:hint="eastAsia" w:ascii="宋体" w:hAnsi="宋体" w:eastAsia="宋体" w:cs="宋体"/>
                <w:kern w:val="0"/>
                <w:sz w:val="24"/>
                <w:szCs w:val="24"/>
                <w:vertAlign w:val="baseline"/>
                <w:lang w:val="en-US" w:eastAsia="zh-CN"/>
              </w:rPr>
            </w:pPr>
          </w:p>
        </w:tc>
      </w:tr>
      <w:tr w14:paraId="4882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E927D94">
            <w:pPr>
              <w:jc w:val="center"/>
              <w:rPr>
                <w:rFonts w:hint="eastAsia" w:ascii="宋体" w:hAnsi="宋体" w:eastAsia="宋体" w:cs="宋体"/>
                <w:kern w:val="0"/>
                <w:sz w:val="24"/>
                <w:szCs w:val="24"/>
                <w:vertAlign w:val="baseline"/>
                <w:lang w:val="en-US" w:eastAsia="zh-CN"/>
              </w:rPr>
            </w:pPr>
          </w:p>
        </w:tc>
        <w:tc>
          <w:tcPr>
            <w:tcW w:w="1722" w:type="dxa"/>
            <w:vAlign w:val="center"/>
          </w:tcPr>
          <w:p w14:paraId="26568950">
            <w:pPr>
              <w:jc w:val="center"/>
              <w:rPr>
                <w:rFonts w:hint="eastAsia" w:ascii="宋体" w:hAnsi="宋体" w:eastAsia="宋体" w:cs="宋体"/>
                <w:kern w:val="0"/>
                <w:sz w:val="24"/>
                <w:szCs w:val="24"/>
                <w:vertAlign w:val="baseline"/>
                <w:lang w:val="en-US" w:eastAsia="zh-CN"/>
              </w:rPr>
            </w:pPr>
          </w:p>
        </w:tc>
        <w:tc>
          <w:tcPr>
            <w:tcW w:w="1100" w:type="dxa"/>
            <w:vAlign w:val="center"/>
          </w:tcPr>
          <w:p w14:paraId="444F6549">
            <w:pPr>
              <w:jc w:val="center"/>
              <w:rPr>
                <w:rFonts w:hint="eastAsia" w:ascii="宋体" w:hAnsi="宋体" w:eastAsia="宋体" w:cs="宋体"/>
                <w:kern w:val="0"/>
                <w:sz w:val="24"/>
                <w:szCs w:val="24"/>
                <w:vertAlign w:val="baseline"/>
                <w:lang w:val="en-US" w:eastAsia="zh-CN"/>
              </w:rPr>
            </w:pPr>
          </w:p>
        </w:tc>
        <w:tc>
          <w:tcPr>
            <w:tcW w:w="981" w:type="dxa"/>
            <w:vAlign w:val="center"/>
          </w:tcPr>
          <w:p w14:paraId="2E702289">
            <w:pPr>
              <w:jc w:val="center"/>
              <w:rPr>
                <w:rFonts w:hint="eastAsia" w:ascii="宋体" w:hAnsi="宋体" w:eastAsia="宋体" w:cs="宋体"/>
                <w:kern w:val="0"/>
                <w:sz w:val="24"/>
                <w:szCs w:val="24"/>
                <w:vertAlign w:val="baseline"/>
                <w:lang w:val="en-US" w:eastAsia="zh-CN"/>
              </w:rPr>
            </w:pPr>
          </w:p>
        </w:tc>
        <w:tc>
          <w:tcPr>
            <w:tcW w:w="1064" w:type="dxa"/>
            <w:vAlign w:val="center"/>
          </w:tcPr>
          <w:p w14:paraId="2B5E8B3C">
            <w:pPr>
              <w:jc w:val="center"/>
              <w:rPr>
                <w:rFonts w:hint="eastAsia" w:ascii="宋体" w:hAnsi="宋体" w:eastAsia="宋体" w:cs="宋体"/>
                <w:kern w:val="0"/>
                <w:sz w:val="24"/>
                <w:szCs w:val="24"/>
                <w:vertAlign w:val="baseline"/>
                <w:lang w:val="en-US" w:eastAsia="zh-CN"/>
              </w:rPr>
            </w:pPr>
          </w:p>
        </w:tc>
        <w:tc>
          <w:tcPr>
            <w:tcW w:w="1051" w:type="dxa"/>
            <w:vAlign w:val="center"/>
          </w:tcPr>
          <w:p w14:paraId="014130A9">
            <w:pPr>
              <w:jc w:val="center"/>
              <w:rPr>
                <w:rFonts w:hint="eastAsia" w:ascii="宋体" w:hAnsi="宋体" w:eastAsia="宋体" w:cs="宋体"/>
                <w:kern w:val="0"/>
                <w:sz w:val="24"/>
                <w:szCs w:val="24"/>
                <w:vertAlign w:val="baseline"/>
                <w:lang w:val="en-US" w:eastAsia="zh-CN"/>
              </w:rPr>
            </w:pPr>
          </w:p>
        </w:tc>
        <w:tc>
          <w:tcPr>
            <w:tcW w:w="1017" w:type="dxa"/>
            <w:vAlign w:val="center"/>
          </w:tcPr>
          <w:p w14:paraId="106D3C26">
            <w:pPr>
              <w:jc w:val="center"/>
              <w:rPr>
                <w:rFonts w:hint="eastAsia" w:ascii="宋体" w:hAnsi="宋体" w:eastAsia="宋体" w:cs="宋体"/>
                <w:kern w:val="0"/>
                <w:sz w:val="24"/>
                <w:szCs w:val="24"/>
                <w:vertAlign w:val="baseline"/>
                <w:lang w:val="en-US" w:eastAsia="zh-CN"/>
              </w:rPr>
            </w:pPr>
          </w:p>
        </w:tc>
        <w:tc>
          <w:tcPr>
            <w:tcW w:w="1038" w:type="dxa"/>
            <w:vAlign w:val="center"/>
          </w:tcPr>
          <w:p w14:paraId="50E74D4C">
            <w:pPr>
              <w:jc w:val="center"/>
              <w:rPr>
                <w:rFonts w:hint="eastAsia" w:ascii="宋体" w:hAnsi="宋体" w:eastAsia="宋体" w:cs="宋体"/>
                <w:kern w:val="0"/>
                <w:sz w:val="24"/>
                <w:szCs w:val="24"/>
                <w:vertAlign w:val="baseline"/>
                <w:lang w:val="en-US" w:eastAsia="zh-CN"/>
              </w:rPr>
            </w:pPr>
          </w:p>
        </w:tc>
        <w:tc>
          <w:tcPr>
            <w:tcW w:w="1050" w:type="dxa"/>
            <w:vAlign w:val="center"/>
          </w:tcPr>
          <w:p w14:paraId="04654923">
            <w:pPr>
              <w:jc w:val="center"/>
              <w:rPr>
                <w:rFonts w:hint="eastAsia" w:ascii="宋体" w:hAnsi="宋体" w:eastAsia="宋体" w:cs="宋体"/>
                <w:kern w:val="0"/>
                <w:sz w:val="24"/>
                <w:szCs w:val="24"/>
                <w:vertAlign w:val="baseline"/>
                <w:lang w:val="en-US" w:eastAsia="zh-CN"/>
              </w:rPr>
            </w:pPr>
          </w:p>
        </w:tc>
      </w:tr>
      <w:tr w14:paraId="27A0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ED1758">
            <w:pPr>
              <w:jc w:val="center"/>
              <w:rPr>
                <w:rFonts w:hint="eastAsia" w:ascii="宋体" w:hAnsi="宋体" w:eastAsia="宋体" w:cs="宋体"/>
                <w:kern w:val="0"/>
                <w:sz w:val="24"/>
                <w:szCs w:val="24"/>
                <w:vertAlign w:val="baseline"/>
                <w:lang w:val="en-US" w:eastAsia="zh-CN"/>
              </w:rPr>
            </w:pPr>
          </w:p>
        </w:tc>
        <w:tc>
          <w:tcPr>
            <w:tcW w:w="1722" w:type="dxa"/>
            <w:vAlign w:val="center"/>
          </w:tcPr>
          <w:p w14:paraId="4BB000A6">
            <w:pPr>
              <w:jc w:val="center"/>
              <w:rPr>
                <w:rFonts w:hint="eastAsia" w:ascii="宋体" w:hAnsi="宋体" w:eastAsia="宋体" w:cs="宋体"/>
                <w:kern w:val="0"/>
                <w:sz w:val="24"/>
                <w:szCs w:val="24"/>
                <w:vertAlign w:val="baseline"/>
                <w:lang w:val="en-US" w:eastAsia="zh-CN"/>
              </w:rPr>
            </w:pPr>
          </w:p>
        </w:tc>
        <w:tc>
          <w:tcPr>
            <w:tcW w:w="1100" w:type="dxa"/>
            <w:vAlign w:val="center"/>
          </w:tcPr>
          <w:p w14:paraId="7C5D8C1E">
            <w:pPr>
              <w:jc w:val="center"/>
              <w:rPr>
                <w:rFonts w:hint="eastAsia" w:ascii="宋体" w:hAnsi="宋体" w:eastAsia="宋体" w:cs="宋体"/>
                <w:kern w:val="0"/>
                <w:sz w:val="24"/>
                <w:szCs w:val="24"/>
                <w:vertAlign w:val="baseline"/>
                <w:lang w:val="en-US" w:eastAsia="zh-CN"/>
              </w:rPr>
            </w:pPr>
          </w:p>
        </w:tc>
        <w:tc>
          <w:tcPr>
            <w:tcW w:w="981" w:type="dxa"/>
            <w:vAlign w:val="center"/>
          </w:tcPr>
          <w:p w14:paraId="0B8FC011">
            <w:pPr>
              <w:jc w:val="center"/>
              <w:rPr>
                <w:rFonts w:hint="eastAsia" w:ascii="宋体" w:hAnsi="宋体" w:eastAsia="宋体" w:cs="宋体"/>
                <w:kern w:val="0"/>
                <w:sz w:val="24"/>
                <w:szCs w:val="24"/>
                <w:vertAlign w:val="baseline"/>
                <w:lang w:val="en-US" w:eastAsia="zh-CN"/>
              </w:rPr>
            </w:pPr>
          </w:p>
        </w:tc>
        <w:tc>
          <w:tcPr>
            <w:tcW w:w="1064" w:type="dxa"/>
            <w:vAlign w:val="center"/>
          </w:tcPr>
          <w:p w14:paraId="0086528A">
            <w:pPr>
              <w:jc w:val="center"/>
              <w:rPr>
                <w:rFonts w:hint="eastAsia" w:ascii="宋体" w:hAnsi="宋体" w:eastAsia="宋体" w:cs="宋体"/>
                <w:kern w:val="0"/>
                <w:sz w:val="24"/>
                <w:szCs w:val="24"/>
                <w:vertAlign w:val="baseline"/>
                <w:lang w:val="en-US" w:eastAsia="zh-CN"/>
              </w:rPr>
            </w:pPr>
          </w:p>
        </w:tc>
        <w:tc>
          <w:tcPr>
            <w:tcW w:w="1051" w:type="dxa"/>
            <w:vAlign w:val="center"/>
          </w:tcPr>
          <w:p w14:paraId="55368AC8">
            <w:pPr>
              <w:jc w:val="center"/>
              <w:rPr>
                <w:rFonts w:hint="eastAsia" w:ascii="宋体" w:hAnsi="宋体" w:eastAsia="宋体" w:cs="宋体"/>
                <w:kern w:val="0"/>
                <w:sz w:val="24"/>
                <w:szCs w:val="24"/>
                <w:vertAlign w:val="baseline"/>
                <w:lang w:val="en-US" w:eastAsia="zh-CN"/>
              </w:rPr>
            </w:pPr>
          </w:p>
        </w:tc>
        <w:tc>
          <w:tcPr>
            <w:tcW w:w="1017" w:type="dxa"/>
            <w:vAlign w:val="center"/>
          </w:tcPr>
          <w:p w14:paraId="44D3D258">
            <w:pPr>
              <w:jc w:val="center"/>
              <w:rPr>
                <w:rFonts w:hint="eastAsia" w:ascii="宋体" w:hAnsi="宋体" w:eastAsia="宋体" w:cs="宋体"/>
                <w:kern w:val="0"/>
                <w:sz w:val="24"/>
                <w:szCs w:val="24"/>
                <w:vertAlign w:val="baseline"/>
                <w:lang w:val="en-US" w:eastAsia="zh-CN"/>
              </w:rPr>
            </w:pPr>
          </w:p>
        </w:tc>
        <w:tc>
          <w:tcPr>
            <w:tcW w:w="1038" w:type="dxa"/>
            <w:vAlign w:val="center"/>
          </w:tcPr>
          <w:p w14:paraId="5A8CA2F3">
            <w:pPr>
              <w:jc w:val="center"/>
              <w:rPr>
                <w:rFonts w:hint="eastAsia" w:ascii="宋体" w:hAnsi="宋体" w:eastAsia="宋体" w:cs="宋体"/>
                <w:kern w:val="0"/>
                <w:sz w:val="24"/>
                <w:szCs w:val="24"/>
                <w:vertAlign w:val="baseline"/>
                <w:lang w:val="en-US" w:eastAsia="zh-CN"/>
              </w:rPr>
            </w:pPr>
          </w:p>
        </w:tc>
        <w:tc>
          <w:tcPr>
            <w:tcW w:w="1050" w:type="dxa"/>
            <w:vAlign w:val="center"/>
          </w:tcPr>
          <w:p w14:paraId="30261759">
            <w:pPr>
              <w:jc w:val="center"/>
              <w:rPr>
                <w:rFonts w:hint="eastAsia" w:ascii="宋体" w:hAnsi="宋体" w:eastAsia="宋体" w:cs="宋体"/>
                <w:kern w:val="0"/>
                <w:sz w:val="24"/>
                <w:szCs w:val="24"/>
                <w:vertAlign w:val="baseline"/>
                <w:lang w:val="en-US" w:eastAsia="zh-CN"/>
              </w:rPr>
            </w:pPr>
          </w:p>
        </w:tc>
      </w:tr>
      <w:tr w14:paraId="5DD5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9AC343">
            <w:pPr>
              <w:jc w:val="center"/>
              <w:rPr>
                <w:rFonts w:hint="eastAsia" w:ascii="宋体" w:hAnsi="宋体" w:eastAsia="宋体" w:cs="宋体"/>
                <w:kern w:val="0"/>
                <w:sz w:val="24"/>
                <w:szCs w:val="24"/>
                <w:vertAlign w:val="baseline"/>
                <w:lang w:val="en-US" w:eastAsia="zh-CN"/>
              </w:rPr>
            </w:pPr>
          </w:p>
        </w:tc>
        <w:tc>
          <w:tcPr>
            <w:tcW w:w="1722" w:type="dxa"/>
            <w:vAlign w:val="center"/>
          </w:tcPr>
          <w:p w14:paraId="37171E29">
            <w:pPr>
              <w:jc w:val="center"/>
              <w:rPr>
                <w:rFonts w:hint="eastAsia" w:ascii="宋体" w:hAnsi="宋体" w:eastAsia="宋体" w:cs="宋体"/>
                <w:kern w:val="0"/>
                <w:sz w:val="24"/>
                <w:szCs w:val="24"/>
                <w:vertAlign w:val="baseline"/>
                <w:lang w:val="en-US" w:eastAsia="zh-CN"/>
              </w:rPr>
            </w:pPr>
          </w:p>
        </w:tc>
        <w:tc>
          <w:tcPr>
            <w:tcW w:w="1100" w:type="dxa"/>
            <w:vAlign w:val="center"/>
          </w:tcPr>
          <w:p w14:paraId="1D707F13">
            <w:pPr>
              <w:jc w:val="center"/>
              <w:rPr>
                <w:rFonts w:hint="eastAsia" w:ascii="宋体" w:hAnsi="宋体" w:eastAsia="宋体" w:cs="宋体"/>
                <w:kern w:val="0"/>
                <w:sz w:val="24"/>
                <w:szCs w:val="24"/>
                <w:vertAlign w:val="baseline"/>
                <w:lang w:val="en-US" w:eastAsia="zh-CN"/>
              </w:rPr>
            </w:pPr>
          </w:p>
        </w:tc>
        <w:tc>
          <w:tcPr>
            <w:tcW w:w="981" w:type="dxa"/>
            <w:vAlign w:val="center"/>
          </w:tcPr>
          <w:p w14:paraId="1F9A0E93">
            <w:pPr>
              <w:jc w:val="center"/>
              <w:rPr>
                <w:rFonts w:hint="eastAsia" w:ascii="宋体" w:hAnsi="宋体" w:eastAsia="宋体" w:cs="宋体"/>
                <w:kern w:val="0"/>
                <w:sz w:val="24"/>
                <w:szCs w:val="24"/>
                <w:vertAlign w:val="baseline"/>
                <w:lang w:val="en-US" w:eastAsia="zh-CN"/>
              </w:rPr>
            </w:pPr>
          </w:p>
        </w:tc>
        <w:tc>
          <w:tcPr>
            <w:tcW w:w="1064" w:type="dxa"/>
            <w:vAlign w:val="center"/>
          </w:tcPr>
          <w:p w14:paraId="2F7ABD4A">
            <w:pPr>
              <w:jc w:val="center"/>
              <w:rPr>
                <w:rFonts w:hint="eastAsia" w:ascii="宋体" w:hAnsi="宋体" w:eastAsia="宋体" w:cs="宋体"/>
                <w:kern w:val="0"/>
                <w:sz w:val="24"/>
                <w:szCs w:val="24"/>
                <w:vertAlign w:val="baseline"/>
                <w:lang w:val="en-US" w:eastAsia="zh-CN"/>
              </w:rPr>
            </w:pPr>
          </w:p>
        </w:tc>
        <w:tc>
          <w:tcPr>
            <w:tcW w:w="1051" w:type="dxa"/>
            <w:vAlign w:val="center"/>
          </w:tcPr>
          <w:p w14:paraId="6913227D">
            <w:pPr>
              <w:jc w:val="center"/>
              <w:rPr>
                <w:rFonts w:hint="eastAsia" w:ascii="宋体" w:hAnsi="宋体" w:eastAsia="宋体" w:cs="宋体"/>
                <w:kern w:val="0"/>
                <w:sz w:val="24"/>
                <w:szCs w:val="24"/>
                <w:vertAlign w:val="baseline"/>
                <w:lang w:val="en-US" w:eastAsia="zh-CN"/>
              </w:rPr>
            </w:pPr>
          </w:p>
        </w:tc>
        <w:tc>
          <w:tcPr>
            <w:tcW w:w="1017" w:type="dxa"/>
            <w:vAlign w:val="center"/>
          </w:tcPr>
          <w:p w14:paraId="2A024A15">
            <w:pPr>
              <w:jc w:val="center"/>
              <w:rPr>
                <w:rFonts w:hint="eastAsia" w:ascii="宋体" w:hAnsi="宋体" w:eastAsia="宋体" w:cs="宋体"/>
                <w:kern w:val="0"/>
                <w:sz w:val="24"/>
                <w:szCs w:val="24"/>
                <w:vertAlign w:val="baseline"/>
                <w:lang w:val="en-US" w:eastAsia="zh-CN"/>
              </w:rPr>
            </w:pPr>
          </w:p>
        </w:tc>
        <w:tc>
          <w:tcPr>
            <w:tcW w:w="1038" w:type="dxa"/>
            <w:vAlign w:val="center"/>
          </w:tcPr>
          <w:p w14:paraId="43F4F06B">
            <w:pPr>
              <w:jc w:val="center"/>
              <w:rPr>
                <w:rFonts w:hint="eastAsia" w:ascii="宋体" w:hAnsi="宋体" w:eastAsia="宋体" w:cs="宋体"/>
                <w:kern w:val="0"/>
                <w:sz w:val="24"/>
                <w:szCs w:val="24"/>
                <w:vertAlign w:val="baseline"/>
                <w:lang w:val="en-US" w:eastAsia="zh-CN"/>
              </w:rPr>
            </w:pPr>
          </w:p>
        </w:tc>
        <w:tc>
          <w:tcPr>
            <w:tcW w:w="1050" w:type="dxa"/>
            <w:vAlign w:val="center"/>
          </w:tcPr>
          <w:p w14:paraId="2605737C">
            <w:pPr>
              <w:jc w:val="center"/>
              <w:rPr>
                <w:rFonts w:hint="eastAsia" w:ascii="宋体" w:hAnsi="宋体" w:eastAsia="宋体" w:cs="宋体"/>
                <w:kern w:val="0"/>
                <w:sz w:val="24"/>
                <w:szCs w:val="24"/>
                <w:vertAlign w:val="baseline"/>
                <w:lang w:val="en-US" w:eastAsia="zh-CN"/>
              </w:rPr>
            </w:pPr>
          </w:p>
        </w:tc>
      </w:tr>
      <w:tr w14:paraId="5DE1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1" w:type="dxa"/>
            <w:gridSpan w:val="9"/>
            <w:vAlign w:val="center"/>
          </w:tcPr>
          <w:p w14:paraId="35E6BDD9">
            <w:pPr>
              <w:adjustRightInd w:val="0"/>
              <w:snapToGrid w:val="0"/>
              <w:spacing w:line="5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合计：大写  </w:t>
            </w:r>
          </w:p>
          <w:p w14:paraId="7FF07442">
            <w:pPr>
              <w:adjustRightInd w:val="0"/>
              <w:snapToGrid w:val="0"/>
              <w:spacing w:line="56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小写</w:t>
            </w:r>
          </w:p>
        </w:tc>
      </w:tr>
    </w:tbl>
    <w:p w14:paraId="0771088E">
      <w:pPr>
        <w:jc w:val="both"/>
        <w:rPr>
          <w:rFonts w:hint="eastAsia" w:ascii="宋体" w:hAnsi="宋体" w:eastAsia="宋体" w:cs="宋体"/>
          <w:kern w:val="0"/>
          <w:sz w:val="24"/>
          <w:szCs w:val="24"/>
          <w:lang w:val="en-US" w:eastAsia="zh-CN"/>
        </w:rPr>
      </w:pPr>
    </w:p>
    <w:p w14:paraId="1B93CCFD">
      <w:pPr>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按表中要求分项报价并对分项报价进行详细说明。</w:t>
      </w:r>
    </w:p>
    <w:p w14:paraId="3AD8C4B9">
      <w:pPr>
        <w:pStyle w:val="32"/>
        <w:rPr>
          <w:rFonts w:hint="default"/>
          <w:lang w:val="en-US" w:eastAsia="zh-CN"/>
        </w:rPr>
      </w:pPr>
      <w:r>
        <w:rPr>
          <w:rFonts w:hint="eastAsia" w:ascii="宋体" w:hAnsi="宋体" w:cs="宋体"/>
          <w:kern w:val="0"/>
          <w:sz w:val="24"/>
          <w:szCs w:val="24"/>
          <w:lang w:val="en-US" w:eastAsia="zh-CN"/>
        </w:rPr>
        <w:t xml:space="preserve">   </w:t>
      </w:r>
    </w:p>
    <w:p w14:paraId="31DE2E7B">
      <w:pPr>
        <w:jc w:val="both"/>
        <w:rPr>
          <w:rFonts w:hint="default" w:ascii="宋体" w:hAnsi="宋体" w:eastAsia="宋体" w:cs="宋体"/>
          <w:b/>
          <w:bCs/>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cs="宋体"/>
          <w:b/>
          <w:bCs/>
          <w:kern w:val="0"/>
          <w:sz w:val="24"/>
          <w:szCs w:val="24"/>
          <w:lang w:val="en-US" w:eastAsia="zh-CN"/>
        </w:rPr>
        <w:t xml:space="preserve"> 2.分项报价表中单价报价不得超出单价最高限价。</w:t>
      </w:r>
    </w:p>
    <w:p w14:paraId="44C08BA6">
      <w:pPr>
        <w:pStyle w:val="32"/>
        <w:rPr>
          <w:rFonts w:hint="eastAsia" w:ascii="宋体" w:hAnsi="宋体" w:eastAsia="宋体" w:cs="宋体"/>
          <w:kern w:val="0"/>
          <w:sz w:val="24"/>
          <w:szCs w:val="24"/>
          <w:lang w:val="en-US" w:eastAsia="zh-CN"/>
        </w:rPr>
      </w:pPr>
    </w:p>
    <w:p w14:paraId="1D31C74A">
      <w:pPr>
        <w:rPr>
          <w:rFonts w:hint="eastAsia"/>
          <w:lang w:val="en-US" w:eastAsia="zh-CN"/>
        </w:rPr>
      </w:pPr>
    </w:p>
    <w:p w14:paraId="27D4FB03">
      <w:pPr>
        <w:jc w:val="center"/>
        <w:rPr>
          <w:rFonts w:hint="eastAsia" w:ascii="宋体" w:hAnsi="宋体" w:eastAsia="宋体" w:cs="宋体"/>
          <w:kern w:val="0"/>
          <w:sz w:val="24"/>
          <w:szCs w:val="24"/>
          <w:lang w:val="en-US" w:eastAsia="zh-CN"/>
        </w:rPr>
      </w:pPr>
    </w:p>
    <w:p w14:paraId="3E2DF022">
      <w:pPr>
        <w:pStyle w:val="20"/>
        <w:adjustRightInd w:val="0"/>
        <w:snapToGrid w:val="0"/>
        <w:spacing w:line="400" w:lineRule="exact"/>
        <w:ind w:firstLine="3360" w:firstLineChars="1400"/>
        <w:rPr>
          <w:rFonts w:hint="eastAsia" w:ascii="宋体" w:hAnsi="宋体" w:eastAsia="宋体" w:cs="宋体"/>
          <w:sz w:val="24"/>
          <w:highlight w:val="none"/>
        </w:rPr>
      </w:pPr>
    </w:p>
    <w:p w14:paraId="5953BDF8">
      <w:pPr>
        <w:pStyle w:val="20"/>
        <w:adjustRightInd w:val="0"/>
        <w:snapToGrid w:val="0"/>
        <w:spacing w:line="400" w:lineRule="exact"/>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（单位公章） </w:t>
      </w:r>
    </w:p>
    <w:p w14:paraId="22943459">
      <w:pPr>
        <w:pStyle w:val="20"/>
        <w:adjustRightInd w:val="0"/>
        <w:snapToGrid w:val="0"/>
        <w:spacing w:line="400" w:lineRule="exact"/>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法定代表人或被授权人：</w:t>
      </w:r>
      <w:r>
        <w:rPr>
          <w:rFonts w:hint="eastAsia" w:ascii="宋体" w:hAnsi="宋体" w:eastAsia="宋体" w:cs="宋体"/>
          <w:sz w:val="24"/>
          <w:highlight w:val="none"/>
          <w:u w:val="single"/>
        </w:rPr>
        <w:t xml:space="preserve">         （签字） </w:t>
      </w:r>
    </w:p>
    <w:p w14:paraId="20C220A7">
      <w:pPr>
        <w:adjustRightInd w:val="0"/>
        <w:snapToGrid w:val="0"/>
        <w:spacing w:line="400" w:lineRule="exact"/>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日</w:t>
      </w:r>
    </w:p>
    <w:p w14:paraId="6F3B898E">
      <w:pPr>
        <w:pStyle w:val="3"/>
        <w:rPr>
          <w:rFonts w:hint="eastAsia" w:ascii="宋体" w:hAnsi="宋体" w:eastAsia="宋体" w:cs="宋体"/>
          <w:highlight w:val="none"/>
          <w:lang w:val="en-US" w:eastAsia="zh-CN"/>
        </w:rPr>
      </w:pPr>
    </w:p>
    <w:bookmarkEnd w:id="549"/>
    <w:bookmarkEnd w:id="550"/>
    <w:bookmarkEnd w:id="551"/>
    <w:bookmarkEnd w:id="552"/>
    <w:bookmarkEnd w:id="553"/>
    <w:bookmarkEnd w:id="554"/>
    <w:p w14:paraId="3EE7BF5D">
      <w:pPr>
        <w:rPr>
          <w:rFonts w:hint="eastAsia" w:ascii="宋体" w:hAnsi="宋体" w:eastAsia="宋体" w:cs="宋体"/>
          <w:highlight w:val="none"/>
          <w:lang w:val="en-US" w:eastAsia="zh-CN"/>
        </w:rPr>
      </w:pPr>
      <w:bookmarkStart w:id="555" w:name="_Toc5638"/>
      <w:bookmarkStart w:id="556" w:name="_Toc93952445"/>
      <w:bookmarkStart w:id="557" w:name="_Toc390084417"/>
      <w:bookmarkStart w:id="558" w:name="_Toc390084957"/>
      <w:bookmarkStart w:id="559" w:name="_Toc390078451"/>
      <w:bookmarkStart w:id="560" w:name="_Toc389731559"/>
      <w:bookmarkStart w:id="561" w:name="_Toc396597543"/>
      <w:bookmarkStart w:id="562" w:name="_Toc22133"/>
      <w:bookmarkStart w:id="563" w:name="_Toc390084893"/>
    </w:p>
    <w:p w14:paraId="216D5CDC">
      <w:pPr>
        <w:pStyle w:val="32"/>
        <w:rPr>
          <w:rFonts w:hint="eastAsia" w:ascii="宋体" w:hAnsi="宋体" w:eastAsia="宋体" w:cs="宋体"/>
          <w:highlight w:val="none"/>
          <w:lang w:val="en-US" w:eastAsia="zh-CN"/>
        </w:rPr>
      </w:pPr>
    </w:p>
    <w:p w14:paraId="4C3FFB60">
      <w:pPr>
        <w:rPr>
          <w:rFonts w:hint="eastAsia" w:ascii="宋体" w:hAnsi="宋体" w:eastAsia="宋体" w:cs="宋体"/>
          <w:highlight w:val="none"/>
          <w:lang w:val="en-US" w:eastAsia="zh-CN"/>
        </w:rPr>
      </w:pPr>
    </w:p>
    <w:p w14:paraId="525D096D">
      <w:pPr>
        <w:pStyle w:val="32"/>
        <w:rPr>
          <w:rFonts w:hint="eastAsia"/>
          <w:lang w:val="en-US" w:eastAsia="zh-CN"/>
        </w:rPr>
      </w:pPr>
    </w:p>
    <w:p w14:paraId="192893E2">
      <w:pPr>
        <w:pStyle w:val="5"/>
        <w:numPr>
          <w:ilvl w:val="3"/>
          <w:numId w:val="0"/>
        </w:numPr>
        <w:rPr>
          <w:rFonts w:hint="eastAsia"/>
          <w:lang w:val="en-US" w:eastAsia="zh-CN"/>
        </w:rPr>
      </w:pPr>
    </w:p>
    <w:p w14:paraId="58772C8E">
      <w:pPr>
        <w:pStyle w:val="3"/>
        <w:spacing w:before="0" w:line="240" w:lineRule="auto"/>
        <w:jc w:val="center"/>
        <w:rPr>
          <w:rFonts w:hint="eastAsia" w:ascii="宋体" w:hAnsi="宋体" w:cs="宋体"/>
          <w:highlight w:val="none"/>
          <w:lang w:val="en-US" w:eastAsia="zh-CN"/>
        </w:rPr>
      </w:pPr>
    </w:p>
    <w:p w14:paraId="280EFB4A">
      <w:pPr>
        <w:pStyle w:val="3"/>
        <w:spacing w:before="0" w:line="240" w:lineRule="auto"/>
        <w:jc w:val="both"/>
        <w:rPr>
          <w:rFonts w:hint="eastAsia" w:ascii="宋体" w:hAnsi="宋体" w:cs="宋体"/>
          <w:highlight w:val="none"/>
          <w:lang w:val="en-US" w:eastAsia="zh-CN"/>
        </w:rPr>
      </w:pPr>
    </w:p>
    <w:p w14:paraId="32876EF4">
      <w:pPr>
        <w:pStyle w:val="3"/>
        <w:spacing w:before="0" w:line="240" w:lineRule="auto"/>
        <w:jc w:val="center"/>
        <w:rPr>
          <w:rFonts w:hint="eastAsia" w:ascii="宋体" w:hAnsi="宋体" w:eastAsia="宋体" w:cs="宋体"/>
          <w:highlight w:val="none"/>
        </w:rPr>
      </w:pPr>
      <w:r>
        <w:rPr>
          <w:rFonts w:hint="eastAsia" w:ascii="宋体" w:hAnsi="宋体" w:cs="宋体"/>
          <w:highlight w:val="none"/>
          <w:lang w:val="en-US" w:eastAsia="zh-CN"/>
        </w:rPr>
        <w:t>四</w:t>
      </w:r>
      <w:r>
        <w:rPr>
          <w:rFonts w:hint="eastAsia" w:ascii="宋体" w:hAnsi="宋体" w:eastAsia="宋体" w:cs="宋体"/>
          <w:highlight w:val="none"/>
          <w:lang w:val="en-US" w:eastAsia="zh-CN"/>
        </w:rPr>
        <w:t>、</w:t>
      </w:r>
      <w:r>
        <w:rPr>
          <w:rFonts w:hint="eastAsia" w:ascii="宋体" w:hAnsi="宋体" w:eastAsia="宋体" w:cs="宋体"/>
          <w:highlight w:val="none"/>
        </w:rPr>
        <w:t>法定代表人身份证明</w:t>
      </w:r>
      <w:bookmarkEnd w:id="555"/>
      <w:bookmarkEnd w:id="556"/>
    </w:p>
    <w:p w14:paraId="5A9A185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投标人名称：</w:t>
      </w:r>
      <w:r>
        <w:rPr>
          <w:rFonts w:hint="eastAsia" w:asciiTheme="majorEastAsia" w:hAnsiTheme="majorEastAsia" w:eastAsiaTheme="majorEastAsia" w:cstheme="majorEastAsia"/>
          <w:sz w:val="24"/>
          <w:szCs w:val="24"/>
          <w:highlight w:val="none"/>
          <w:u w:val="single"/>
        </w:rPr>
        <w:t xml:space="preserve">                           </w:t>
      </w:r>
    </w:p>
    <w:p w14:paraId="3E6B99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单位性质：</w:t>
      </w:r>
      <w:r>
        <w:rPr>
          <w:rFonts w:hint="eastAsia" w:asciiTheme="majorEastAsia" w:hAnsiTheme="majorEastAsia" w:eastAsiaTheme="majorEastAsia" w:cstheme="majorEastAsia"/>
          <w:sz w:val="24"/>
          <w:szCs w:val="24"/>
          <w:highlight w:val="none"/>
          <w:u w:val="single"/>
        </w:rPr>
        <w:t xml:space="preserve">                           </w:t>
      </w:r>
    </w:p>
    <w:p w14:paraId="70DD4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地址：</w:t>
      </w:r>
      <w:r>
        <w:rPr>
          <w:rFonts w:hint="eastAsia" w:asciiTheme="majorEastAsia" w:hAnsiTheme="majorEastAsia" w:eastAsiaTheme="majorEastAsia" w:cstheme="majorEastAsia"/>
          <w:sz w:val="24"/>
          <w:szCs w:val="24"/>
          <w:highlight w:val="none"/>
          <w:u w:val="single"/>
        </w:rPr>
        <w:t xml:space="preserve">                           </w:t>
      </w:r>
    </w:p>
    <w:p w14:paraId="23BCC5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成立时间：</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日</w:t>
      </w:r>
    </w:p>
    <w:p w14:paraId="57B869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经营期限：</w:t>
      </w:r>
      <w:r>
        <w:rPr>
          <w:rFonts w:hint="eastAsia" w:asciiTheme="majorEastAsia" w:hAnsiTheme="majorEastAsia" w:eastAsiaTheme="majorEastAsia" w:cstheme="majorEastAsia"/>
          <w:sz w:val="24"/>
          <w:szCs w:val="24"/>
          <w:highlight w:val="none"/>
          <w:u w:val="single"/>
        </w:rPr>
        <w:t xml:space="preserve">                           </w:t>
      </w:r>
    </w:p>
    <w:p w14:paraId="4D8BD98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姓名：</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性别：</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年龄：</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职务：</w:t>
      </w:r>
      <w:r>
        <w:rPr>
          <w:rFonts w:hint="eastAsia" w:asciiTheme="majorEastAsia" w:hAnsiTheme="majorEastAsia" w:eastAsiaTheme="majorEastAsia" w:cstheme="majorEastAsia"/>
          <w:sz w:val="24"/>
          <w:szCs w:val="24"/>
          <w:highlight w:val="none"/>
          <w:u w:val="single"/>
        </w:rPr>
        <w:t xml:space="preserve">       </w:t>
      </w:r>
    </w:p>
    <w:p w14:paraId="7671CE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身份证号码：</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系</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（投标名称）的法定代表人。</w:t>
      </w:r>
    </w:p>
    <w:p w14:paraId="6493DEE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特此证明。</w:t>
      </w:r>
    </w:p>
    <w:p w14:paraId="135F36E9">
      <w:pPr>
        <w:widowControl w:val="0"/>
        <w:spacing w:after="120" w:afterLines="50" w:line="480" w:lineRule="exact"/>
        <w:jc w:val="both"/>
        <w:rPr>
          <w:rFonts w:ascii="宋体" w:hAnsi="宋体" w:cs="宋体"/>
          <w:sz w:val="21"/>
          <w:szCs w:val="21"/>
          <w:highlight w:val="none"/>
        </w:rPr>
      </w:pPr>
    </w:p>
    <w:p w14:paraId="44B5E132">
      <w:pPr>
        <w:widowControl w:val="0"/>
        <w:spacing w:after="120" w:afterLines="50" w:line="480" w:lineRule="exact"/>
        <w:ind w:firstLine="3150" w:firstLineChars="1500"/>
        <w:jc w:val="both"/>
        <w:rPr>
          <w:rFonts w:ascii="宋体" w:hAnsi="宋体" w:cs="宋体"/>
          <w:sz w:val="21"/>
          <w:szCs w:val="21"/>
          <w:highlight w:val="none"/>
        </w:rPr>
      </w:pPr>
    </w:p>
    <w:tbl>
      <w:tblPr>
        <w:tblStyle w:val="4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7340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4439" w:type="dxa"/>
            <w:noWrap w:val="0"/>
            <w:vAlign w:val="center"/>
          </w:tcPr>
          <w:p w14:paraId="5DAAAD07">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法定代表人身份证</w:t>
            </w:r>
          </w:p>
          <w:p w14:paraId="45EE6B89">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复印件正面（盖公章）</w:t>
            </w:r>
          </w:p>
        </w:tc>
        <w:tc>
          <w:tcPr>
            <w:tcW w:w="4548" w:type="dxa"/>
            <w:noWrap w:val="0"/>
            <w:vAlign w:val="center"/>
          </w:tcPr>
          <w:p w14:paraId="31D98374">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法定代表人身份证</w:t>
            </w:r>
          </w:p>
          <w:p w14:paraId="5330663E">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复印件反面（盖公章）</w:t>
            </w:r>
          </w:p>
        </w:tc>
      </w:tr>
    </w:tbl>
    <w:p w14:paraId="758CEFD0">
      <w:pPr>
        <w:widowControl w:val="0"/>
        <w:spacing w:after="120" w:afterLines="50" w:line="480" w:lineRule="exact"/>
        <w:ind w:firstLine="3150" w:firstLineChars="1500"/>
        <w:jc w:val="both"/>
        <w:rPr>
          <w:rFonts w:hint="eastAsia" w:ascii="宋体" w:hAnsi="宋体" w:cs="宋体"/>
          <w:sz w:val="21"/>
          <w:szCs w:val="21"/>
          <w:highlight w:val="none"/>
        </w:rPr>
      </w:pPr>
    </w:p>
    <w:p w14:paraId="07A14A3F">
      <w:pPr>
        <w:widowControl w:val="0"/>
        <w:spacing w:after="120" w:afterLines="50" w:line="480" w:lineRule="exact"/>
        <w:ind w:firstLine="3150" w:firstLineChars="1500"/>
        <w:jc w:val="both"/>
        <w:rPr>
          <w:rFonts w:hint="eastAsia" w:ascii="宋体" w:hAnsi="宋体" w:cs="宋体"/>
          <w:sz w:val="21"/>
          <w:szCs w:val="21"/>
          <w:highlight w:val="none"/>
        </w:rPr>
      </w:pPr>
    </w:p>
    <w:p w14:paraId="299BA71C">
      <w:pPr>
        <w:keepNext w:val="0"/>
        <w:keepLines w:val="0"/>
        <w:pageBreakBefore w:val="0"/>
        <w:widowControl w:val="0"/>
        <w:kinsoku/>
        <w:wordWrap/>
        <w:overflowPunct/>
        <w:topLinePunct w:val="0"/>
        <w:autoSpaceDE/>
        <w:autoSpaceDN/>
        <w:bidi w:val="0"/>
        <w:adjustRightInd/>
        <w:snapToGrid/>
        <w:spacing w:line="560" w:lineRule="exact"/>
        <w:ind w:firstLine="2400" w:firstLineChars="10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投标人（单位名称及公章）：</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51D7CC64">
      <w:pPr>
        <w:keepNext w:val="0"/>
        <w:keepLines w:val="0"/>
        <w:pageBreakBefore w:val="0"/>
        <w:widowControl w:val="0"/>
        <w:kinsoku/>
        <w:wordWrap/>
        <w:overflowPunct/>
        <w:topLinePunct w:val="0"/>
        <w:autoSpaceDE/>
        <w:autoSpaceDN/>
        <w:bidi w:val="0"/>
        <w:adjustRightInd/>
        <w:snapToGrid/>
        <w:spacing w:line="560" w:lineRule="exact"/>
        <w:ind w:firstLine="2400" w:firstLineChars="10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法定代表人或法人授权代表（签字）：</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p>
    <w:p w14:paraId="7060A1E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黑体" w:hAnsi="黑体" w:eastAsia="黑体" w:cs="黑体"/>
          <w:b w:val="0"/>
          <w:bCs w:val="0"/>
          <w:sz w:val="28"/>
          <w:szCs w:val="28"/>
          <w:highlight w:val="none"/>
        </w:rPr>
      </w:pPr>
      <w:r>
        <w:rPr>
          <w:rFonts w:hint="eastAsia" w:asciiTheme="majorEastAsia" w:hAnsiTheme="majorEastAsia" w:eastAsiaTheme="majorEastAsia" w:cstheme="majorEastAsia"/>
          <w:kern w:val="28"/>
          <w:sz w:val="24"/>
          <w:szCs w:val="24"/>
          <w:highlight w:val="none"/>
          <w:lang w:val="en-US" w:eastAsia="zh-CN"/>
        </w:rPr>
        <w:t xml:space="preserve">                   </w:t>
      </w:r>
      <w:r>
        <w:rPr>
          <w:rFonts w:hint="eastAsia" w:asciiTheme="majorEastAsia" w:hAnsiTheme="majorEastAsia" w:eastAsiaTheme="majorEastAsia" w:cstheme="majorEastAsia"/>
          <w:kern w:val="28"/>
          <w:sz w:val="24"/>
          <w:szCs w:val="24"/>
          <w:highlight w:val="none"/>
        </w:rPr>
        <w:t>日期：</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u w:val="single"/>
          <w:lang w:val="en-US" w:eastAsia="zh-CN"/>
        </w:rPr>
        <w:t xml:space="preserve">      </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rPr>
        <w:t>年</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u w:val="single"/>
          <w:lang w:val="en-US" w:eastAsia="zh-CN"/>
        </w:rPr>
        <w:t xml:space="preserve">      </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rPr>
        <w:t>月</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u w:val="single"/>
          <w:lang w:val="en-US" w:eastAsia="zh-CN"/>
        </w:rPr>
        <w:t xml:space="preserve">      </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rPr>
        <w:t>日</w:t>
      </w:r>
      <w:r>
        <w:rPr>
          <w:rFonts w:hint="eastAsia" w:asciiTheme="majorEastAsia" w:hAnsiTheme="majorEastAsia" w:eastAsiaTheme="majorEastAsia" w:cstheme="majorEastAsia"/>
          <w:sz w:val="24"/>
          <w:szCs w:val="24"/>
          <w:highlight w:val="none"/>
        </w:rPr>
        <w:br w:type="column"/>
      </w:r>
      <w:bookmarkEnd w:id="557"/>
      <w:bookmarkEnd w:id="558"/>
      <w:bookmarkEnd w:id="559"/>
      <w:bookmarkEnd w:id="560"/>
      <w:bookmarkEnd w:id="561"/>
      <w:bookmarkEnd w:id="562"/>
      <w:bookmarkEnd w:id="563"/>
      <w:bookmarkStart w:id="564" w:name="_Toc93952446"/>
      <w:bookmarkStart w:id="565" w:name="_Toc389731560"/>
      <w:r>
        <w:rPr>
          <w:rFonts w:hint="eastAsia" w:asciiTheme="majorEastAsia" w:hAnsiTheme="majorEastAsia" w:eastAsiaTheme="majorEastAsia" w:cstheme="majorEastAsia"/>
          <w:sz w:val="24"/>
          <w:szCs w:val="24"/>
          <w:highlight w:val="none"/>
          <w:lang w:val="en-US" w:eastAsia="zh-CN"/>
        </w:rPr>
        <w:t>五</w:t>
      </w:r>
      <w:r>
        <w:rPr>
          <w:rFonts w:hint="eastAsia" w:ascii="宋体" w:hAnsi="宋体" w:eastAsia="宋体" w:cs="宋体"/>
          <w:b/>
          <w:kern w:val="0"/>
          <w:sz w:val="30"/>
          <w:szCs w:val="24"/>
          <w:highlight w:val="none"/>
          <w:lang w:val="en-US" w:eastAsia="zh-CN" w:bidi="ar-SA"/>
        </w:rPr>
        <w:t>、法定代表人授权书</w:t>
      </w:r>
      <w:bookmarkEnd w:id="564"/>
    </w:p>
    <w:p w14:paraId="01CEC032">
      <w:pPr>
        <w:widowControl w:val="0"/>
        <w:tabs>
          <w:tab w:val="center" w:pos="4153"/>
          <w:tab w:val="right" w:pos="8306"/>
        </w:tabs>
        <w:snapToGrid w:val="0"/>
        <w:spacing w:line="240" w:lineRule="auto"/>
        <w:rPr>
          <w:rFonts w:ascii="宋体" w:hAnsi="宋体" w:cs="宋体"/>
          <w:sz w:val="21"/>
          <w:szCs w:val="21"/>
          <w:highlight w:val="none"/>
        </w:rPr>
      </w:pPr>
    </w:p>
    <w:p w14:paraId="2FE876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本授权书声明：我单位的</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（法人代表姓名、职务）代表本单位授权</w:t>
      </w:r>
    </w:p>
    <w:p w14:paraId="70C2AF7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被授权人的姓名、职务）为本单位的合法代理人，就                                 项目的投标及合同的执行、完成和保修，以本单位的名义处理一切与之有关的事务。</w:t>
      </w:r>
    </w:p>
    <w:p w14:paraId="6A8D13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本授权书于       年    月    日签字生效，特此声明。</w:t>
      </w:r>
    </w:p>
    <w:p w14:paraId="18D3A7FC">
      <w:pPr>
        <w:widowControl w:val="0"/>
        <w:spacing w:after="120" w:afterLines="50" w:line="480" w:lineRule="exact"/>
        <w:ind w:firstLine="420" w:firstLineChars="200"/>
        <w:jc w:val="both"/>
        <w:rPr>
          <w:rFonts w:ascii="宋体" w:hAnsi="宋体" w:cs="宋体"/>
          <w:sz w:val="21"/>
          <w:szCs w:val="21"/>
          <w:highlight w:val="none"/>
        </w:rPr>
      </w:pPr>
    </w:p>
    <w:p w14:paraId="696445E7">
      <w:pPr>
        <w:widowControl w:val="0"/>
        <w:spacing w:after="120" w:afterLines="50" w:line="480" w:lineRule="exact"/>
        <w:ind w:firstLine="437"/>
        <w:jc w:val="both"/>
        <w:rPr>
          <w:rFonts w:ascii="宋体" w:hAnsi="宋体" w:cs="宋体"/>
          <w:b/>
          <w:sz w:val="21"/>
          <w:szCs w:val="21"/>
          <w:highlight w:val="none"/>
          <w:u w:val="single"/>
        </w:rPr>
      </w:pPr>
    </w:p>
    <w:tbl>
      <w:tblPr>
        <w:tblStyle w:val="4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059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4439" w:type="dxa"/>
            <w:noWrap w:val="0"/>
            <w:vAlign w:val="center"/>
          </w:tcPr>
          <w:p w14:paraId="69F48FD8">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法定代表人身份证</w:t>
            </w:r>
          </w:p>
          <w:p w14:paraId="4B8314C3">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复印件（盖公章）</w:t>
            </w:r>
          </w:p>
        </w:tc>
        <w:tc>
          <w:tcPr>
            <w:tcW w:w="4548" w:type="dxa"/>
            <w:noWrap w:val="0"/>
            <w:vAlign w:val="center"/>
          </w:tcPr>
          <w:p w14:paraId="65311F7C">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被授权人身份证</w:t>
            </w:r>
          </w:p>
          <w:p w14:paraId="732FBE63">
            <w:pPr>
              <w:widowControl w:val="0"/>
              <w:spacing w:after="120" w:afterLines="50" w:line="480" w:lineRule="exact"/>
              <w:jc w:val="center"/>
              <w:rPr>
                <w:rFonts w:ascii="宋体" w:hAnsi="宋体" w:cs="宋体"/>
                <w:b/>
                <w:sz w:val="21"/>
                <w:szCs w:val="21"/>
                <w:highlight w:val="none"/>
              </w:rPr>
            </w:pPr>
            <w:r>
              <w:rPr>
                <w:rFonts w:hint="eastAsia" w:ascii="宋体" w:hAnsi="宋体" w:cs="宋体"/>
                <w:b/>
                <w:sz w:val="21"/>
                <w:szCs w:val="21"/>
                <w:highlight w:val="none"/>
              </w:rPr>
              <w:t>复印件（盖公章）</w:t>
            </w:r>
          </w:p>
        </w:tc>
      </w:tr>
    </w:tbl>
    <w:p w14:paraId="2774973A">
      <w:pPr>
        <w:widowControl w:val="0"/>
        <w:spacing w:line="480" w:lineRule="exact"/>
        <w:jc w:val="both"/>
        <w:rPr>
          <w:rFonts w:ascii="宋体" w:hAnsi="宋体" w:cs="宋体"/>
          <w:b/>
          <w:sz w:val="21"/>
          <w:szCs w:val="21"/>
          <w:highlight w:val="none"/>
        </w:rPr>
      </w:pPr>
    </w:p>
    <w:p w14:paraId="5414ACC8">
      <w:pPr>
        <w:widowControl w:val="0"/>
        <w:spacing w:line="480" w:lineRule="exact"/>
        <w:ind w:firstLine="525" w:firstLineChars="250"/>
        <w:jc w:val="both"/>
        <w:rPr>
          <w:rFonts w:ascii="宋体" w:hAnsi="宋体" w:cs="宋体"/>
          <w:sz w:val="21"/>
          <w:szCs w:val="21"/>
          <w:highlight w:val="none"/>
        </w:rPr>
      </w:pPr>
    </w:p>
    <w:p w14:paraId="045D8983">
      <w:pPr>
        <w:widowControl w:val="0"/>
        <w:spacing w:line="480" w:lineRule="exact"/>
        <w:ind w:firstLine="525" w:firstLineChars="250"/>
        <w:jc w:val="both"/>
        <w:rPr>
          <w:rFonts w:ascii="宋体" w:hAnsi="宋体" w:cs="宋体"/>
          <w:sz w:val="21"/>
          <w:szCs w:val="21"/>
          <w:highlight w:val="none"/>
        </w:rPr>
      </w:pPr>
    </w:p>
    <w:p w14:paraId="4C947750">
      <w:pPr>
        <w:widowControl w:val="0"/>
        <w:spacing w:line="480" w:lineRule="exact"/>
        <w:ind w:firstLine="525" w:firstLineChars="250"/>
        <w:jc w:val="both"/>
        <w:rPr>
          <w:rFonts w:ascii="宋体" w:hAnsi="宋体" w:cs="宋体"/>
          <w:sz w:val="21"/>
          <w:szCs w:val="21"/>
          <w:highlight w:val="none"/>
        </w:rPr>
      </w:pPr>
    </w:p>
    <w:p w14:paraId="7375F973">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投标人（单位名称及公章）：</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3E06BF7D">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法定代表人（签字）：</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5362DA5E">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法人授权代表（签字）：</w:t>
      </w:r>
      <w:r>
        <w:rPr>
          <w:rFonts w:hint="eastAsia" w:asciiTheme="majorEastAsia" w:hAnsiTheme="majorEastAsia" w:eastAsiaTheme="majorEastAsia" w:cstheme="majorEastAsia"/>
          <w:sz w:val="24"/>
          <w:szCs w:val="24"/>
          <w:highlight w:val="none"/>
          <w:u w:val="single"/>
        </w:rPr>
        <w:t xml:space="preserve">                        </w:t>
      </w:r>
    </w:p>
    <w:p w14:paraId="34EC693F">
      <w:pPr>
        <w:spacing w:line="500" w:lineRule="exact"/>
        <w:ind w:firstLine="2640" w:firstLineChars="1100"/>
        <w:jc w:val="left"/>
        <w:rPr>
          <w:rFonts w:hint="eastAsia" w:asciiTheme="majorEastAsia" w:hAnsiTheme="majorEastAsia" w:eastAsiaTheme="majorEastAsia" w:cstheme="majorEastAsia"/>
          <w:b/>
          <w:snapToGrid w:val="0"/>
          <w:kern w:val="0"/>
          <w:sz w:val="24"/>
          <w:szCs w:val="24"/>
          <w:highlight w:val="none"/>
        </w:rPr>
      </w:pPr>
      <w:r>
        <w:rPr>
          <w:rFonts w:hint="eastAsia" w:asciiTheme="majorEastAsia" w:hAnsiTheme="majorEastAsia" w:eastAsiaTheme="majorEastAsia" w:cstheme="majorEastAsia"/>
          <w:kern w:val="28"/>
          <w:sz w:val="24"/>
          <w:szCs w:val="24"/>
          <w:highlight w:val="none"/>
        </w:rPr>
        <w:t>日期：</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u w:val="single"/>
          <w:lang w:val="en-US" w:eastAsia="zh-CN"/>
        </w:rPr>
        <w:t xml:space="preserve">        </w:t>
      </w:r>
      <w:r>
        <w:rPr>
          <w:rFonts w:hint="eastAsia" w:asciiTheme="majorEastAsia" w:hAnsiTheme="majorEastAsia" w:eastAsiaTheme="majorEastAsia" w:cstheme="majorEastAsia"/>
          <w:kern w:val="28"/>
          <w:sz w:val="24"/>
          <w:szCs w:val="24"/>
          <w:highlight w:val="none"/>
        </w:rPr>
        <w:t>年</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u w:val="single"/>
          <w:lang w:val="en-US" w:eastAsia="zh-CN"/>
        </w:rPr>
        <w:t xml:space="preserve">       </w:t>
      </w:r>
      <w:r>
        <w:rPr>
          <w:rFonts w:hint="eastAsia" w:asciiTheme="majorEastAsia" w:hAnsiTheme="majorEastAsia" w:eastAsiaTheme="majorEastAsia" w:cstheme="majorEastAsia"/>
          <w:kern w:val="28"/>
          <w:sz w:val="24"/>
          <w:szCs w:val="24"/>
          <w:highlight w:val="none"/>
        </w:rPr>
        <w:t>月</w:t>
      </w:r>
      <w:r>
        <w:rPr>
          <w:rFonts w:hint="eastAsia" w:asciiTheme="majorEastAsia" w:hAnsiTheme="majorEastAsia" w:eastAsiaTheme="majorEastAsia" w:cstheme="majorEastAsia"/>
          <w:kern w:val="28"/>
          <w:sz w:val="24"/>
          <w:szCs w:val="24"/>
          <w:highlight w:val="none"/>
          <w:u w:val="single"/>
        </w:rPr>
        <w:t xml:space="preserve">  </w:t>
      </w:r>
      <w:r>
        <w:rPr>
          <w:rFonts w:hint="eastAsia" w:asciiTheme="majorEastAsia" w:hAnsiTheme="majorEastAsia" w:eastAsiaTheme="majorEastAsia" w:cstheme="majorEastAsia"/>
          <w:kern w:val="28"/>
          <w:sz w:val="24"/>
          <w:szCs w:val="24"/>
          <w:highlight w:val="none"/>
          <w:u w:val="single"/>
          <w:lang w:val="en-US" w:eastAsia="zh-CN"/>
        </w:rPr>
        <w:t xml:space="preserve">       </w:t>
      </w:r>
      <w:r>
        <w:rPr>
          <w:rFonts w:hint="eastAsia" w:asciiTheme="majorEastAsia" w:hAnsiTheme="majorEastAsia" w:eastAsiaTheme="majorEastAsia" w:cstheme="majorEastAsia"/>
          <w:kern w:val="28"/>
          <w:sz w:val="24"/>
          <w:szCs w:val="24"/>
          <w:highlight w:val="none"/>
        </w:rPr>
        <w:t>日</w:t>
      </w:r>
    </w:p>
    <w:p w14:paraId="403B0882">
      <w:pPr>
        <w:spacing w:line="500" w:lineRule="exact"/>
        <w:ind w:firstLine="482" w:firstLineChars="200"/>
        <w:jc w:val="left"/>
        <w:rPr>
          <w:rFonts w:hint="eastAsia" w:ascii="宋体" w:hAnsi="宋体" w:eastAsia="宋体" w:cs="宋体"/>
          <w:b/>
          <w:snapToGrid w:val="0"/>
          <w:kern w:val="0"/>
          <w:sz w:val="24"/>
          <w:highlight w:val="none"/>
        </w:rPr>
      </w:pPr>
    </w:p>
    <w:p w14:paraId="7FCE8BB5">
      <w:pPr>
        <w:spacing w:line="500" w:lineRule="exact"/>
        <w:ind w:firstLine="482" w:firstLineChars="200"/>
        <w:jc w:val="left"/>
        <w:rPr>
          <w:rFonts w:hint="eastAsia" w:ascii="宋体" w:hAnsi="宋体" w:eastAsia="宋体" w:cs="宋体"/>
          <w:b/>
          <w:snapToGrid w:val="0"/>
          <w:kern w:val="0"/>
          <w:sz w:val="24"/>
          <w:highlight w:val="none"/>
        </w:rPr>
      </w:pPr>
    </w:p>
    <w:p w14:paraId="0B67439E">
      <w:pPr>
        <w:spacing w:line="500" w:lineRule="exact"/>
        <w:ind w:firstLine="482" w:firstLineChars="200"/>
        <w:jc w:val="left"/>
        <w:rPr>
          <w:rFonts w:hint="eastAsia" w:ascii="宋体" w:hAnsi="宋体" w:eastAsia="宋体" w:cs="宋体"/>
          <w:b/>
          <w:snapToGrid w:val="0"/>
          <w:kern w:val="0"/>
          <w:sz w:val="24"/>
          <w:highlight w:val="none"/>
        </w:rPr>
      </w:pPr>
    </w:p>
    <w:p w14:paraId="7B3176B3">
      <w:pPr>
        <w:spacing w:line="500" w:lineRule="exact"/>
        <w:ind w:firstLine="482" w:firstLineChars="200"/>
        <w:jc w:val="left"/>
        <w:rPr>
          <w:rFonts w:hint="eastAsia" w:ascii="宋体" w:hAnsi="宋体" w:eastAsia="宋体" w:cs="宋体"/>
          <w:b/>
          <w:snapToGrid w:val="0"/>
          <w:kern w:val="0"/>
          <w:sz w:val="24"/>
          <w:highlight w:val="none"/>
        </w:rPr>
      </w:pPr>
    </w:p>
    <w:bookmarkEnd w:id="565"/>
    <w:p w14:paraId="4C9A5888">
      <w:pPr>
        <w:rPr>
          <w:rFonts w:hint="eastAsia" w:ascii="宋体" w:hAnsi="宋体" w:eastAsia="宋体" w:cs="宋体"/>
          <w:highlight w:val="none"/>
        </w:rPr>
      </w:pPr>
      <w:bookmarkStart w:id="566" w:name="_Toc396597544"/>
      <w:bookmarkStart w:id="567" w:name="_Toc390084418"/>
      <w:bookmarkStart w:id="568" w:name="_Toc390084894"/>
      <w:bookmarkStart w:id="569" w:name="_Toc390078452"/>
      <w:bookmarkStart w:id="570" w:name="_Toc390084958"/>
      <w:bookmarkStart w:id="571" w:name="_Toc392272782"/>
      <w:bookmarkStart w:id="572" w:name="_Toc390084895"/>
      <w:bookmarkStart w:id="573" w:name="_Toc389731561"/>
      <w:bookmarkStart w:id="574" w:name="_Toc390084959"/>
      <w:bookmarkStart w:id="575" w:name="_Toc390084419"/>
      <w:bookmarkStart w:id="576" w:name="_Toc390078453"/>
    </w:p>
    <w:p w14:paraId="27704699">
      <w:pPr>
        <w:pStyle w:val="5"/>
        <w:numPr>
          <w:ilvl w:val="3"/>
          <w:numId w:val="0"/>
        </w:numPr>
        <w:ind w:left="284" w:leftChars="0"/>
        <w:rPr>
          <w:rFonts w:hint="eastAsia"/>
        </w:rPr>
      </w:pPr>
    </w:p>
    <w:p w14:paraId="736DE54E">
      <w:pPr>
        <w:pStyle w:val="3"/>
        <w:rPr>
          <w:rFonts w:hint="eastAsia" w:ascii="宋体" w:hAnsi="宋体" w:eastAsia="宋体" w:cs="宋体"/>
          <w:highlight w:val="none"/>
        </w:rPr>
      </w:pPr>
      <w:bookmarkStart w:id="577" w:name="_Toc14165"/>
      <w:r>
        <w:rPr>
          <w:rFonts w:hint="eastAsia" w:ascii="宋体" w:hAnsi="宋体" w:cs="宋体"/>
          <w:highlight w:val="none"/>
          <w:lang w:val="en-US" w:eastAsia="zh-CN"/>
        </w:rPr>
        <w:t>六</w:t>
      </w:r>
      <w:r>
        <w:rPr>
          <w:rFonts w:hint="eastAsia" w:ascii="宋体" w:hAnsi="宋体" w:eastAsia="宋体" w:cs="宋体"/>
          <w:highlight w:val="none"/>
        </w:rPr>
        <w:t>、商务条款偏离表</w:t>
      </w:r>
      <w:bookmarkEnd w:id="566"/>
      <w:bookmarkEnd w:id="577"/>
    </w:p>
    <w:p w14:paraId="202857E3">
      <w:pPr>
        <w:adjustRightInd w:val="0"/>
        <w:snapToGrid w:val="0"/>
        <w:spacing w:before="120"/>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包段</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268DC9AD">
      <w:pPr>
        <w:adjustRightInd w:val="0"/>
        <w:snapToGrid w:val="0"/>
        <w:spacing w:line="500" w:lineRule="exact"/>
        <w:jc w:val="left"/>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10"/>
        <w:gridCol w:w="1815"/>
        <w:gridCol w:w="2520"/>
        <w:gridCol w:w="2415"/>
        <w:gridCol w:w="1365"/>
      </w:tblGrid>
      <w:tr w14:paraId="198A2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center"/>
          </w:tcPr>
          <w:p w14:paraId="266693B8">
            <w:pPr>
              <w:adjustRightInd w:val="0"/>
              <w:snapToGrid w:val="0"/>
              <w:spacing w:before="12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815" w:type="dxa"/>
            <w:noWrap w:val="0"/>
            <w:vAlign w:val="center"/>
          </w:tcPr>
          <w:p w14:paraId="7DD43555">
            <w:pPr>
              <w:adjustRightInd w:val="0"/>
              <w:snapToGrid w:val="0"/>
              <w:spacing w:before="120"/>
              <w:jc w:val="center"/>
              <w:rPr>
                <w:rFonts w:hint="eastAsia" w:ascii="宋体" w:hAnsi="宋体" w:eastAsia="宋体" w:cs="宋体"/>
                <w:sz w:val="24"/>
                <w:highlight w:val="none"/>
              </w:rPr>
            </w:pPr>
            <w:r>
              <w:rPr>
                <w:rFonts w:hint="eastAsia" w:ascii="宋体" w:hAnsi="宋体" w:eastAsia="宋体" w:cs="宋体"/>
                <w:sz w:val="24"/>
                <w:highlight w:val="none"/>
              </w:rPr>
              <w:t>磋商文件的</w:t>
            </w:r>
          </w:p>
          <w:p w14:paraId="7E85D2A0">
            <w:pPr>
              <w:adjustRightInd w:val="0"/>
              <w:snapToGrid w:val="0"/>
              <w:spacing w:before="120"/>
              <w:jc w:val="center"/>
              <w:rPr>
                <w:rFonts w:hint="eastAsia" w:ascii="宋体" w:hAnsi="宋体" w:eastAsia="宋体" w:cs="宋体"/>
                <w:sz w:val="24"/>
                <w:highlight w:val="none"/>
              </w:rPr>
            </w:pPr>
            <w:r>
              <w:rPr>
                <w:rFonts w:hint="eastAsia" w:ascii="宋体" w:hAnsi="宋体" w:eastAsia="宋体" w:cs="宋体"/>
                <w:sz w:val="24"/>
                <w:highlight w:val="none"/>
              </w:rPr>
              <w:t>商务要求</w:t>
            </w:r>
          </w:p>
        </w:tc>
        <w:tc>
          <w:tcPr>
            <w:tcW w:w="2520" w:type="dxa"/>
            <w:noWrap w:val="0"/>
            <w:vAlign w:val="center"/>
          </w:tcPr>
          <w:p w14:paraId="09C53D19">
            <w:pPr>
              <w:adjustRightInd w:val="0"/>
              <w:snapToGrid w:val="0"/>
              <w:spacing w:before="120"/>
              <w:jc w:val="center"/>
              <w:rPr>
                <w:rFonts w:hint="eastAsia" w:ascii="宋体" w:hAnsi="宋体" w:eastAsia="宋体" w:cs="宋体"/>
                <w:sz w:val="24"/>
                <w:highlight w:val="none"/>
              </w:rPr>
            </w:pPr>
            <w:r>
              <w:rPr>
                <w:rFonts w:hint="eastAsia" w:ascii="宋体" w:hAnsi="宋体" w:eastAsia="宋体" w:cs="宋体"/>
                <w:sz w:val="24"/>
                <w:highlight w:val="none"/>
              </w:rPr>
              <w:t>磋商响应性文件的</w:t>
            </w:r>
          </w:p>
          <w:p w14:paraId="3C88E7E2">
            <w:pPr>
              <w:adjustRightInd w:val="0"/>
              <w:snapToGrid w:val="0"/>
              <w:spacing w:before="120"/>
              <w:jc w:val="center"/>
              <w:rPr>
                <w:rFonts w:hint="eastAsia" w:ascii="宋体" w:hAnsi="宋体" w:eastAsia="宋体" w:cs="宋体"/>
                <w:sz w:val="24"/>
                <w:highlight w:val="none"/>
              </w:rPr>
            </w:pPr>
            <w:r>
              <w:rPr>
                <w:rFonts w:hint="eastAsia" w:ascii="宋体" w:hAnsi="宋体" w:eastAsia="宋体" w:cs="宋体"/>
                <w:sz w:val="24"/>
                <w:highlight w:val="none"/>
              </w:rPr>
              <w:t>商务响应</w:t>
            </w:r>
          </w:p>
        </w:tc>
        <w:tc>
          <w:tcPr>
            <w:tcW w:w="2415" w:type="dxa"/>
            <w:noWrap w:val="0"/>
            <w:vAlign w:val="center"/>
          </w:tcPr>
          <w:p w14:paraId="558C1AA9">
            <w:pPr>
              <w:adjustRightInd w:val="0"/>
              <w:snapToGrid w:val="0"/>
              <w:spacing w:before="120"/>
              <w:jc w:val="center"/>
              <w:rPr>
                <w:rFonts w:hint="eastAsia" w:ascii="宋体" w:hAnsi="宋体" w:eastAsia="宋体" w:cs="宋体"/>
                <w:sz w:val="24"/>
                <w:highlight w:val="none"/>
              </w:rPr>
            </w:pPr>
            <w:r>
              <w:rPr>
                <w:rFonts w:hint="eastAsia" w:ascii="宋体" w:hAnsi="宋体" w:eastAsia="宋体" w:cs="宋体"/>
                <w:sz w:val="24"/>
                <w:highlight w:val="none"/>
              </w:rPr>
              <w:t>偏离说明</w:t>
            </w:r>
          </w:p>
        </w:tc>
        <w:tc>
          <w:tcPr>
            <w:tcW w:w="1365" w:type="dxa"/>
            <w:noWrap w:val="0"/>
            <w:vAlign w:val="center"/>
          </w:tcPr>
          <w:p w14:paraId="67DB3056">
            <w:pPr>
              <w:adjustRightInd w:val="0"/>
              <w:snapToGrid w:val="0"/>
              <w:spacing w:before="120"/>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709D9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6D466240">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65671CEE">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3FF73811">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74F8E764">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42BD9BEA">
            <w:pPr>
              <w:adjustRightInd w:val="0"/>
              <w:snapToGrid w:val="0"/>
              <w:spacing w:line="600" w:lineRule="exact"/>
              <w:jc w:val="center"/>
              <w:rPr>
                <w:rFonts w:hint="eastAsia" w:ascii="宋体" w:hAnsi="宋体" w:eastAsia="宋体" w:cs="宋体"/>
                <w:sz w:val="24"/>
                <w:highlight w:val="none"/>
              </w:rPr>
            </w:pPr>
          </w:p>
        </w:tc>
      </w:tr>
      <w:tr w14:paraId="2236A1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4FFEADE5">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1FB48888">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2CA7F764">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16373D67">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61EC4ACA">
            <w:pPr>
              <w:adjustRightInd w:val="0"/>
              <w:snapToGrid w:val="0"/>
              <w:spacing w:line="600" w:lineRule="exact"/>
              <w:jc w:val="center"/>
              <w:rPr>
                <w:rFonts w:hint="eastAsia" w:ascii="宋体" w:hAnsi="宋体" w:eastAsia="宋体" w:cs="宋体"/>
                <w:sz w:val="24"/>
                <w:highlight w:val="none"/>
              </w:rPr>
            </w:pPr>
          </w:p>
        </w:tc>
      </w:tr>
      <w:tr w14:paraId="61B24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112430A5">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015AAF7C">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33B4EE4B">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57FF8D3D">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085D9B40">
            <w:pPr>
              <w:adjustRightInd w:val="0"/>
              <w:snapToGrid w:val="0"/>
              <w:spacing w:line="600" w:lineRule="exact"/>
              <w:jc w:val="center"/>
              <w:rPr>
                <w:rFonts w:hint="eastAsia" w:ascii="宋体" w:hAnsi="宋体" w:eastAsia="宋体" w:cs="宋体"/>
                <w:sz w:val="24"/>
                <w:highlight w:val="none"/>
              </w:rPr>
            </w:pPr>
          </w:p>
        </w:tc>
      </w:tr>
      <w:tr w14:paraId="549CC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0B348227">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6DDACB1C">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1D38DA54">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75EE76E9">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1845C8A0">
            <w:pPr>
              <w:adjustRightInd w:val="0"/>
              <w:snapToGrid w:val="0"/>
              <w:spacing w:line="600" w:lineRule="exact"/>
              <w:jc w:val="center"/>
              <w:rPr>
                <w:rFonts w:hint="eastAsia" w:ascii="宋体" w:hAnsi="宋体" w:eastAsia="宋体" w:cs="宋体"/>
                <w:sz w:val="24"/>
                <w:highlight w:val="none"/>
              </w:rPr>
            </w:pPr>
          </w:p>
        </w:tc>
      </w:tr>
      <w:tr w14:paraId="4FC668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587C85AF">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21B587DF">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147EA185">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65472273">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374B2B22">
            <w:pPr>
              <w:adjustRightInd w:val="0"/>
              <w:snapToGrid w:val="0"/>
              <w:spacing w:line="600" w:lineRule="exact"/>
              <w:jc w:val="center"/>
              <w:rPr>
                <w:rFonts w:hint="eastAsia" w:ascii="宋体" w:hAnsi="宋体" w:eastAsia="宋体" w:cs="宋体"/>
                <w:sz w:val="24"/>
                <w:highlight w:val="none"/>
              </w:rPr>
            </w:pPr>
          </w:p>
        </w:tc>
      </w:tr>
      <w:tr w14:paraId="5DEF2D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74CD9AA3">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6A84D498">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72A8667B">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4F1409F4">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140089C2">
            <w:pPr>
              <w:adjustRightInd w:val="0"/>
              <w:snapToGrid w:val="0"/>
              <w:spacing w:line="600" w:lineRule="exact"/>
              <w:jc w:val="center"/>
              <w:rPr>
                <w:rFonts w:hint="eastAsia" w:ascii="宋体" w:hAnsi="宋体" w:eastAsia="宋体" w:cs="宋体"/>
                <w:sz w:val="24"/>
                <w:highlight w:val="none"/>
              </w:rPr>
            </w:pPr>
          </w:p>
        </w:tc>
      </w:tr>
      <w:tr w14:paraId="357DEC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7CB8B7EA">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05264DA8">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79BD2B8E">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3F424BF9">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6115211C">
            <w:pPr>
              <w:adjustRightInd w:val="0"/>
              <w:snapToGrid w:val="0"/>
              <w:spacing w:line="600" w:lineRule="exact"/>
              <w:jc w:val="center"/>
              <w:rPr>
                <w:rFonts w:hint="eastAsia" w:ascii="宋体" w:hAnsi="宋体" w:eastAsia="宋体" w:cs="宋体"/>
                <w:sz w:val="24"/>
                <w:highlight w:val="none"/>
              </w:rPr>
            </w:pPr>
          </w:p>
        </w:tc>
      </w:tr>
      <w:tr w14:paraId="747FD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3FD0B4C7">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709F10E6">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344FCC99">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4231E575">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61BEA137">
            <w:pPr>
              <w:adjustRightInd w:val="0"/>
              <w:snapToGrid w:val="0"/>
              <w:spacing w:line="600" w:lineRule="exact"/>
              <w:jc w:val="center"/>
              <w:rPr>
                <w:rFonts w:hint="eastAsia" w:ascii="宋体" w:hAnsi="宋体" w:eastAsia="宋体" w:cs="宋体"/>
                <w:sz w:val="24"/>
                <w:highlight w:val="none"/>
              </w:rPr>
            </w:pPr>
          </w:p>
        </w:tc>
      </w:tr>
      <w:tr w14:paraId="499DE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1010" w:type="dxa"/>
            <w:noWrap w:val="0"/>
            <w:vAlign w:val="top"/>
          </w:tcPr>
          <w:p w14:paraId="1FD7CB0B">
            <w:pPr>
              <w:adjustRightInd w:val="0"/>
              <w:snapToGrid w:val="0"/>
              <w:spacing w:line="600" w:lineRule="exact"/>
              <w:jc w:val="center"/>
              <w:rPr>
                <w:rFonts w:hint="eastAsia" w:ascii="宋体" w:hAnsi="宋体" w:eastAsia="宋体" w:cs="宋体"/>
                <w:sz w:val="24"/>
                <w:highlight w:val="none"/>
              </w:rPr>
            </w:pPr>
          </w:p>
        </w:tc>
        <w:tc>
          <w:tcPr>
            <w:tcW w:w="1815" w:type="dxa"/>
            <w:noWrap w:val="0"/>
            <w:vAlign w:val="top"/>
          </w:tcPr>
          <w:p w14:paraId="0F826077">
            <w:pPr>
              <w:adjustRightInd w:val="0"/>
              <w:snapToGrid w:val="0"/>
              <w:spacing w:line="600" w:lineRule="exact"/>
              <w:jc w:val="center"/>
              <w:rPr>
                <w:rFonts w:hint="eastAsia" w:ascii="宋体" w:hAnsi="宋体" w:eastAsia="宋体" w:cs="宋体"/>
                <w:sz w:val="24"/>
                <w:highlight w:val="none"/>
              </w:rPr>
            </w:pPr>
          </w:p>
        </w:tc>
        <w:tc>
          <w:tcPr>
            <w:tcW w:w="2520" w:type="dxa"/>
            <w:noWrap w:val="0"/>
            <w:vAlign w:val="top"/>
          </w:tcPr>
          <w:p w14:paraId="56242755">
            <w:pPr>
              <w:adjustRightInd w:val="0"/>
              <w:snapToGrid w:val="0"/>
              <w:spacing w:line="600" w:lineRule="exact"/>
              <w:jc w:val="center"/>
              <w:rPr>
                <w:rFonts w:hint="eastAsia" w:ascii="宋体" w:hAnsi="宋体" w:eastAsia="宋体" w:cs="宋体"/>
                <w:sz w:val="24"/>
                <w:highlight w:val="none"/>
              </w:rPr>
            </w:pPr>
          </w:p>
        </w:tc>
        <w:tc>
          <w:tcPr>
            <w:tcW w:w="2415" w:type="dxa"/>
            <w:noWrap w:val="0"/>
            <w:vAlign w:val="top"/>
          </w:tcPr>
          <w:p w14:paraId="2AF60CED">
            <w:pPr>
              <w:adjustRightInd w:val="0"/>
              <w:snapToGrid w:val="0"/>
              <w:spacing w:line="600" w:lineRule="exact"/>
              <w:jc w:val="center"/>
              <w:rPr>
                <w:rFonts w:hint="eastAsia" w:ascii="宋体" w:hAnsi="宋体" w:eastAsia="宋体" w:cs="宋体"/>
                <w:sz w:val="24"/>
                <w:highlight w:val="none"/>
              </w:rPr>
            </w:pPr>
          </w:p>
        </w:tc>
        <w:tc>
          <w:tcPr>
            <w:tcW w:w="1365" w:type="dxa"/>
            <w:noWrap w:val="0"/>
            <w:vAlign w:val="top"/>
          </w:tcPr>
          <w:p w14:paraId="2229491A">
            <w:pPr>
              <w:adjustRightInd w:val="0"/>
              <w:snapToGrid w:val="0"/>
              <w:spacing w:line="600" w:lineRule="exact"/>
              <w:jc w:val="center"/>
              <w:rPr>
                <w:rFonts w:hint="eastAsia" w:ascii="宋体" w:hAnsi="宋体" w:eastAsia="宋体" w:cs="宋体"/>
                <w:sz w:val="24"/>
                <w:highlight w:val="none"/>
              </w:rPr>
            </w:pPr>
          </w:p>
        </w:tc>
      </w:tr>
    </w:tbl>
    <w:p w14:paraId="071A1785">
      <w:pPr>
        <w:pStyle w:val="20"/>
        <w:adjustRightInd w:val="0"/>
        <w:snapToGrid w:val="0"/>
        <w:spacing w:line="276" w:lineRule="auto"/>
        <w:rPr>
          <w:rFonts w:hint="eastAsia" w:ascii="宋体" w:hAnsi="宋体" w:eastAsia="宋体" w:cs="宋体"/>
          <w:sz w:val="24"/>
          <w:highlight w:val="none"/>
        </w:rPr>
      </w:pPr>
    </w:p>
    <w:p w14:paraId="4F277AE4">
      <w:pPr>
        <w:pStyle w:val="2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供应商应对《磋商文件》商务文件组成内容和合同部分服务条款给予逐条响应，以自己所能提供证明文件的内容予以填写，而不应复制《磋商文件》的商务要求作为响应内容。对响应有偏离的说明偏离的内容。</w:t>
      </w:r>
    </w:p>
    <w:p w14:paraId="1EAA7EF1">
      <w:pPr>
        <w:pStyle w:val="20"/>
        <w:adjustRightInd w:val="0"/>
        <w:snapToGrid w:val="0"/>
        <w:spacing w:line="360" w:lineRule="auto"/>
        <w:ind w:firstLine="480" w:firstLineChars="200"/>
        <w:rPr>
          <w:rFonts w:hint="eastAsia" w:ascii="宋体" w:hAnsi="宋体" w:eastAsia="宋体" w:cs="宋体"/>
          <w:sz w:val="24"/>
          <w:highlight w:val="none"/>
        </w:rPr>
      </w:pPr>
    </w:p>
    <w:p w14:paraId="4213B0CC">
      <w:pPr>
        <w:pStyle w:val="2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（单位公章）  </w:t>
      </w:r>
      <w:r>
        <w:rPr>
          <w:rFonts w:hint="eastAsia" w:ascii="宋体" w:hAnsi="宋体" w:eastAsia="宋体" w:cs="宋体"/>
          <w:sz w:val="24"/>
          <w:highlight w:val="none"/>
        </w:rPr>
        <w:t xml:space="preserve"> </w:t>
      </w:r>
    </w:p>
    <w:p w14:paraId="744DB735">
      <w:pPr>
        <w:pStyle w:val="20"/>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法定代表人或被授权人：</w:t>
      </w:r>
      <w:r>
        <w:rPr>
          <w:rFonts w:hint="eastAsia" w:ascii="宋体" w:hAnsi="宋体" w:eastAsia="宋体" w:cs="宋体"/>
          <w:sz w:val="24"/>
          <w:highlight w:val="none"/>
          <w:u w:val="single"/>
        </w:rPr>
        <w:t xml:space="preserve">                （签字）</w:t>
      </w:r>
    </w:p>
    <w:p w14:paraId="4AA52922">
      <w:pPr>
        <w:pStyle w:val="20"/>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年     月     日</w:t>
      </w:r>
      <w:bookmarkStart w:id="578" w:name="_Toc396597545"/>
      <w:bookmarkStart w:id="579" w:name="_Toc18976"/>
    </w:p>
    <w:p w14:paraId="352685C6">
      <w:pPr>
        <w:pStyle w:val="20"/>
        <w:adjustRightInd w:val="0"/>
        <w:snapToGrid w:val="0"/>
        <w:spacing w:line="360" w:lineRule="auto"/>
        <w:ind w:firstLine="480" w:firstLineChars="200"/>
        <w:rPr>
          <w:rFonts w:hint="eastAsia" w:ascii="宋体" w:hAnsi="宋体" w:eastAsia="宋体" w:cs="宋体"/>
          <w:sz w:val="24"/>
          <w:highlight w:val="none"/>
          <w:u w:val="single"/>
        </w:rPr>
      </w:pPr>
    </w:p>
    <w:p w14:paraId="77F092EC">
      <w:pPr>
        <w:pStyle w:val="3"/>
        <w:jc w:val="center"/>
        <w:rPr>
          <w:rFonts w:hint="eastAsia" w:ascii="宋体" w:hAnsi="宋体" w:eastAsia="宋体" w:cs="宋体"/>
          <w:highlight w:val="none"/>
        </w:rPr>
      </w:pPr>
      <w:r>
        <w:rPr>
          <w:rFonts w:hint="eastAsia" w:ascii="宋体" w:hAnsi="宋体" w:cs="宋体"/>
          <w:highlight w:val="none"/>
          <w:lang w:val="en-US" w:eastAsia="zh-CN"/>
        </w:rPr>
        <w:t>七</w:t>
      </w:r>
      <w:r>
        <w:rPr>
          <w:rFonts w:hint="eastAsia" w:ascii="宋体" w:hAnsi="宋体" w:eastAsia="宋体" w:cs="宋体"/>
          <w:highlight w:val="none"/>
        </w:rPr>
        <w:t>、</w:t>
      </w:r>
      <w:bookmarkEnd w:id="567"/>
      <w:bookmarkEnd w:id="568"/>
      <w:bookmarkEnd w:id="569"/>
      <w:bookmarkEnd w:id="570"/>
      <w:r>
        <w:rPr>
          <w:rFonts w:hint="eastAsia" w:ascii="宋体" w:hAnsi="宋体" w:eastAsia="宋体" w:cs="宋体"/>
          <w:highlight w:val="none"/>
        </w:rPr>
        <w:t>供应商资格声明</w:t>
      </w:r>
      <w:bookmarkEnd w:id="571"/>
      <w:bookmarkEnd w:id="578"/>
      <w:bookmarkEnd w:id="579"/>
    </w:p>
    <w:p w14:paraId="5079FA30">
      <w:pPr>
        <w:rPr>
          <w:rFonts w:hint="eastAsia" w:ascii="宋体" w:hAnsi="宋体" w:eastAsia="宋体" w:cs="宋体"/>
          <w:color w:val="FF0000"/>
          <w:sz w:val="24"/>
          <w:highlight w:val="none"/>
        </w:rPr>
      </w:pPr>
    </w:p>
    <w:tbl>
      <w:tblPr>
        <w:tblStyle w:val="40"/>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134"/>
        <w:gridCol w:w="1096"/>
        <w:gridCol w:w="462"/>
        <w:gridCol w:w="878"/>
        <w:gridCol w:w="1153"/>
        <w:gridCol w:w="1112"/>
        <w:gridCol w:w="1075"/>
      </w:tblGrid>
      <w:tr w14:paraId="77E8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EBB3135">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bookmarkStart w:id="580" w:name="_Toc436814352"/>
            <w:bookmarkStart w:id="581" w:name="_Toc483254679"/>
            <w:bookmarkStart w:id="582" w:name="_Toc478141616"/>
            <w:bookmarkStart w:id="583" w:name="_Toc436838237"/>
            <w:bookmarkStart w:id="584" w:name="_Toc492671146"/>
            <w:bookmarkStart w:id="585" w:name="_Toc396597564"/>
            <w:bookmarkStart w:id="586" w:name="_Toc396597546"/>
            <w:r>
              <w:rPr>
                <w:rFonts w:hint="eastAsia" w:ascii="宋体" w:hAnsi="宋体" w:eastAsia="宋体" w:cs="宋体"/>
                <w:color w:val="auto"/>
                <w:sz w:val="24"/>
                <w:szCs w:val="24"/>
                <w:highlight w:val="none"/>
              </w:rPr>
              <w:t>投标人名称</w:t>
            </w:r>
          </w:p>
        </w:tc>
        <w:tc>
          <w:tcPr>
            <w:tcW w:w="6910" w:type="dxa"/>
            <w:gridSpan w:val="7"/>
            <w:tcBorders>
              <w:top w:val="single" w:color="auto" w:sz="4" w:space="0"/>
              <w:left w:val="single" w:color="auto" w:sz="4" w:space="0"/>
              <w:bottom w:val="single" w:color="auto" w:sz="4" w:space="0"/>
              <w:right w:val="single" w:color="auto" w:sz="4" w:space="0"/>
            </w:tcBorders>
            <w:noWrap w:val="0"/>
            <w:vAlign w:val="center"/>
          </w:tcPr>
          <w:p w14:paraId="1E064116">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2671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561BC8D3">
            <w:pPr>
              <w:pStyle w:val="38"/>
              <w:tabs>
                <w:tab w:val="left" w:pos="12780"/>
              </w:tabs>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70" w:type="dxa"/>
            <w:gridSpan w:val="4"/>
            <w:tcBorders>
              <w:top w:val="single" w:color="auto" w:sz="4" w:space="0"/>
              <w:left w:val="single" w:color="auto" w:sz="4" w:space="0"/>
              <w:bottom w:val="single" w:color="auto" w:sz="4" w:space="0"/>
              <w:right w:val="single" w:color="auto" w:sz="4" w:space="0"/>
            </w:tcBorders>
            <w:noWrap w:val="0"/>
            <w:vAlign w:val="center"/>
          </w:tcPr>
          <w:p w14:paraId="4DCF68BA">
            <w:pPr>
              <w:pStyle w:val="38"/>
              <w:tabs>
                <w:tab w:val="left" w:pos="12780"/>
              </w:tabs>
              <w:ind w:firstLine="0" w:firstLineChars="0"/>
              <w:jc w:val="center"/>
              <w:rPr>
                <w:rFonts w:hint="eastAsia" w:ascii="宋体" w:hAnsi="宋体" w:eastAsia="宋体" w:cs="宋体"/>
                <w:color w:val="auto"/>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73C6BD1">
            <w:pPr>
              <w:pStyle w:val="38"/>
              <w:tabs>
                <w:tab w:val="left" w:pos="12780"/>
              </w:tabs>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w:t>
            </w:r>
          </w:p>
          <w:p w14:paraId="6DE1DE6F">
            <w:pPr>
              <w:pStyle w:val="38"/>
              <w:tabs>
                <w:tab w:val="left" w:pos="12780"/>
              </w:tabs>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编码</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3BAB1642">
            <w:pPr>
              <w:pStyle w:val="38"/>
              <w:tabs>
                <w:tab w:val="left" w:pos="12780"/>
              </w:tabs>
              <w:ind w:firstLine="0" w:firstLineChars="0"/>
              <w:jc w:val="center"/>
              <w:rPr>
                <w:rFonts w:hint="eastAsia" w:ascii="宋体" w:hAnsi="宋体" w:eastAsia="宋体" w:cs="宋体"/>
                <w:color w:val="auto"/>
                <w:sz w:val="24"/>
                <w:szCs w:val="24"/>
                <w:highlight w:val="none"/>
              </w:rPr>
            </w:pPr>
          </w:p>
        </w:tc>
      </w:tr>
      <w:tr w14:paraId="201F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8294321">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570" w:type="dxa"/>
            <w:gridSpan w:val="4"/>
            <w:tcBorders>
              <w:top w:val="single" w:color="auto" w:sz="4" w:space="0"/>
              <w:left w:val="single" w:color="auto" w:sz="4" w:space="0"/>
              <w:bottom w:val="single" w:color="auto" w:sz="4" w:space="0"/>
              <w:right w:val="single" w:color="auto" w:sz="4" w:space="0"/>
            </w:tcBorders>
            <w:noWrap w:val="0"/>
            <w:vAlign w:val="center"/>
          </w:tcPr>
          <w:p w14:paraId="2DE05BD8">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1B4C88B">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7CECA67A">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7F1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273A80E5">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6910" w:type="dxa"/>
            <w:gridSpan w:val="7"/>
            <w:tcBorders>
              <w:top w:val="single" w:color="auto" w:sz="4" w:space="0"/>
              <w:left w:val="single" w:color="auto" w:sz="4" w:space="0"/>
              <w:bottom w:val="single" w:color="auto" w:sz="4" w:space="0"/>
              <w:right w:val="single" w:color="auto" w:sz="4" w:space="0"/>
            </w:tcBorders>
            <w:noWrap w:val="0"/>
            <w:vAlign w:val="center"/>
          </w:tcPr>
          <w:p w14:paraId="4A2DF2DF">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6978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D6B6CA1">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1807DE">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DA561E7">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14:paraId="2C701D90">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397C079">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51CC23B">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61573F2">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12EE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0AEA894F">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E33C0E">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07FC6FC">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14:paraId="313289E0">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208069B">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9B59564">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322367C">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018A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5302E82D">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14:paraId="7BA73E70">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2493" w:type="dxa"/>
            <w:gridSpan w:val="3"/>
            <w:tcBorders>
              <w:top w:val="single" w:color="auto" w:sz="4" w:space="0"/>
              <w:left w:val="single" w:color="auto" w:sz="4" w:space="0"/>
              <w:bottom w:val="single" w:color="auto" w:sz="4" w:space="0"/>
              <w:right w:val="single" w:color="auto" w:sz="4" w:space="0"/>
            </w:tcBorders>
            <w:noWrap w:val="0"/>
            <w:vAlign w:val="center"/>
          </w:tcPr>
          <w:p w14:paraId="10DC2AAA">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529CBACF">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5653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606A8472">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14:paraId="6E2E326B">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462" w:type="dxa"/>
            <w:vMerge w:val="restart"/>
            <w:tcBorders>
              <w:top w:val="single" w:color="auto" w:sz="4" w:space="0"/>
              <w:left w:val="single" w:color="auto" w:sz="4" w:space="0"/>
              <w:bottom w:val="single" w:color="auto" w:sz="4" w:space="0"/>
              <w:right w:val="single" w:color="auto" w:sz="4" w:space="0"/>
            </w:tcBorders>
            <w:noWrap w:val="0"/>
            <w:vAlign w:val="center"/>
          </w:tcPr>
          <w:p w14:paraId="597E3C3E">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596D2F20">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1A381627">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0393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57755AC">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14:paraId="0C7CC560">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14:paraId="45DAC12F">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09B7C6F4">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2BD1A607">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7C80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5DF02281">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14:paraId="79050657">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14:paraId="3BE385E2">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72438E5C">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048F6516">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3824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68CCE31B">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14:paraId="4B1D7C07">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14:paraId="3C992FCC">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5AC54520">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030B82F3">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34EA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6E3DCBEC">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14:paraId="20694F8E">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14:paraId="1E52D7DC">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058D2620">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技工</w:t>
            </w:r>
          </w:p>
        </w:tc>
        <w:tc>
          <w:tcPr>
            <w:tcW w:w="2187" w:type="dxa"/>
            <w:gridSpan w:val="2"/>
            <w:tcBorders>
              <w:top w:val="single" w:color="auto" w:sz="4" w:space="0"/>
              <w:left w:val="single" w:color="auto" w:sz="4" w:space="0"/>
              <w:bottom w:val="single" w:color="auto" w:sz="4" w:space="0"/>
              <w:right w:val="single" w:color="auto" w:sz="4" w:space="0"/>
            </w:tcBorders>
            <w:noWrap w:val="0"/>
            <w:vAlign w:val="center"/>
          </w:tcPr>
          <w:p w14:paraId="3533F1D9">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r w14:paraId="00C9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33540B1">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经营范围备注</w:t>
            </w:r>
          </w:p>
        </w:tc>
        <w:tc>
          <w:tcPr>
            <w:tcW w:w="6910" w:type="dxa"/>
            <w:gridSpan w:val="7"/>
            <w:tcBorders>
              <w:top w:val="single" w:color="auto" w:sz="4" w:space="0"/>
              <w:left w:val="single" w:color="auto" w:sz="4" w:space="0"/>
              <w:bottom w:val="single" w:color="auto" w:sz="4" w:space="0"/>
              <w:right w:val="single" w:color="auto" w:sz="4" w:space="0"/>
            </w:tcBorders>
            <w:noWrap w:val="0"/>
            <w:vAlign w:val="center"/>
          </w:tcPr>
          <w:p w14:paraId="520304BF">
            <w:pPr>
              <w:pStyle w:val="38"/>
              <w:tabs>
                <w:tab w:val="left" w:pos="12780"/>
              </w:tabs>
              <w:spacing w:line="480" w:lineRule="exact"/>
              <w:ind w:firstLine="0" w:firstLineChars="0"/>
              <w:jc w:val="center"/>
              <w:rPr>
                <w:rFonts w:hint="eastAsia" w:ascii="宋体" w:hAnsi="宋体" w:eastAsia="宋体" w:cs="宋体"/>
                <w:color w:val="auto"/>
                <w:sz w:val="24"/>
                <w:szCs w:val="24"/>
                <w:highlight w:val="none"/>
              </w:rPr>
            </w:pPr>
          </w:p>
        </w:tc>
      </w:tr>
    </w:tbl>
    <w:p w14:paraId="02A10F39">
      <w:pPr>
        <w:rPr>
          <w:rFonts w:hint="eastAsia" w:ascii="宋体" w:hAnsi="宋体" w:eastAsia="宋体" w:cs="宋体"/>
          <w:highlight w:val="none"/>
        </w:rPr>
      </w:pPr>
      <w:r>
        <w:rPr>
          <w:rFonts w:hint="eastAsia" w:ascii="宋体" w:hAnsi="宋体" w:eastAsia="宋体" w:cs="宋体"/>
          <w:highlight w:val="none"/>
        </w:rPr>
        <w:br w:type="page"/>
      </w:r>
    </w:p>
    <w:p w14:paraId="17CD41D6">
      <w:pPr>
        <w:pStyle w:val="3"/>
        <w:rPr>
          <w:rFonts w:hint="eastAsia" w:ascii="宋体" w:hAnsi="宋体" w:eastAsia="宋体" w:cs="宋体"/>
          <w:sz w:val="24"/>
          <w:highlight w:val="none"/>
        </w:rPr>
      </w:pPr>
      <w:bookmarkStart w:id="587" w:name="_Toc5870"/>
      <w:r>
        <w:rPr>
          <w:rFonts w:hint="eastAsia" w:ascii="宋体" w:hAnsi="宋体" w:cs="宋体"/>
          <w:highlight w:val="none"/>
          <w:lang w:val="en-US" w:eastAsia="zh-CN"/>
        </w:rPr>
        <w:t>八</w:t>
      </w:r>
      <w:r>
        <w:rPr>
          <w:rFonts w:hint="eastAsia" w:ascii="宋体" w:hAnsi="宋体" w:eastAsia="宋体" w:cs="宋体"/>
          <w:highlight w:val="none"/>
        </w:rPr>
        <w:t xml:space="preserve"> 、</w:t>
      </w:r>
      <w:r>
        <w:rPr>
          <w:rFonts w:hint="eastAsia" w:ascii="宋体" w:hAnsi="宋体" w:eastAsia="宋体" w:cs="宋体"/>
          <w:color w:val="0D0D0D"/>
          <w:highlight w:val="none"/>
        </w:rPr>
        <w:t>参加政府采购活动近三年内在经营活动中没有重大违法记录的声明函</w:t>
      </w:r>
      <w:bookmarkEnd w:id="580"/>
      <w:bookmarkEnd w:id="581"/>
      <w:bookmarkEnd w:id="582"/>
      <w:bookmarkEnd w:id="583"/>
      <w:bookmarkEnd w:id="584"/>
      <w:bookmarkEnd w:id="587"/>
    </w:p>
    <w:p w14:paraId="79A53207">
      <w:pPr>
        <w:spacing w:line="360" w:lineRule="auto"/>
        <w:jc w:val="left"/>
        <w:rPr>
          <w:rFonts w:hint="eastAsia" w:ascii="宋体" w:hAnsi="宋体" w:eastAsia="宋体" w:cs="宋体"/>
          <w:sz w:val="24"/>
          <w:highlight w:val="none"/>
        </w:rPr>
      </w:pPr>
    </w:p>
    <w:p w14:paraId="60C8C936">
      <w:pPr>
        <w:pStyle w:val="80"/>
        <w:rPr>
          <w:rFonts w:hint="eastAsia" w:ascii="宋体" w:hAnsi="宋体" w:eastAsia="宋体" w:cs="宋体"/>
          <w:highlight w:val="none"/>
        </w:rPr>
      </w:pPr>
    </w:p>
    <w:p w14:paraId="3AB19EF8">
      <w:pPr>
        <w:spacing w:line="360" w:lineRule="auto"/>
        <w:ind w:firstLine="480" w:firstLineChars="200"/>
        <w:jc w:val="left"/>
        <w:rPr>
          <w:rFonts w:hint="eastAsia" w:ascii="宋体" w:hAnsi="宋体" w:eastAsia="宋体" w:cs="宋体"/>
          <w:sz w:val="24"/>
          <w:highlight w:val="none"/>
        </w:rPr>
      </w:pPr>
    </w:p>
    <w:p w14:paraId="5B9D16F5">
      <w:pPr>
        <w:spacing w:line="360" w:lineRule="auto"/>
        <w:ind w:firstLine="480" w:firstLineChars="200"/>
        <w:jc w:val="left"/>
        <w:rPr>
          <w:rFonts w:hint="eastAsia" w:ascii="宋体" w:hAnsi="宋体" w:eastAsia="宋体" w:cs="宋体"/>
          <w:sz w:val="24"/>
          <w:highlight w:val="none"/>
        </w:rPr>
      </w:pPr>
    </w:p>
    <w:p w14:paraId="79F35FD4">
      <w:pPr>
        <w:pStyle w:val="3"/>
        <w:rPr>
          <w:rFonts w:hint="eastAsia" w:ascii="宋体" w:hAnsi="宋体" w:eastAsia="宋体" w:cs="宋体"/>
          <w:sz w:val="24"/>
          <w:highlight w:val="none"/>
        </w:rPr>
      </w:pPr>
    </w:p>
    <w:p w14:paraId="73413604">
      <w:pPr>
        <w:rPr>
          <w:rFonts w:hint="eastAsia"/>
        </w:rPr>
      </w:pPr>
    </w:p>
    <w:p w14:paraId="6A22430F">
      <w:pPr>
        <w:spacing w:line="360" w:lineRule="auto"/>
        <w:ind w:firstLine="480" w:firstLineChars="200"/>
        <w:jc w:val="left"/>
        <w:rPr>
          <w:rFonts w:hint="eastAsia" w:ascii="宋体" w:hAnsi="宋体" w:eastAsia="宋体" w:cs="宋体"/>
          <w:sz w:val="24"/>
          <w:highlight w:val="none"/>
        </w:rPr>
      </w:pPr>
    </w:p>
    <w:p w14:paraId="6D4352F2">
      <w:pPr>
        <w:spacing w:line="360" w:lineRule="auto"/>
        <w:ind w:firstLine="480" w:firstLineChars="200"/>
        <w:jc w:val="left"/>
        <w:rPr>
          <w:rFonts w:hint="eastAsia" w:ascii="宋体" w:hAnsi="宋体" w:eastAsia="宋体" w:cs="宋体"/>
          <w:sz w:val="24"/>
          <w:highlight w:val="none"/>
        </w:rPr>
      </w:pPr>
    </w:p>
    <w:p w14:paraId="71B975AF">
      <w:pPr>
        <w:spacing w:line="360" w:lineRule="auto"/>
        <w:ind w:firstLine="480" w:firstLineChars="200"/>
        <w:jc w:val="left"/>
        <w:rPr>
          <w:rFonts w:hint="eastAsia" w:ascii="宋体" w:hAnsi="宋体" w:eastAsia="宋体" w:cs="宋体"/>
          <w:sz w:val="24"/>
          <w:highlight w:val="none"/>
        </w:rPr>
      </w:pPr>
    </w:p>
    <w:p w14:paraId="330BABE5">
      <w:pPr>
        <w:spacing w:line="360" w:lineRule="auto"/>
        <w:ind w:firstLine="480" w:firstLineChars="200"/>
        <w:jc w:val="left"/>
        <w:rPr>
          <w:rFonts w:hint="eastAsia" w:ascii="宋体" w:hAnsi="宋体" w:eastAsia="宋体" w:cs="宋体"/>
          <w:sz w:val="24"/>
          <w:highlight w:val="none"/>
        </w:rPr>
      </w:pPr>
    </w:p>
    <w:p w14:paraId="1E298D3C">
      <w:pPr>
        <w:spacing w:line="360" w:lineRule="auto"/>
        <w:ind w:firstLine="480" w:firstLineChars="200"/>
        <w:jc w:val="left"/>
        <w:rPr>
          <w:rFonts w:hint="eastAsia" w:ascii="宋体" w:hAnsi="宋体" w:eastAsia="宋体" w:cs="宋体"/>
          <w:sz w:val="24"/>
          <w:highlight w:val="none"/>
        </w:rPr>
      </w:pPr>
    </w:p>
    <w:p w14:paraId="7E98FAA4">
      <w:pPr>
        <w:pStyle w:val="3"/>
        <w:rPr>
          <w:rFonts w:hint="eastAsia" w:ascii="宋体" w:hAnsi="宋体" w:eastAsia="宋体" w:cs="宋体"/>
          <w:sz w:val="24"/>
          <w:highlight w:val="none"/>
        </w:rPr>
      </w:pPr>
    </w:p>
    <w:p w14:paraId="2B8098B7">
      <w:pPr>
        <w:rPr>
          <w:rFonts w:hint="eastAsia" w:ascii="宋体" w:hAnsi="宋体" w:eastAsia="宋体" w:cs="宋体"/>
          <w:sz w:val="24"/>
          <w:highlight w:val="none"/>
        </w:rPr>
      </w:pPr>
    </w:p>
    <w:p w14:paraId="77A5AAB8">
      <w:pPr>
        <w:pStyle w:val="3"/>
        <w:rPr>
          <w:rFonts w:hint="eastAsia"/>
        </w:rPr>
      </w:pPr>
    </w:p>
    <w:p w14:paraId="74CD23E3">
      <w:pPr>
        <w:spacing w:line="360" w:lineRule="auto"/>
        <w:ind w:firstLine="480" w:firstLineChars="200"/>
        <w:jc w:val="left"/>
        <w:rPr>
          <w:rFonts w:hint="eastAsia" w:ascii="宋体" w:hAnsi="宋体" w:eastAsia="宋体" w:cs="宋体"/>
          <w:sz w:val="24"/>
          <w:highlight w:val="none"/>
        </w:rPr>
      </w:pPr>
    </w:p>
    <w:p w14:paraId="6DBB48FA">
      <w:pPr>
        <w:adjustRightInd w:val="0"/>
        <w:snapToGrid w:val="0"/>
        <w:spacing w:line="500" w:lineRule="exact"/>
        <w:ind w:firstLine="3480" w:firstLineChars="1450"/>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法定代表人或被授权人签字</w:t>
      </w:r>
      <w:r>
        <w:rPr>
          <w:rFonts w:hint="eastAsia" w:ascii="宋体" w:hAnsi="宋体" w:eastAsia="宋体" w:cs="宋体"/>
          <w:sz w:val="24"/>
          <w:highlight w:val="none"/>
          <w:u w:val="none"/>
        </w:rPr>
        <w:t>：</w:t>
      </w:r>
      <w:r>
        <w:rPr>
          <w:rFonts w:hint="eastAsia" w:ascii="宋体" w:hAnsi="宋体" w:eastAsia="宋体" w:cs="宋体"/>
          <w:sz w:val="24"/>
          <w:highlight w:val="none"/>
          <w:u w:val="single"/>
          <w:lang w:val="en-US" w:eastAsia="zh-CN"/>
        </w:rPr>
        <w:t xml:space="preserve">             </w:t>
      </w:r>
    </w:p>
    <w:p w14:paraId="52020C8A">
      <w:pPr>
        <w:adjustRightInd w:val="0"/>
        <w:snapToGrid w:val="0"/>
        <w:spacing w:line="500" w:lineRule="exact"/>
        <w:ind w:firstLine="3480" w:firstLineChars="1450"/>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职务</w:t>
      </w:r>
      <w:r>
        <w:rPr>
          <w:rFonts w:hint="eastAsia" w:ascii="宋体" w:hAnsi="宋体" w:eastAsia="宋体" w:cs="宋体"/>
          <w:sz w:val="24"/>
          <w:highlight w:val="none"/>
          <w:u w:val="none"/>
        </w:rPr>
        <w:t>：</w:t>
      </w:r>
      <w:r>
        <w:rPr>
          <w:rFonts w:hint="eastAsia" w:ascii="宋体" w:hAnsi="宋体" w:eastAsia="宋体" w:cs="宋体"/>
          <w:sz w:val="24"/>
          <w:highlight w:val="none"/>
          <w:u w:val="single"/>
          <w:lang w:val="en-US" w:eastAsia="zh-CN"/>
        </w:rPr>
        <w:t xml:space="preserve">                                 </w:t>
      </w:r>
    </w:p>
    <w:p w14:paraId="06F3D0A8">
      <w:pPr>
        <w:adjustRightInd w:val="0"/>
        <w:snapToGrid w:val="0"/>
        <w:spacing w:line="500" w:lineRule="exact"/>
        <w:ind w:firstLine="3480" w:firstLineChars="1450"/>
        <w:rPr>
          <w:rFonts w:hint="eastAsia" w:ascii="宋体" w:hAnsi="宋体" w:eastAsia="宋体" w:cs="宋体"/>
          <w:sz w:val="24"/>
          <w:highlight w:val="none"/>
          <w:lang w:val="en-US" w:eastAsia="zh-CN"/>
        </w:rPr>
      </w:pPr>
      <w:r>
        <w:rPr>
          <w:rFonts w:hint="eastAsia" w:ascii="宋体" w:hAnsi="宋体" w:eastAsia="宋体" w:cs="宋体"/>
          <w:sz w:val="24"/>
          <w:highlight w:val="none"/>
        </w:rPr>
        <w:t>承诺方名称（公章）：</w:t>
      </w:r>
      <w:r>
        <w:rPr>
          <w:rFonts w:hint="eastAsia" w:ascii="宋体" w:hAnsi="宋体" w:eastAsia="宋体" w:cs="宋体"/>
          <w:sz w:val="24"/>
          <w:highlight w:val="none"/>
          <w:u w:val="single"/>
          <w:lang w:val="en-US" w:eastAsia="zh-CN"/>
        </w:rPr>
        <w:t xml:space="preserve">                   </w:t>
      </w:r>
    </w:p>
    <w:p w14:paraId="4C5B7BAE">
      <w:pPr>
        <w:adjustRightInd w:val="0"/>
        <w:snapToGrid w:val="0"/>
        <w:spacing w:line="500" w:lineRule="exact"/>
        <w:ind w:firstLine="3480" w:firstLineChars="1450"/>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年     月     日</w:t>
      </w:r>
    </w:p>
    <w:p w14:paraId="4EA6226A">
      <w:pPr>
        <w:pStyle w:val="3"/>
        <w:jc w:val="center"/>
        <w:rPr>
          <w:rFonts w:hint="eastAsia" w:ascii="宋体" w:hAnsi="宋体" w:eastAsia="宋体" w:cs="宋体"/>
          <w:color w:val="0D0D0D"/>
          <w:highlight w:val="none"/>
        </w:rPr>
      </w:pPr>
      <w:r>
        <w:rPr>
          <w:rFonts w:hint="eastAsia" w:ascii="宋体" w:hAnsi="宋体" w:eastAsia="宋体" w:cs="宋体"/>
          <w:highlight w:val="none"/>
        </w:rPr>
        <w:br w:type="page"/>
      </w:r>
      <w:bookmarkEnd w:id="572"/>
      <w:bookmarkEnd w:id="573"/>
      <w:bookmarkEnd w:id="574"/>
      <w:bookmarkEnd w:id="575"/>
      <w:bookmarkEnd w:id="576"/>
      <w:bookmarkEnd w:id="585"/>
      <w:bookmarkEnd w:id="586"/>
      <w:bookmarkStart w:id="588" w:name="_Toc22476"/>
      <w:bookmarkStart w:id="589" w:name="_Toc389731563"/>
      <w:bookmarkStart w:id="590" w:name="_Toc149714231"/>
      <w:bookmarkStart w:id="591" w:name="_Toc390078455"/>
      <w:bookmarkStart w:id="592" w:name="_Toc390084421"/>
      <w:bookmarkStart w:id="593" w:name="_Toc139343643"/>
      <w:bookmarkStart w:id="594" w:name="_Toc229198106"/>
      <w:bookmarkStart w:id="595" w:name="_Toc274816752"/>
      <w:bookmarkStart w:id="596" w:name="_Toc396597566"/>
      <w:bookmarkStart w:id="597" w:name="_Toc390084897"/>
      <w:bookmarkStart w:id="598" w:name="_Toc390084961"/>
      <w:bookmarkStart w:id="599" w:name="_Toc91477351"/>
      <w:r>
        <w:rPr>
          <w:rFonts w:hint="eastAsia" w:ascii="宋体" w:hAnsi="宋体" w:cs="宋体"/>
          <w:highlight w:val="none"/>
          <w:lang w:val="en-US" w:eastAsia="zh-CN"/>
        </w:rPr>
        <w:t>九</w:t>
      </w:r>
      <w:r>
        <w:rPr>
          <w:rFonts w:hint="eastAsia" w:ascii="宋体" w:hAnsi="宋体" w:eastAsia="宋体" w:cs="宋体"/>
          <w:color w:val="0D0D0D"/>
          <w:highlight w:val="none"/>
        </w:rPr>
        <w:t>、</w:t>
      </w:r>
      <w:bookmarkEnd w:id="588"/>
      <w:r>
        <w:rPr>
          <w:rFonts w:hint="eastAsia" w:ascii="宋体" w:hAnsi="宋体" w:eastAsia="宋体" w:cs="宋体"/>
          <w:color w:val="0D0D0D"/>
          <w:highlight w:val="none"/>
        </w:rPr>
        <w:t>近三年</w:t>
      </w:r>
      <w:r>
        <w:rPr>
          <w:rFonts w:hint="eastAsia" w:ascii="宋体" w:hAnsi="宋体" w:cs="宋体"/>
          <w:color w:val="0D0D0D"/>
          <w:highlight w:val="none"/>
          <w:lang w:eastAsia="zh-CN"/>
        </w:rPr>
        <w:t>（</w:t>
      </w:r>
      <w:r>
        <w:rPr>
          <w:rFonts w:hint="eastAsia" w:ascii="宋体" w:hAnsi="宋体" w:cs="宋体"/>
          <w:color w:val="0D0D0D"/>
          <w:highlight w:val="none"/>
          <w:lang w:val="en-US" w:eastAsia="zh-CN"/>
        </w:rPr>
        <w:t>2022年8月1日至今</w:t>
      </w:r>
      <w:r>
        <w:rPr>
          <w:rFonts w:hint="eastAsia" w:ascii="宋体" w:hAnsi="宋体" w:cs="宋体"/>
          <w:color w:val="0D0D0D"/>
          <w:highlight w:val="none"/>
          <w:lang w:eastAsia="zh-CN"/>
        </w:rPr>
        <w:t>）</w:t>
      </w:r>
      <w:r>
        <w:rPr>
          <w:rFonts w:hint="eastAsia" w:ascii="宋体" w:hAnsi="宋体" w:eastAsia="宋体" w:cs="宋体"/>
          <w:color w:val="0D0D0D"/>
          <w:highlight w:val="none"/>
        </w:rPr>
        <w:t>已完成或在执行类似项目一览表</w:t>
      </w:r>
    </w:p>
    <w:p w14:paraId="54AB4CF3">
      <w:pPr>
        <w:jc w:val="center"/>
        <w:rPr>
          <w:rFonts w:hint="eastAsia" w:ascii="宋体" w:hAnsi="宋体" w:eastAsia="宋体" w:cs="宋体"/>
          <w:b/>
          <w:sz w:val="24"/>
          <w:highlight w:val="none"/>
        </w:rPr>
      </w:pPr>
      <w:r>
        <w:rPr>
          <w:rFonts w:hint="eastAsia" w:ascii="宋体" w:hAnsi="宋体" w:eastAsia="宋体" w:cs="宋体"/>
          <w:b/>
          <w:sz w:val="24"/>
          <w:highlight w:val="none"/>
        </w:rPr>
        <w:t>（无业绩者不提交此项）</w:t>
      </w:r>
    </w:p>
    <w:p w14:paraId="0377ABB8">
      <w:pPr>
        <w:adjustRightInd w:val="0"/>
        <w:snapToGrid w:val="0"/>
        <w:spacing w:line="600" w:lineRule="exact"/>
        <w:ind w:left="3360" w:firstLine="2400" w:firstLineChars="1000"/>
        <w:rPr>
          <w:rFonts w:hint="eastAsia" w:ascii="宋体" w:hAnsi="宋体" w:eastAsia="宋体" w:cs="宋体"/>
          <w:sz w:val="24"/>
          <w:highlight w:val="none"/>
        </w:rPr>
      </w:pPr>
      <w:r>
        <w:rPr>
          <w:rFonts w:hint="eastAsia" w:ascii="宋体" w:hAnsi="宋体" w:eastAsia="宋体" w:cs="宋体"/>
          <w:sz w:val="24"/>
          <w:highlight w:val="none"/>
        </w:rPr>
        <w:t>价格单位：人民币/万元</w:t>
      </w: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9"/>
        <w:gridCol w:w="1082"/>
        <w:gridCol w:w="1501"/>
        <w:gridCol w:w="1388"/>
        <w:gridCol w:w="1267"/>
        <w:gridCol w:w="1276"/>
        <w:gridCol w:w="1418"/>
      </w:tblGrid>
      <w:tr w14:paraId="147D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3" w:hRule="atLeast"/>
          <w:jc w:val="center"/>
        </w:trPr>
        <w:tc>
          <w:tcPr>
            <w:tcW w:w="619" w:type="dxa"/>
            <w:noWrap w:val="0"/>
            <w:vAlign w:val="center"/>
          </w:tcPr>
          <w:p w14:paraId="528293F7">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082" w:type="dxa"/>
            <w:noWrap w:val="0"/>
            <w:vAlign w:val="center"/>
          </w:tcPr>
          <w:p w14:paraId="2E6B4DE0">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501" w:type="dxa"/>
            <w:noWrap w:val="0"/>
            <w:vAlign w:val="center"/>
          </w:tcPr>
          <w:p w14:paraId="4B4546D7">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项目内容</w:t>
            </w:r>
          </w:p>
          <w:p w14:paraId="5F05FD64">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（类似项目）</w:t>
            </w:r>
          </w:p>
        </w:tc>
        <w:tc>
          <w:tcPr>
            <w:tcW w:w="1388" w:type="dxa"/>
            <w:tcBorders>
              <w:left w:val="single" w:color="auto" w:sz="4" w:space="0"/>
              <w:right w:val="single" w:color="auto" w:sz="4" w:space="0"/>
            </w:tcBorders>
            <w:noWrap w:val="0"/>
            <w:vAlign w:val="center"/>
          </w:tcPr>
          <w:p w14:paraId="1A719B88">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267" w:type="dxa"/>
            <w:tcBorders>
              <w:left w:val="single" w:color="auto" w:sz="4" w:space="0"/>
            </w:tcBorders>
            <w:noWrap w:val="0"/>
            <w:vAlign w:val="center"/>
          </w:tcPr>
          <w:p w14:paraId="49F9E03A">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已结算金额</w:t>
            </w:r>
          </w:p>
        </w:tc>
        <w:tc>
          <w:tcPr>
            <w:tcW w:w="1276" w:type="dxa"/>
            <w:noWrap w:val="0"/>
            <w:vAlign w:val="center"/>
          </w:tcPr>
          <w:p w14:paraId="06C04387">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完成日期</w:t>
            </w:r>
          </w:p>
        </w:tc>
        <w:tc>
          <w:tcPr>
            <w:tcW w:w="1418" w:type="dxa"/>
            <w:noWrap w:val="0"/>
            <w:vAlign w:val="center"/>
          </w:tcPr>
          <w:p w14:paraId="53F626DD">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采购人联系电话</w:t>
            </w:r>
          </w:p>
        </w:tc>
      </w:tr>
      <w:tr w14:paraId="44366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0FFE0E59">
            <w:pPr>
              <w:adjustRightInd w:val="0"/>
              <w:snapToGrid w:val="0"/>
              <w:jc w:val="center"/>
              <w:rPr>
                <w:rFonts w:hint="eastAsia" w:ascii="宋体" w:hAnsi="宋体" w:eastAsia="宋体" w:cs="宋体"/>
                <w:sz w:val="24"/>
                <w:highlight w:val="none"/>
              </w:rPr>
            </w:pPr>
          </w:p>
        </w:tc>
        <w:tc>
          <w:tcPr>
            <w:tcW w:w="1082" w:type="dxa"/>
            <w:noWrap w:val="0"/>
            <w:vAlign w:val="center"/>
          </w:tcPr>
          <w:p w14:paraId="627AD0DB">
            <w:pPr>
              <w:adjustRightInd w:val="0"/>
              <w:snapToGrid w:val="0"/>
              <w:jc w:val="center"/>
              <w:rPr>
                <w:rFonts w:hint="eastAsia" w:ascii="宋体" w:hAnsi="宋体" w:eastAsia="宋体" w:cs="宋体"/>
                <w:sz w:val="24"/>
                <w:highlight w:val="none"/>
              </w:rPr>
            </w:pPr>
          </w:p>
        </w:tc>
        <w:tc>
          <w:tcPr>
            <w:tcW w:w="1501" w:type="dxa"/>
            <w:noWrap w:val="0"/>
            <w:vAlign w:val="center"/>
          </w:tcPr>
          <w:p w14:paraId="6253C4B5">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66C2EDFD">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7D7C55B8">
            <w:pPr>
              <w:adjustRightInd w:val="0"/>
              <w:snapToGrid w:val="0"/>
              <w:jc w:val="center"/>
              <w:rPr>
                <w:rFonts w:hint="eastAsia" w:ascii="宋体" w:hAnsi="宋体" w:eastAsia="宋体" w:cs="宋体"/>
                <w:sz w:val="24"/>
                <w:highlight w:val="none"/>
              </w:rPr>
            </w:pPr>
          </w:p>
        </w:tc>
        <w:tc>
          <w:tcPr>
            <w:tcW w:w="1276" w:type="dxa"/>
            <w:noWrap w:val="0"/>
            <w:vAlign w:val="center"/>
          </w:tcPr>
          <w:p w14:paraId="6632E49D">
            <w:pPr>
              <w:adjustRightInd w:val="0"/>
              <w:snapToGrid w:val="0"/>
              <w:jc w:val="center"/>
              <w:rPr>
                <w:rFonts w:hint="eastAsia" w:ascii="宋体" w:hAnsi="宋体" w:eastAsia="宋体" w:cs="宋体"/>
                <w:sz w:val="24"/>
                <w:highlight w:val="none"/>
              </w:rPr>
            </w:pPr>
          </w:p>
        </w:tc>
        <w:tc>
          <w:tcPr>
            <w:tcW w:w="1418" w:type="dxa"/>
            <w:noWrap w:val="0"/>
            <w:vAlign w:val="center"/>
          </w:tcPr>
          <w:p w14:paraId="7CCB59FE">
            <w:pPr>
              <w:adjustRightInd w:val="0"/>
              <w:snapToGrid w:val="0"/>
              <w:jc w:val="center"/>
              <w:rPr>
                <w:rFonts w:hint="eastAsia" w:ascii="宋体" w:hAnsi="宋体" w:eastAsia="宋体" w:cs="宋体"/>
                <w:sz w:val="24"/>
                <w:highlight w:val="none"/>
              </w:rPr>
            </w:pPr>
          </w:p>
        </w:tc>
      </w:tr>
      <w:tr w14:paraId="2E9EE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77C4369E">
            <w:pPr>
              <w:adjustRightInd w:val="0"/>
              <w:snapToGrid w:val="0"/>
              <w:jc w:val="center"/>
              <w:rPr>
                <w:rFonts w:hint="eastAsia" w:ascii="宋体" w:hAnsi="宋体" w:eastAsia="宋体" w:cs="宋体"/>
                <w:sz w:val="24"/>
                <w:highlight w:val="none"/>
              </w:rPr>
            </w:pPr>
          </w:p>
        </w:tc>
        <w:tc>
          <w:tcPr>
            <w:tcW w:w="1082" w:type="dxa"/>
            <w:noWrap w:val="0"/>
            <w:vAlign w:val="center"/>
          </w:tcPr>
          <w:p w14:paraId="19FD414A">
            <w:pPr>
              <w:adjustRightInd w:val="0"/>
              <w:snapToGrid w:val="0"/>
              <w:jc w:val="center"/>
              <w:rPr>
                <w:rFonts w:hint="eastAsia" w:ascii="宋体" w:hAnsi="宋体" w:eastAsia="宋体" w:cs="宋体"/>
                <w:sz w:val="24"/>
                <w:highlight w:val="none"/>
              </w:rPr>
            </w:pPr>
          </w:p>
        </w:tc>
        <w:tc>
          <w:tcPr>
            <w:tcW w:w="1501" w:type="dxa"/>
            <w:noWrap w:val="0"/>
            <w:vAlign w:val="center"/>
          </w:tcPr>
          <w:p w14:paraId="549D17A7">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5BF3B6F8">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53585993">
            <w:pPr>
              <w:adjustRightInd w:val="0"/>
              <w:snapToGrid w:val="0"/>
              <w:jc w:val="center"/>
              <w:rPr>
                <w:rFonts w:hint="eastAsia" w:ascii="宋体" w:hAnsi="宋体" w:eastAsia="宋体" w:cs="宋体"/>
                <w:sz w:val="24"/>
                <w:highlight w:val="none"/>
              </w:rPr>
            </w:pPr>
          </w:p>
        </w:tc>
        <w:tc>
          <w:tcPr>
            <w:tcW w:w="1276" w:type="dxa"/>
            <w:noWrap w:val="0"/>
            <w:vAlign w:val="center"/>
          </w:tcPr>
          <w:p w14:paraId="4D5D7CAC">
            <w:pPr>
              <w:adjustRightInd w:val="0"/>
              <w:snapToGrid w:val="0"/>
              <w:jc w:val="center"/>
              <w:rPr>
                <w:rFonts w:hint="eastAsia" w:ascii="宋体" w:hAnsi="宋体" w:eastAsia="宋体" w:cs="宋体"/>
                <w:sz w:val="24"/>
                <w:highlight w:val="none"/>
              </w:rPr>
            </w:pPr>
          </w:p>
        </w:tc>
        <w:tc>
          <w:tcPr>
            <w:tcW w:w="1418" w:type="dxa"/>
            <w:noWrap w:val="0"/>
            <w:vAlign w:val="center"/>
          </w:tcPr>
          <w:p w14:paraId="55A5907E">
            <w:pPr>
              <w:adjustRightInd w:val="0"/>
              <w:snapToGrid w:val="0"/>
              <w:jc w:val="center"/>
              <w:rPr>
                <w:rFonts w:hint="eastAsia" w:ascii="宋体" w:hAnsi="宋体" w:eastAsia="宋体" w:cs="宋体"/>
                <w:sz w:val="24"/>
                <w:highlight w:val="none"/>
              </w:rPr>
            </w:pPr>
          </w:p>
        </w:tc>
      </w:tr>
      <w:tr w14:paraId="303A8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067E09E7">
            <w:pPr>
              <w:adjustRightInd w:val="0"/>
              <w:snapToGrid w:val="0"/>
              <w:jc w:val="center"/>
              <w:rPr>
                <w:rFonts w:hint="eastAsia" w:ascii="宋体" w:hAnsi="宋体" w:eastAsia="宋体" w:cs="宋体"/>
                <w:sz w:val="24"/>
                <w:highlight w:val="none"/>
              </w:rPr>
            </w:pPr>
          </w:p>
        </w:tc>
        <w:tc>
          <w:tcPr>
            <w:tcW w:w="1082" w:type="dxa"/>
            <w:noWrap w:val="0"/>
            <w:vAlign w:val="center"/>
          </w:tcPr>
          <w:p w14:paraId="12D4863A">
            <w:pPr>
              <w:adjustRightInd w:val="0"/>
              <w:snapToGrid w:val="0"/>
              <w:jc w:val="center"/>
              <w:rPr>
                <w:rFonts w:hint="eastAsia" w:ascii="宋体" w:hAnsi="宋体" w:eastAsia="宋体" w:cs="宋体"/>
                <w:sz w:val="24"/>
                <w:highlight w:val="none"/>
              </w:rPr>
            </w:pPr>
          </w:p>
        </w:tc>
        <w:tc>
          <w:tcPr>
            <w:tcW w:w="1501" w:type="dxa"/>
            <w:noWrap w:val="0"/>
            <w:vAlign w:val="center"/>
          </w:tcPr>
          <w:p w14:paraId="1C47ECFC">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3729E298">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0F5214D5">
            <w:pPr>
              <w:adjustRightInd w:val="0"/>
              <w:snapToGrid w:val="0"/>
              <w:jc w:val="center"/>
              <w:rPr>
                <w:rFonts w:hint="eastAsia" w:ascii="宋体" w:hAnsi="宋体" w:eastAsia="宋体" w:cs="宋体"/>
                <w:sz w:val="24"/>
                <w:highlight w:val="none"/>
              </w:rPr>
            </w:pPr>
          </w:p>
        </w:tc>
        <w:tc>
          <w:tcPr>
            <w:tcW w:w="1276" w:type="dxa"/>
            <w:noWrap w:val="0"/>
            <w:vAlign w:val="center"/>
          </w:tcPr>
          <w:p w14:paraId="63B12055">
            <w:pPr>
              <w:adjustRightInd w:val="0"/>
              <w:snapToGrid w:val="0"/>
              <w:jc w:val="center"/>
              <w:rPr>
                <w:rFonts w:hint="eastAsia" w:ascii="宋体" w:hAnsi="宋体" w:eastAsia="宋体" w:cs="宋体"/>
                <w:sz w:val="24"/>
                <w:highlight w:val="none"/>
              </w:rPr>
            </w:pPr>
          </w:p>
        </w:tc>
        <w:tc>
          <w:tcPr>
            <w:tcW w:w="1418" w:type="dxa"/>
            <w:noWrap w:val="0"/>
            <w:vAlign w:val="center"/>
          </w:tcPr>
          <w:p w14:paraId="0B0A20D1">
            <w:pPr>
              <w:adjustRightInd w:val="0"/>
              <w:snapToGrid w:val="0"/>
              <w:jc w:val="center"/>
              <w:rPr>
                <w:rFonts w:hint="eastAsia" w:ascii="宋体" w:hAnsi="宋体" w:eastAsia="宋体" w:cs="宋体"/>
                <w:sz w:val="24"/>
                <w:highlight w:val="none"/>
              </w:rPr>
            </w:pPr>
          </w:p>
        </w:tc>
      </w:tr>
      <w:tr w14:paraId="3F0BF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60997F74">
            <w:pPr>
              <w:adjustRightInd w:val="0"/>
              <w:snapToGrid w:val="0"/>
              <w:jc w:val="center"/>
              <w:rPr>
                <w:rFonts w:hint="eastAsia" w:ascii="宋体" w:hAnsi="宋体" w:eastAsia="宋体" w:cs="宋体"/>
                <w:sz w:val="24"/>
                <w:highlight w:val="none"/>
              </w:rPr>
            </w:pPr>
          </w:p>
        </w:tc>
        <w:tc>
          <w:tcPr>
            <w:tcW w:w="1082" w:type="dxa"/>
            <w:noWrap w:val="0"/>
            <w:vAlign w:val="center"/>
          </w:tcPr>
          <w:p w14:paraId="26A08681">
            <w:pPr>
              <w:adjustRightInd w:val="0"/>
              <w:snapToGrid w:val="0"/>
              <w:jc w:val="center"/>
              <w:rPr>
                <w:rFonts w:hint="eastAsia" w:ascii="宋体" w:hAnsi="宋体" w:eastAsia="宋体" w:cs="宋体"/>
                <w:sz w:val="24"/>
                <w:highlight w:val="none"/>
              </w:rPr>
            </w:pPr>
          </w:p>
        </w:tc>
        <w:tc>
          <w:tcPr>
            <w:tcW w:w="1501" w:type="dxa"/>
            <w:noWrap w:val="0"/>
            <w:vAlign w:val="center"/>
          </w:tcPr>
          <w:p w14:paraId="6152A2CE">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5B8CFD5F">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0E588DD8">
            <w:pPr>
              <w:adjustRightInd w:val="0"/>
              <w:snapToGrid w:val="0"/>
              <w:jc w:val="center"/>
              <w:rPr>
                <w:rFonts w:hint="eastAsia" w:ascii="宋体" w:hAnsi="宋体" w:eastAsia="宋体" w:cs="宋体"/>
                <w:sz w:val="24"/>
                <w:highlight w:val="none"/>
              </w:rPr>
            </w:pPr>
          </w:p>
        </w:tc>
        <w:tc>
          <w:tcPr>
            <w:tcW w:w="1276" w:type="dxa"/>
            <w:noWrap w:val="0"/>
            <w:vAlign w:val="center"/>
          </w:tcPr>
          <w:p w14:paraId="7A6420C2">
            <w:pPr>
              <w:adjustRightInd w:val="0"/>
              <w:snapToGrid w:val="0"/>
              <w:jc w:val="center"/>
              <w:rPr>
                <w:rFonts w:hint="eastAsia" w:ascii="宋体" w:hAnsi="宋体" w:eastAsia="宋体" w:cs="宋体"/>
                <w:sz w:val="24"/>
                <w:highlight w:val="none"/>
              </w:rPr>
            </w:pPr>
          </w:p>
        </w:tc>
        <w:tc>
          <w:tcPr>
            <w:tcW w:w="1418" w:type="dxa"/>
            <w:noWrap w:val="0"/>
            <w:vAlign w:val="center"/>
          </w:tcPr>
          <w:p w14:paraId="30FC7D2C">
            <w:pPr>
              <w:adjustRightInd w:val="0"/>
              <w:snapToGrid w:val="0"/>
              <w:jc w:val="center"/>
              <w:rPr>
                <w:rFonts w:hint="eastAsia" w:ascii="宋体" w:hAnsi="宋体" w:eastAsia="宋体" w:cs="宋体"/>
                <w:sz w:val="24"/>
                <w:highlight w:val="none"/>
              </w:rPr>
            </w:pPr>
          </w:p>
        </w:tc>
      </w:tr>
      <w:tr w14:paraId="161E8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74633D80">
            <w:pPr>
              <w:adjustRightInd w:val="0"/>
              <w:snapToGrid w:val="0"/>
              <w:jc w:val="center"/>
              <w:rPr>
                <w:rFonts w:hint="eastAsia" w:ascii="宋体" w:hAnsi="宋体" w:eastAsia="宋体" w:cs="宋体"/>
                <w:sz w:val="24"/>
                <w:highlight w:val="none"/>
              </w:rPr>
            </w:pPr>
          </w:p>
        </w:tc>
        <w:tc>
          <w:tcPr>
            <w:tcW w:w="1082" w:type="dxa"/>
            <w:noWrap w:val="0"/>
            <w:vAlign w:val="center"/>
          </w:tcPr>
          <w:p w14:paraId="400FEC6A">
            <w:pPr>
              <w:adjustRightInd w:val="0"/>
              <w:snapToGrid w:val="0"/>
              <w:jc w:val="center"/>
              <w:rPr>
                <w:rFonts w:hint="eastAsia" w:ascii="宋体" w:hAnsi="宋体" w:eastAsia="宋体" w:cs="宋体"/>
                <w:sz w:val="24"/>
                <w:highlight w:val="none"/>
              </w:rPr>
            </w:pPr>
          </w:p>
        </w:tc>
        <w:tc>
          <w:tcPr>
            <w:tcW w:w="1501" w:type="dxa"/>
            <w:noWrap w:val="0"/>
            <w:vAlign w:val="center"/>
          </w:tcPr>
          <w:p w14:paraId="097840E9">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61B2972F">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438AB98C">
            <w:pPr>
              <w:adjustRightInd w:val="0"/>
              <w:snapToGrid w:val="0"/>
              <w:jc w:val="center"/>
              <w:rPr>
                <w:rFonts w:hint="eastAsia" w:ascii="宋体" w:hAnsi="宋体" w:eastAsia="宋体" w:cs="宋体"/>
                <w:sz w:val="24"/>
                <w:highlight w:val="none"/>
              </w:rPr>
            </w:pPr>
          </w:p>
        </w:tc>
        <w:tc>
          <w:tcPr>
            <w:tcW w:w="1276" w:type="dxa"/>
            <w:noWrap w:val="0"/>
            <w:vAlign w:val="center"/>
          </w:tcPr>
          <w:p w14:paraId="50122816">
            <w:pPr>
              <w:adjustRightInd w:val="0"/>
              <w:snapToGrid w:val="0"/>
              <w:jc w:val="center"/>
              <w:rPr>
                <w:rFonts w:hint="eastAsia" w:ascii="宋体" w:hAnsi="宋体" w:eastAsia="宋体" w:cs="宋体"/>
                <w:sz w:val="24"/>
                <w:highlight w:val="none"/>
              </w:rPr>
            </w:pPr>
          </w:p>
        </w:tc>
        <w:tc>
          <w:tcPr>
            <w:tcW w:w="1418" w:type="dxa"/>
            <w:noWrap w:val="0"/>
            <w:vAlign w:val="center"/>
          </w:tcPr>
          <w:p w14:paraId="53DA7AD9">
            <w:pPr>
              <w:adjustRightInd w:val="0"/>
              <w:snapToGrid w:val="0"/>
              <w:jc w:val="center"/>
              <w:rPr>
                <w:rFonts w:hint="eastAsia" w:ascii="宋体" w:hAnsi="宋体" w:eastAsia="宋体" w:cs="宋体"/>
                <w:sz w:val="24"/>
                <w:highlight w:val="none"/>
              </w:rPr>
            </w:pPr>
          </w:p>
        </w:tc>
      </w:tr>
      <w:tr w14:paraId="649B6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294B443E">
            <w:pPr>
              <w:adjustRightInd w:val="0"/>
              <w:snapToGrid w:val="0"/>
              <w:jc w:val="center"/>
              <w:rPr>
                <w:rFonts w:hint="eastAsia" w:ascii="宋体" w:hAnsi="宋体" w:eastAsia="宋体" w:cs="宋体"/>
                <w:sz w:val="24"/>
                <w:highlight w:val="none"/>
              </w:rPr>
            </w:pPr>
          </w:p>
        </w:tc>
        <w:tc>
          <w:tcPr>
            <w:tcW w:w="1082" w:type="dxa"/>
            <w:noWrap w:val="0"/>
            <w:vAlign w:val="center"/>
          </w:tcPr>
          <w:p w14:paraId="6933A8E7">
            <w:pPr>
              <w:adjustRightInd w:val="0"/>
              <w:snapToGrid w:val="0"/>
              <w:jc w:val="center"/>
              <w:rPr>
                <w:rFonts w:hint="eastAsia" w:ascii="宋体" w:hAnsi="宋体" w:eastAsia="宋体" w:cs="宋体"/>
                <w:sz w:val="24"/>
                <w:highlight w:val="none"/>
              </w:rPr>
            </w:pPr>
          </w:p>
        </w:tc>
        <w:tc>
          <w:tcPr>
            <w:tcW w:w="1501" w:type="dxa"/>
            <w:noWrap w:val="0"/>
            <w:vAlign w:val="center"/>
          </w:tcPr>
          <w:p w14:paraId="54E07B62">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2715CB1E">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3A237A1F">
            <w:pPr>
              <w:adjustRightInd w:val="0"/>
              <w:snapToGrid w:val="0"/>
              <w:jc w:val="center"/>
              <w:rPr>
                <w:rFonts w:hint="eastAsia" w:ascii="宋体" w:hAnsi="宋体" w:eastAsia="宋体" w:cs="宋体"/>
                <w:sz w:val="24"/>
                <w:highlight w:val="none"/>
              </w:rPr>
            </w:pPr>
          </w:p>
        </w:tc>
        <w:tc>
          <w:tcPr>
            <w:tcW w:w="1276" w:type="dxa"/>
            <w:noWrap w:val="0"/>
            <w:vAlign w:val="center"/>
          </w:tcPr>
          <w:p w14:paraId="0C6E2A11">
            <w:pPr>
              <w:adjustRightInd w:val="0"/>
              <w:snapToGrid w:val="0"/>
              <w:jc w:val="center"/>
              <w:rPr>
                <w:rFonts w:hint="eastAsia" w:ascii="宋体" w:hAnsi="宋体" w:eastAsia="宋体" w:cs="宋体"/>
                <w:sz w:val="24"/>
                <w:highlight w:val="none"/>
              </w:rPr>
            </w:pPr>
          </w:p>
        </w:tc>
        <w:tc>
          <w:tcPr>
            <w:tcW w:w="1418" w:type="dxa"/>
            <w:noWrap w:val="0"/>
            <w:vAlign w:val="center"/>
          </w:tcPr>
          <w:p w14:paraId="0AB0171B">
            <w:pPr>
              <w:adjustRightInd w:val="0"/>
              <w:snapToGrid w:val="0"/>
              <w:jc w:val="center"/>
              <w:rPr>
                <w:rFonts w:hint="eastAsia" w:ascii="宋体" w:hAnsi="宋体" w:eastAsia="宋体" w:cs="宋体"/>
                <w:sz w:val="24"/>
                <w:highlight w:val="none"/>
              </w:rPr>
            </w:pPr>
          </w:p>
        </w:tc>
      </w:tr>
      <w:tr w14:paraId="5A6C5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47D714C9">
            <w:pPr>
              <w:adjustRightInd w:val="0"/>
              <w:snapToGrid w:val="0"/>
              <w:jc w:val="center"/>
              <w:rPr>
                <w:rFonts w:hint="eastAsia" w:ascii="宋体" w:hAnsi="宋体" w:eastAsia="宋体" w:cs="宋体"/>
                <w:sz w:val="24"/>
                <w:highlight w:val="none"/>
              </w:rPr>
            </w:pPr>
          </w:p>
        </w:tc>
        <w:tc>
          <w:tcPr>
            <w:tcW w:w="1082" w:type="dxa"/>
            <w:noWrap w:val="0"/>
            <w:vAlign w:val="center"/>
          </w:tcPr>
          <w:p w14:paraId="339A7FAE">
            <w:pPr>
              <w:adjustRightInd w:val="0"/>
              <w:snapToGrid w:val="0"/>
              <w:jc w:val="center"/>
              <w:rPr>
                <w:rFonts w:hint="eastAsia" w:ascii="宋体" w:hAnsi="宋体" w:eastAsia="宋体" w:cs="宋体"/>
                <w:sz w:val="24"/>
                <w:highlight w:val="none"/>
              </w:rPr>
            </w:pPr>
          </w:p>
        </w:tc>
        <w:tc>
          <w:tcPr>
            <w:tcW w:w="1501" w:type="dxa"/>
            <w:noWrap w:val="0"/>
            <w:vAlign w:val="center"/>
          </w:tcPr>
          <w:p w14:paraId="56C85568">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01A9A998">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16EDD78F">
            <w:pPr>
              <w:adjustRightInd w:val="0"/>
              <w:snapToGrid w:val="0"/>
              <w:jc w:val="center"/>
              <w:rPr>
                <w:rFonts w:hint="eastAsia" w:ascii="宋体" w:hAnsi="宋体" w:eastAsia="宋体" w:cs="宋体"/>
                <w:sz w:val="24"/>
                <w:highlight w:val="none"/>
              </w:rPr>
            </w:pPr>
          </w:p>
        </w:tc>
        <w:tc>
          <w:tcPr>
            <w:tcW w:w="1276" w:type="dxa"/>
            <w:noWrap w:val="0"/>
            <w:vAlign w:val="center"/>
          </w:tcPr>
          <w:p w14:paraId="6709BA7E">
            <w:pPr>
              <w:adjustRightInd w:val="0"/>
              <w:snapToGrid w:val="0"/>
              <w:jc w:val="center"/>
              <w:rPr>
                <w:rFonts w:hint="eastAsia" w:ascii="宋体" w:hAnsi="宋体" w:eastAsia="宋体" w:cs="宋体"/>
                <w:sz w:val="24"/>
                <w:highlight w:val="none"/>
              </w:rPr>
            </w:pPr>
          </w:p>
        </w:tc>
        <w:tc>
          <w:tcPr>
            <w:tcW w:w="1418" w:type="dxa"/>
            <w:noWrap w:val="0"/>
            <w:vAlign w:val="center"/>
          </w:tcPr>
          <w:p w14:paraId="3C47327F">
            <w:pPr>
              <w:adjustRightInd w:val="0"/>
              <w:snapToGrid w:val="0"/>
              <w:jc w:val="center"/>
              <w:rPr>
                <w:rFonts w:hint="eastAsia" w:ascii="宋体" w:hAnsi="宋体" w:eastAsia="宋体" w:cs="宋体"/>
                <w:sz w:val="24"/>
                <w:highlight w:val="none"/>
              </w:rPr>
            </w:pPr>
          </w:p>
        </w:tc>
      </w:tr>
      <w:tr w14:paraId="31C18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149B712D">
            <w:pPr>
              <w:adjustRightInd w:val="0"/>
              <w:snapToGrid w:val="0"/>
              <w:jc w:val="center"/>
              <w:rPr>
                <w:rFonts w:hint="eastAsia" w:ascii="宋体" w:hAnsi="宋体" w:eastAsia="宋体" w:cs="宋体"/>
                <w:sz w:val="24"/>
                <w:highlight w:val="none"/>
              </w:rPr>
            </w:pPr>
          </w:p>
        </w:tc>
        <w:tc>
          <w:tcPr>
            <w:tcW w:w="1082" w:type="dxa"/>
            <w:noWrap w:val="0"/>
            <w:vAlign w:val="center"/>
          </w:tcPr>
          <w:p w14:paraId="60F718B1">
            <w:pPr>
              <w:adjustRightInd w:val="0"/>
              <w:snapToGrid w:val="0"/>
              <w:jc w:val="center"/>
              <w:rPr>
                <w:rFonts w:hint="eastAsia" w:ascii="宋体" w:hAnsi="宋体" w:eastAsia="宋体" w:cs="宋体"/>
                <w:sz w:val="24"/>
                <w:highlight w:val="none"/>
              </w:rPr>
            </w:pPr>
          </w:p>
        </w:tc>
        <w:tc>
          <w:tcPr>
            <w:tcW w:w="1501" w:type="dxa"/>
            <w:noWrap w:val="0"/>
            <w:vAlign w:val="center"/>
          </w:tcPr>
          <w:p w14:paraId="7437D3AF">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5D513BEF">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4AA4A30E">
            <w:pPr>
              <w:adjustRightInd w:val="0"/>
              <w:snapToGrid w:val="0"/>
              <w:jc w:val="center"/>
              <w:rPr>
                <w:rFonts w:hint="eastAsia" w:ascii="宋体" w:hAnsi="宋体" w:eastAsia="宋体" w:cs="宋体"/>
                <w:sz w:val="24"/>
                <w:highlight w:val="none"/>
              </w:rPr>
            </w:pPr>
          </w:p>
        </w:tc>
        <w:tc>
          <w:tcPr>
            <w:tcW w:w="1276" w:type="dxa"/>
            <w:noWrap w:val="0"/>
            <w:vAlign w:val="center"/>
          </w:tcPr>
          <w:p w14:paraId="39664DCE">
            <w:pPr>
              <w:adjustRightInd w:val="0"/>
              <w:snapToGrid w:val="0"/>
              <w:jc w:val="center"/>
              <w:rPr>
                <w:rFonts w:hint="eastAsia" w:ascii="宋体" w:hAnsi="宋体" w:eastAsia="宋体" w:cs="宋体"/>
                <w:sz w:val="24"/>
                <w:highlight w:val="none"/>
              </w:rPr>
            </w:pPr>
          </w:p>
        </w:tc>
        <w:tc>
          <w:tcPr>
            <w:tcW w:w="1418" w:type="dxa"/>
            <w:noWrap w:val="0"/>
            <w:vAlign w:val="center"/>
          </w:tcPr>
          <w:p w14:paraId="4E7FC701">
            <w:pPr>
              <w:adjustRightInd w:val="0"/>
              <w:snapToGrid w:val="0"/>
              <w:jc w:val="center"/>
              <w:rPr>
                <w:rFonts w:hint="eastAsia" w:ascii="宋体" w:hAnsi="宋体" w:eastAsia="宋体" w:cs="宋体"/>
                <w:sz w:val="24"/>
                <w:highlight w:val="none"/>
              </w:rPr>
            </w:pPr>
          </w:p>
        </w:tc>
      </w:tr>
      <w:tr w14:paraId="3688A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7E7EB1F1">
            <w:pPr>
              <w:adjustRightInd w:val="0"/>
              <w:snapToGrid w:val="0"/>
              <w:jc w:val="center"/>
              <w:rPr>
                <w:rFonts w:hint="eastAsia" w:ascii="宋体" w:hAnsi="宋体" w:eastAsia="宋体" w:cs="宋体"/>
                <w:sz w:val="24"/>
                <w:highlight w:val="none"/>
              </w:rPr>
            </w:pPr>
          </w:p>
        </w:tc>
        <w:tc>
          <w:tcPr>
            <w:tcW w:w="1082" w:type="dxa"/>
            <w:noWrap w:val="0"/>
            <w:vAlign w:val="center"/>
          </w:tcPr>
          <w:p w14:paraId="0C8676B4">
            <w:pPr>
              <w:adjustRightInd w:val="0"/>
              <w:snapToGrid w:val="0"/>
              <w:jc w:val="center"/>
              <w:rPr>
                <w:rFonts w:hint="eastAsia" w:ascii="宋体" w:hAnsi="宋体" w:eastAsia="宋体" w:cs="宋体"/>
                <w:sz w:val="24"/>
                <w:highlight w:val="none"/>
              </w:rPr>
            </w:pPr>
          </w:p>
        </w:tc>
        <w:tc>
          <w:tcPr>
            <w:tcW w:w="1501" w:type="dxa"/>
            <w:noWrap w:val="0"/>
            <w:vAlign w:val="center"/>
          </w:tcPr>
          <w:p w14:paraId="63864749">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514CED7C">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772D6D30">
            <w:pPr>
              <w:adjustRightInd w:val="0"/>
              <w:snapToGrid w:val="0"/>
              <w:jc w:val="center"/>
              <w:rPr>
                <w:rFonts w:hint="eastAsia" w:ascii="宋体" w:hAnsi="宋体" w:eastAsia="宋体" w:cs="宋体"/>
                <w:sz w:val="24"/>
                <w:highlight w:val="none"/>
              </w:rPr>
            </w:pPr>
          </w:p>
        </w:tc>
        <w:tc>
          <w:tcPr>
            <w:tcW w:w="1276" w:type="dxa"/>
            <w:noWrap w:val="0"/>
            <w:vAlign w:val="center"/>
          </w:tcPr>
          <w:p w14:paraId="5C886C33">
            <w:pPr>
              <w:adjustRightInd w:val="0"/>
              <w:snapToGrid w:val="0"/>
              <w:jc w:val="center"/>
              <w:rPr>
                <w:rFonts w:hint="eastAsia" w:ascii="宋体" w:hAnsi="宋体" w:eastAsia="宋体" w:cs="宋体"/>
                <w:sz w:val="24"/>
                <w:highlight w:val="none"/>
              </w:rPr>
            </w:pPr>
          </w:p>
        </w:tc>
        <w:tc>
          <w:tcPr>
            <w:tcW w:w="1418" w:type="dxa"/>
            <w:noWrap w:val="0"/>
            <w:vAlign w:val="center"/>
          </w:tcPr>
          <w:p w14:paraId="4E16E404">
            <w:pPr>
              <w:adjustRightInd w:val="0"/>
              <w:snapToGrid w:val="0"/>
              <w:jc w:val="center"/>
              <w:rPr>
                <w:rFonts w:hint="eastAsia" w:ascii="宋体" w:hAnsi="宋体" w:eastAsia="宋体" w:cs="宋体"/>
                <w:sz w:val="24"/>
                <w:highlight w:val="none"/>
              </w:rPr>
            </w:pPr>
          </w:p>
        </w:tc>
      </w:tr>
      <w:tr w14:paraId="607D0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380EB231">
            <w:pPr>
              <w:adjustRightInd w:val="0"/>
              <w:snapToGrid w:val="0"/>
              <w:jc w:val="center"/>
              <w:rPr>
                <w:rFonts w:hint="eastAsia" w:ascii="宋体" w:hAnsi="宋体" w:eastAsia="宋体" w:cs="宋体"/>
                <w:sz w:val="24"/>
                <w:highlight w:val="none"/>
              </w:rPr>
            </w:pPr>
          </w:p>
        </w:tc>
        <w:tc>
          <w:tcPr>
            <w:tcW w:w="1082" w:type="dxa"/>
            <w:noWrap w:val="0"/>
            <w:vAlign w:val="center"/>
          </w:tcPr>
          <w:p w14:paraId="698D0EAE">
            <w:pPr>
              <w:adjustRightInd w:val="0"/>
              <w:snapToGrid w:val="0"/>
              <w:jc w:val="center"/>
              <w:rPr>
                <w:rFonts w:hint="eastAsia" w:ascii="宋体" w:hAnsi="宋体" w:eastAsia="宋体" w:cs="宋体"/>
                <w:sz w:val="24"/>
                <w:highlight w:val="none"/>
              </w:rPr>
            </w:pPr>
          </w:p>
        </w:tc>
        <w:tc>
          <w:tcPr>
            <w:tcW w:w="1501" w:type="dxa"/>
            <w:noWrap w:val="0"/>
            <w:vAlign w:val="center"/>
          </w:tcPr>
          <w:p w14:paraId="114E837C">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11412123">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3CF4C458">
            <w:pPr>
              <w:adjustRightInd w:val="0"/>
              <w:snapToGrid w:val="0"/>
              <w:jc w:val="center"/>
              <w:rPr>
                <w:rFonts w:hint="eastAsia" w:ascii="宋体" w:hAnsi="宋体" w:eastAsia="宋体" w:cs="宋体"/>
                <w:sz w:val="24"/>
                <w:highlight w:val="none"/>
              </w:rPr>
            </w:pPr>
          </w:p>
        </w:tc>
        <w:tc>
          <w:tcPr>
            <w:tcW w:w="1276" w:type="dxa"/>
            <w:noWrap w:val="0"/>
            <w:vAlign w:val="center"/>
          </w:tcPr>
          <w:p w14:paraId="6A74D708">
            <w:pPr>
              <w:adjustRightInd w:val="0"/>
              <w:snapToGrid w:val="0"/>
              <w:jc w:val="center"/>
              <w:rPr>
                <w:rFonts w:hint="eastAsia" w:ascii="宋体" w:hAnsi="宋体" w:eastAsia="宋体" w:cs="宋体"/>
                <w:sz w:val="24"/>
                <w:highlight w:val="none"/>
              </w:rPr>
            </w:pPr>
          </w:p>
        </w:tc>
        <w:tc>
          <w:tcPr>
            <w:tcW w:w="1418" w:type="dxa"/>
            <w:noWrap w:val="0"/>
            <w:vAlign w:val="center"/>
          </w:tcPr>
          <w:p w14:paraId="37146226">
            <w:pPr>
              <w:adjustRightInd w:val="0"/>
              <w:snapToGrid w:val="0"/>
              <w:jc w:val="center"/>
              <w:rPr>
                <w:rFonts w:hint="eastAsia" w:ascii="宋体" w:hAnsi="宋体" w:eastAsia="宋体" w:cs="宋体"/>
                <w:sz w:val="24"/>
                <w:highlight w:val="none"/>
              </w:rPr>
            </w:pPr>
          </w:p>
        </w:tc>
      </w:tr>
      <w:tr w14:paraId="454E9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2D1FB82A">
            <w:pPr>
              <w:adjustRightInd w:val="0"/>
              <w:snapToGrid w:val="0"/>
              <w:jc w:val="center"/>
              <w:rPr>
                <w:rFonts w:hint="eastAsia" w:ascii="宋体" w:hAnsi="宋体" w:eastAsia="宋体" w:cs="宋体"/>
                <w:sz w:val="24"/>
                <w:highlight w:val="none"/>
              </w:rPr>
            </w:pPr>
          </w:p>
        </w:tc>
        <w:tc>
          <w:tcPr>
            <w:tcW w:w="1082" w:type="dxa"/>
            <w:noWrap w:val="0"/>
            <w:vAlign w:val="center"/>
          </w:tcPr>
          <w:p w14:paraId="288DEA29">
            <w:pPr>
              <w:adjustRightInd w:val="0"/>
              <w:snapToGrid w:val="0"/>
              <w:jc w:val="center"/>
              <w:rPr>
                <w:rFonts w:hint="eastAsia" w:ascii="宋体" w:hAnsi="宋体" w:eastAsia="宋体" w:cs="宋体"/>
                <w:sz w:val="24"/>
                <w:highlight w:val="none"/>
              </w:rPr>
            </w:pPr>
          </w:p>
        </w:tc>
        <w:tc>
          <w:tcPr>
            <w:tcW w:w="1501" w:type="dxa"/>
            <w:noWrap w:val="0"/>
            <w:vAlign w:val="center"/>
          </w:tcPr>
          <w:p w14:paraId="545D8669">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0CFEBDFE">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76578775">
            <w:pPr>
              <w:adjustRightInd w:val="0"/>
              <w:snapToGrid w:val="0"/>
              <w:jc w:val="center"/>
              <w:rPr>
                <w:rFonts w:hint="eastAsia" w:ascii="宋体" w:hAnsi="宋体" w:eastAsia="宋体" w:cs="宋体"/>
                <w:sz w:val="24"/>
                <w:highlight w:val="none"/>
              </w:rPr>
            </w:pPr>
          </w:p>
        </w:tc>
        <w:tc>
          <w:tcPr>
            <w:tcW w:w="1276" w:type="dxa"/>
            <w:noWrap w:val="0"/>
            <w:vAlign w:val="center"/>
          </w:tcPr>
          <w:p w14:paraId="7095A361">
            <w:pPr>
              <w:adjustRightInd w:val="0"/>
              <w:snapToGrid w:val="0"/>
              <w:jc w:val="center"/>
              <w:rPr>
                <w:rFonts w:hint="eastAsia" w:ascii="宋体" w:hAnsi="宋体" w:eastAsia="宋体" w:cs="宋体"/>
                <w:sz w:val="24"/>
                <w:highlight w:val="none"/>
              </w:rPr>
            </w:pPr>
          </w:p>
        </w:tc>
        <w:tc>
          <w:tcPr>
            <w:tcW w:w="1418" w:type="dxa"/>
            <w:noWrap w:val="0"/>
            <w:vAlign w:val="center"/>
          </w:tcPr>
          <w:p w14:paraId="5932F964">
            <w:pPr>
              <w:adjustRightInd w:val="0"/>
              <w:snapToGrid w:val="0"/>
              <w:jc w:val="center"/>
              <w:rPr>
                <w:rFonts w:hint="eastAsia" w:ascii="宋体" w:hAnsi="宋体" w:eastAsia="宋体" w:cs="宋体"/>
                <w:sz w:val="24"/>
                <w:highlight w:val="none"/>
              </w:rPr>
            </w:pPr>
          </w:p>
        </w:tc>
      </w:tr>
      <w:tr w14:paraId="211BB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17086570">
            <w:pPr>
              <w:adjustRightInd w:val="0"/>
              <w:snapToGrid w:val="0"/>
              <w:jc w:val="center"/>
              <w:rPr>
                <w:rFonts w:hint="eastAsia" w:ascii="宋体" w:hAnsi="宋体" w:eastAsia="宋体" w:cs="宋体"/>
                <w:sz w:val="24"/>
                <w:highlight w:val="none"/>
              </w:rPr>
            </w:pPr>
          </w:p>
        </w:tc>
        <w:tc>
          <w:tcPr>
            <w:tcW w:w="1082" w:type="dxa"/>
            <w:noWrap w:val="0"/>
            <w:vAlign w:val="center"/>
          </w:tcPr>
          <w:p w14:paraId="08C6099B">
            <w:pPr>
              <w:adjustRightInd w:val="0"/>
              <w:snapToGrid w:val="0"/>
              <w:jc w:val="center"/>
              <w:rPr>
                <w:rFonts w:hint="eastAsia" w:ascii="宋体" w:hAnsi="宋体" w:eastAsia="宋体" w:cs="宋体"/>
                <w:sz w:val="24"/>
                <w:highlight w:val="none"/>
              </w:rPr>
            </w:pPr>
          </w:p>
        </w:tc>
        <w:tc>
          <w:tcPr>
            <w:tcW w:w="1501" w:type="dxa"/>
            <w:noWrap w:val="0"/>
            <w:vAlign w:val="center"/>
          </w:tcPr>
          <w:p w14:paraId="33F83815">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3B53A03A">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139191E1">
            <w:pPr>
              <w:adjustRightInd w:val="0"/>
              <w:snapToGrid w:val="0"/>
              <w:jc w:val="center"/>
              <w:rPr>
                <w:rFonts w:hint="eastAsia" w:ascii="宋体" w:hAnsi="宋体" w:eastAsia="宋体" w:cs="宋体"/>
                <w:sz w:val="24"/>
                <w:highlight w:val="none"/>
              </w:rPr>
            </w:pPr>
          </w:p>
        </w:tc>
        <w:tc>
          <w:tcPr>
            <w:tcW w:w="1276" w:type="dxa"/>
            <w:noWrap w:val="0"/>
            <w:vAlign w:val="center"/>
          </w:tcPr>
          <w:p w14:paraId="6ACACB93">
            <w:pPr>
              <w:adjustRightInd w:val="0"/>
              <w:snapToGrid w:val="0"/>
              <w:jc w:val="center"/>
              <w:rPr>
                <w:rFonts w:hint="eastAsia" w:ascii="宋体" w:hAnsi="宋体" w:eastAsia="宋体" w:cs="宋体"/>
                <w:sz w:val="24"/>
                <w:highlight w:val="none"/>
              </w:rPr>
            </w:pPr>
          </w:p>
        </w:tc>
        <w:tc>
          <w:tcPr>
            <w:tcW w:w="1418" w:type="dxa"/>
            <w:noWrap w:val="0"/>
            <w:vAlign w:val="center"/>
          </w:tcPr>
          <w:p w14:paraId="230ACF0D">
            <w:pPr>
              <w:adjustRightInd w:val="0"/>
              <w:snapToGrid w:val="0"/>
              <w:jc w:val="center"/>
              <w:rPr>
                <w:rFonts w:hint="eastAsia" w:ascii="宋体" w:hAnsi="宋体" w:eastAsia="宋体" w:cs="宋体"/>
                <w:sz w:val="24"/>
                <w:highlight w:val="none"/>
              </w:rPr>
            </w:pPr>
          </w:p>
        </w:tc>
      </w:tr>
      <w:tr w14:paraId="1A16B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130C4A53">
            <w:pPr>
              <w:adjustRightInd w:val="0"/>
              <w:snapToGrid w:val="0"/>
              <w:jc w:val="center"/>
              <w:rPr>
                <w:rFonts w:hint="eastAsia" w:ascii="宋体" w:hAnsi="宋体" w:eastAsia="宋体" w:cs="宋体"/>
                <w:sz w:val="24"/>
                <w:highlight w:val="none"/>
              </w:rPr>
            </w:pPr>
          </w:p>
        </w:tc>
        <w:tc>
          <w:tcPr>
            <w:tcW w:w="1082" w:type="dxa"/>
            <w:noWrap w:val="0"/>
            <w:vAlign w:val="center"/>
          </w:tcPr>
          <w:p w14:paraId="4190FE34">
            <w:pPr>
              <w:adjustRightInd w:val="0"/>
              <w:snapToGrid w:val="0"/>
              <w:jc w:val="center"/>
              <w:rPr>
                <w:rFonts w:hint="eastAsia" w:ascii="宋体" w:hAnsi="宋体" w:eastAsia="宋体" w:cs="宋体"/>
                <w:sz w:val="24"/>
                <w:highlight w:val="none"/>
              </w:rPr>
            </w:pPr>
          </w:p>
        </w:tc>
        <w:tc>
          <w:tcPr>
            <w:tcW w:w="1501" w:type="dxa"/>
            <w:noWrap w:val="0"/>
            <w:vAlign w:val="center"/>
          </w:tcPr>
          <w:p w14:paraId="3E5AC8F6">
            <w:pPr>
              <w:adjustRightInd w:val="0"/>
              <w:snapToGrid w:val="0"/>
              <w:jc w:val="center"/>
              <w:rPr>
                <w:rFonts w:hint="eastAsia" w:ascii="宋体" w:hAnsi="宋体" w:eastAsia="宋体" w:cs="宋体"/>
                <w:sz w:val="24"/>
                <w:highlight w:val="none"/>
              </w:rPr>
            </w:pPr>
          </w:p>
        </w:tc>
        <w:tc>
          <w:tcPr>
            <w:tcW w:w="1388" w:type="dxa"/>
            <w:tcBorders>
              <w:left w:val="single" w:color="auto" w:sz="4" w:space="0"/>
              <w:right w:val="single" w:color="auto" w:sz="4" w:space="0"/>
            </w:tcBorders>
            <w:noWrap w:val="0"/>
            <w:vAlign w:val="center"/>
          </w:tcPr>
          <w:p w14:paraId="5E5DD00A">
            <w:pPr>
              <w:adjustRightInd w:val="0"/>
              <w:snapToGrid w:val="0"/>
              <w:jc w:val="center"/>
              <w:rPr>
                <w:rFonts w:hint="eastAsia" w:ascii="宋体" w:hAnsi="宋体" w:eastAsia="宋体" w:cs="宋体"/>
                <w:sz w:val="24"/>
                <w:highlight w:val="none"/>
              </w:rPr>
            </w:pPr>
          </w:p>
        </w:tc>
        <w:tc>
          <w:tcPr>
            <w:tcW w:w="1267" w:type="dxa"/>
            <w:tcBorders>
              <w:left w:val="single" w:color="auto" w:sz="4" w:space="0"/>
            </w:tcBorders>
            <w:noWrap w:val="0"/>
            <w:vAlign w:val="center"/>
          </w:tcPr>
          <w:p w14:paraId="4933983C">
            <w:pPr>
              <w:adjustRightInd w:val="0"/>
              <w:snapToGrid w:val="0"/>
              <w:jc w:val="center"/>
              <w:rPr>
                <w:rFonts w:hint="eastAsia" w:ascii="宋体" w:hAnsi="宋体" w:eastAsia="宋体" w:cs="宋体"/>
                <w:sz w:val="24"/>
                <w:highlight w:val="none"/>
              </w:rPr>
            </w:pPr>
          </w:p>
        </w:tc>
        <w:tc>
          <w:tcPr>
            <w:tcW w:w="1276" w:type="dxa"/>
            <w:noWrap w:val="0"/>
            <w:vAlign w:val="center"/>
          </w:tcPr>
          <w:p w14:paraId="0B991BB1">
            <w:pPr>
              <w:adjustRightInd w:val="0"/>
              <w:snapToGrid w:val="0"/>
              <w:jc w:val="center"/>
              <w:rPr>
                <w:rFonts w:hint="eastAsia" w:ascii="宋体" w:hAnsi="宋体" w:eastAsia="宋体" w:cs="宋体"/>
                <w:sz w:val="24"/>
                <w:highlight w:val="none"/>
              </w:rPr>
            </w:pPr>
          </w:p>
        </w:tc>
        <w:tc>
          <w:tcPr>
            <w:tcW w:w="1418" w:type="dxa"/>
            <w:noWrap w:val="0"/>
            <w:vAlign w:val="center"/>
          </w:tcPr>
          <w:p w14:paraId="477D5B0E">
            <w:pPr>
              <w:adjustRightInd w:val="0"/>
              <w:snapToGrid w:val="0"/>
              <w:jc w:val="center"/>
              <w:rPr>
                <w:rFonts w:hint="eastAsia" w:ascii="宋体" w:hAnsi="宋体" w:eastAsia="宋体" w:cs="宋体"/>
                <w:sz w:val="24"/>
                <w:highlight w:val="none"/>
              </w:rPr>
            </w:pPr>
          </w:p>
        </w:tc>
      </w:tr>
    </w:tbl>
    <w:p w14:paraId="61CF8BDF">
      <w:pPr>
        <w:adjustRightInd w:val="0"/>
        <w:snapToGrid w:val="0"/>
        <w:spacing w:line="360" w:lineRule="auto"/>
        <w:ind w:right="357"/>
        <w:rPr>
          <w:rFonts w:hint="eastAsia" w:ascii="宋体" w:hAnsi="宋体" w:eastAsia="宋体" w:cs="宋体"/>
          <w:color w:val="0D0D0D"/>
          <w:sz w:val="24"/>
          <w:highlight w:val="none"/>
        </w:rPr>
      </w:pPr>
      <w:r>
        <w:rPr>
          <w:rFonts w:hint="eastAsia" w:ascii="宋体" w:hAnsi="宋体" w:eastAsia="宋体" w:cs="宋体"/>
          <w:color w:val="0D0D0D"/>
          <w:sz w:val="24"/>
          <w:highlight w:val="none"/>
        </w:rPr>
        <w:t>注：</w:t>
      </w:r>
    </w:p>
    <w:p w14:paraId="30B052CF">
      <w:pPr>
        <w:numPr>
          <w:ilvl w:val="0"/>
          <w:numId w:val="9"/>
        </w:numPr>
        <w:adjustRightInd w:val="0"/>
        <w:snapToGrid w:val="0"/>
        <w:spacing w:line="360" w:lineRule="auto"/>
        <w:ind w:right="357" w:firstLine="480" w:firstLineChars="200"/>
        <w:rPr>
          <w:rFonts w:hint="eastAsia" w:ascii="宋体" w:hAnsi="宋体" w:eastAsia="宋体" w:cs="宋体"/>
          <w:color w:val="0D0D0D"/>
          <w:sz w:val="24"/>
          <w:highlight w:val="none"/>
        </w:rPr>
      </w:pPr>
      <w:r>
        <w:rPr>
          <w:rFonts w:hint="eastAsia" w:ascii="宋体" w:hAnsi="宋体" w:eastAsia="宋体" w:cs="宋体"/>
          <w:color w:val="0D0D0D"/>
          <w:sz w:val="24"/>
          <w:highlight w:val="none"/>
          <w:lang w:eastAsia="zh-CN"/>
        </w:rPr>
        <w:t>投标人</w:t>
      </w:r>
      <w:r>
        <w:rPr>
          <w:rFonts w:hint="eastAsia" w:ascii="宋体" w:hAnsi="宋体" w:eastAsia="宋体" w:cs="宋体"/>
          <w:color w:val="0D0D0D"/>
          <w:sz w:val="24"/>
          <w:highlight w:val="none"/>
        </w:rPr>
        <w:t>应如实列出以上情况，如有隐瞒或造假，一经查实将导致其投标申请被拒绝。</w:t>
      </w:r>
    </w:p>
    <w:p w14:paraId="7BB506E6">
      <w:pPr>
        <w:numPr>
          <w:ilvl w:val="0"/>
          <w:numId w:val="0"/>
        </w:numPr>
        <w:adjustRightInd w:val="0"/>
        <w:snapToGrid w:val="0"/>
        <w:spacing w:line="360" w:lineRule="auto"/>
        <w:ind w:right="357" w:rightChars="0" w:firstLine="480" w:firstLineChars="200"/>
        <w:rPr>
          <w:rFonts w:hint="default" w:ascii="宋体" w:hAnsi="宋体" w:eastAsia="宋体" w:cs="宋体"/>
          <w:color w:val="0D0D0D"/>
          <w:sz w:val="24"/>
          <w:highlight w:val="none"/>
          <w:lang w:val="en-US" w:eastAsia="zh-CN"/>
        </w:rPr>
      </w:pPr>
      <w:r>
        <w:rPr>
          <w:rFonts w:hint="eastAsia" w:ascii="宋体" w:hAnsi="宋体" w:cs="宋体"/>
          <w:color w:val="0D0D0D"/>
          <w:sz w:val="24"/>
          <w:highlight w:val="none"/>
          <w:lang w:val="en-US" w:eastAsia="zh-CN"/>
        </w:rPr>
        <w:t>2.以上业绩须提供证明材料，以中标（成交）通知书和采购合同为依据。</w:t>
      </w:r>
    </w:p>
    <w:p w14:paraId="2B42E840">
      <w:pPr>
        <w:numPr>
          <w:ilvl w:val="0"/>
          <w:numId w:val="0"/>
        </w:numPr>
        <w:adjustRightInd w:val="0"/>
        <w:snapToGrid w:val="0"/>
        <w:spacing w:line="360" w:lineRule="auto"/>
        <w:ind w:right="357" w:rightChars="0"/>
        <w:rPr>
          <w:rFonts w:hint="eastAsia" w:ascii="宋体" w:hAnsi="宋体" w:eastAsia="宋体" w:cs="宋体"/>
          <w:color w:val="0D0D0D"/>
          <w:sz w:val="24"/>
          <w:highlight w:val="none"/>
        </w:rPr>
      </w:pPr>
    </w:p>
    <w:p w14:paraId="2DBAB5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r>
        <w:rPr>
          <w:rFonts w:hint="eastAsia" w:ascii="宋体" w:hAnsi="宋体" w:eastAsia="宋体" w:cs="宋体"/>
          <w:highlight w:val="none"/>
        </w:rPr>
        <w:br w:type="page"/>
      </w:r>
      <w:bookmarkStart w:id="600" w:name="_Toc22689"/>
      <w:bookmarkStart w:id="601" w:name="_Toc428865074"/>
      <w:bookmarkStart w:id="602" w:name="_Toc430001013"/>
      <w:bookmarkStart w:id="603" w:name="_Toc428804578"/>
      <w:bookmarkStart w:id="604" w:name="_Toc428521061"/>
      <w:bookmarkStart w:id="605" w:name="_Toc1226"/>
      <w:bookmarkStart w:id="606" w:name="_Toc429378715"/>
    </w:p>
    <w:p w14:paraId="152CA952">
      <w:pPr>
        <w:widowControl w:val="0"/>
        <w:tabs>
          <w:tab w:val="left" w:pos="829"/>
        </w:tabs>
        <w:spacing w:after="100" w:line="475" w:lineRule="exact"/>
        <w:jc w:val="center"/>
        <w:outlineLvl w:val="1"/>
        <w:rPr>
          <w:rFonts w:hint="eastAsia" w:ascii="宋体" w:hAnsi="宋体" w:eastAsia="宋体" w:cs="宋体"/>
          <w:b/>
          <w:kern w:val="0"/>
          <w:sz w:val="30"/>
          <w:szCs w:val="24"/>
          <w:highlight w:val="none"/>
          <w:lang w:val="zh-TW" w:eastAsia="zh-TW" w:bidi="ar-SA"/>
        </w:rPr>
      </w:pPr>
      <w:r>
        <w:rPr>
          <w:rFonts w:hint="eastAsia" w:ascii="宋体" w:hAnsi="宋体" w:cs="宋体"/>
          <w:b/>
          <w:kern w:val="0"/>
          <w:sz w:val="30"/>
          <w:szCs w:val="24"/>
          <w:highlight w:val="none"/>
          <w:lang w:val="en-US" w:eastAsia="zh-CN" w:bidi="ar-SA"/>
        </w:rPr>
        <w:t>十</w:t>
      </w:r>
      <w:r>
        <w:rPr>
          <w:rFonts w:hint="eastAsia" w:ascii="宋体" w:hAnsi="宋体" w:eastAsia="宋体" w:cs="宋体"/>
          <w:b/>
          <w:kern w:val="0"/>
          <w:sz w:val="30"/>
          <w:szCs w:val="24"/>
          <w:highlight w:val="none"/>
          <w:lang w:val="en-US" w:eastAsia="zh-CN" w:bidi="ar-SA"/>
        </w:rPr>
        <w:t>、</w:t>
      </w:r>
      <w:r>
        <w:rPr>
          <w:rFonts w:hint="eastAsia" w:ascii="宋体" w:hAnsi="宋体" w:eastAsia="宋体" w:cs="宋体"/>
          <w:b/>
          <w:kern w:val="0"/>
          <w:sz w:val="30"/>
          <w:szCs w:val="24"/>
          <w:highlight w:val="none"/>
          <w:lang w:val="zh-TW" w:eastAsia="zh-TW" w:bidi="ar-SA"/>
        </w:rPr>
        <w:t>技术规格偏离表</w:t>
      </w:r>
    </w:p>
    <w:p w14:paraId="63EBCBF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项目名称：</w:t>
      </w:r>
      <w:r>
        <w:rPr>
          <w:rFonts w:hint="eastAsia" w:asciiTheme="majorEastAsia" w:hAnsiTheme="majorEastAsia" w:eastAsiaTheme="majorEastAsia" w:cstheme="majorEastAsia"/>
          <w:kern w:val="0"/>
          <w:sz w:val="24"/>
          <w:szCs w:val="24"/>
          <w:highlight w:val="none"/>
          <w:u w:val="single"/>
        </w:rPr>
        <w:t xml:space="preserve">                </w:t>
      </w:r>
      <w:r>
        <w:rPr>
          <w:rFonts w:hint="eastAsia" w:asciiTheme="majorEastAsia" w:hAnsiTheme="majorEastAsia" w:eastAsiaTheme="majorEastAsia" w:cstheme="majorEastAsia"/>
          <w:kern w:val="0"/>
          <w:sz w:val="24"/>
          <w:szCs w:val="24"/>
          <w:highlight w:val="none"/>
        </w:rPr>
        <w:t xml:space="preserve">        </w:t>
      </w:r>
      <w:r>
        <w:rPr>
          <w:rFonts w:hint="eastAsia" w:asciiTheme="majorEastAsia" w:hAnsiTheme="majorEastAsia" w:eastAsiaTheme="majorEastAsia" w:cstheme="majorEastAsia"/>
          <w:kern w:val="0"/>
          <w:sz w:val="24"/>
          <w:szCs w:val="24"/>
          <w:highlight w:val="none"/>
          <w:lang w:val="en-US" w:eastAsia="zh-CN"/>
        </w:rPr>
        <w:t>包段</w:t>
      </w: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u w:val="single"/>
        </w:rPr>
        <w:t xml:space="preserve">                </w:t>
      </w:r>
      <w:r>
        <w:rPr>
          <w:rFonts w:hint="eastAsia" w:asciiTheme="majorEastAsia" w:hAnsiTheme="majorEastAsia" w:eastAsiaTheme="majorEastAsia" w:cstheme="majorEastAsia"/>
          <w:kern w:val="0"/>
          <w:sz w:val="24"/>
          <w:szCs w:val="24"/>
          <w:highlight w:val="none"/>
        </w:rPr>
        <w:t xml:space="preserve">    </w:t>
      </w:r>
    </w:p>
    <w:p w14:paraId="72F72602">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kern w:val="0"/>
          <w:sz w:val="24"/>
          <w:szCs w:val="24"/>
          <w:highlight w:val="none"/>
          <w:u w:val="single"/>
        </w:rPr>
      </w:pPr>
      <w:r>
        <w:rPr>
          <w:rFonts w:hint="eastAsia" w:asciiTheme="majorEastAsia" w:hAnsiTheme="majorEastAsia" w:eastAsiaTheme="majorEastAsia" w:cstheme="majorEastAsia"/>
          <w:kern w:val="0"/>
          <w:sz w:val="24"/>
          <w:szCs w:val="24"/>
          <w:highlight w:val="none"/>
        </w:rPr>
        <w:t>项目编号：</w:t>
      </w:r>
      <w:r>
        <w:rPr>
          <w:rFonts w:hint="eastAsia" w:asciiTheme="majorEastAsia" w:hAnsiTheme="majorEastAsia" w:eastAsiaTheme="majorEastAsia" w:cstheme="majorEastAsia"/>
          <w:kern w:val="0"/>
          <w:sz w:val="24"/>
          <w:szCs w:val="24"/>
          <w:highlight w:val="none"/>
          <w:u w:val="single"/>
        </w:rPr>
        <w:t xml:space="preserve">           </w:t>
      </w:r>
      <w:r>
        <w:rPr>
          <w:rFonts w:hint="eastAsia" w:asciiTheme="majorEastAsia" w:hAnsiTheme="majorEastAsia" w:eastAsiaTheme="majorEastAsia" w:cstheme="majorEastAsia"/>
          <w:kern w:val="0"/>
          <w:sz w:val="24"/>
          <w:szCs w:val="24"/>
          <w:highlight w:val="none"/>
          <w:u w:val="single"/>
          <w:lang w:val="en-US" w:eastAsia="zh-CN"/>
        </w:rPr>
        <w:t xml:space="preserve">   </w:t>
      </w:r>
      <w:r>
        <w:rPr>
          <w:rFonts w:hint="eastAsia" w:asciiTheme="majorEastAsia" w:hAnsiTheme="majorEastAsia" w:eastAsiaTheme="majorEastAsia" w:cstheme="majorEastAsia"/>
          <w:kern w:val="0"/>
          <w:sz w:val="24"/>
          <w:szCs w:val="24"/>
          <w:highlight w:val="none"/>
          <w:u w:val="single"/>
        </w:rPr>
        <w:t xml:space="preserve">   </w:t>
      </w:r>
      <w:r>
        <w:rPr>
          <w:rFonts w:hint="eastAsia" w:asciiTheme="majorEastAsia" w:hAnsiTheme="majorEastAsia" w:eastAsiaTheme="majorEastAsia" w:cstheme="majorEastAsia"/>
          <w:kern w:val="0"/>
          <w:sz w:val="24"/>
          <w:szCs w:val="24"/>
          <w:highlight w:val="none"/>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34"/>
        <w:gridCol w:w="1751"/>
        <w:gridCol w:w="1784"/>
        <w:gridCol w:w="1635"/>
        <w:gridCol w:w="1336"/>
      </w:tblGrid>
      <w:tr w14:paraId="1B2B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vAlign w:val="center"/>
          </w:tcPr>
          <w:p w14:paraId="1FBF07C3">
            <w:pPr>
              <w:keepNext w:val="0"/>
              <w:keepLines w:val="0"/>
              <w:pageBreakBefore w:val="0"/>
              <w:widowControl w:val="0"/>
              <w:tabs>
                <w:tab w:val="left" w:pos="12780"/>
              </w:tabs>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序号</w:t>
            </w:r>
          </w:p>
        </w:tc>
        <w:tc>
          <w:tcPr>
            <w:tcW w:w="1834" w:type="dxa"/>
            <w:noWrap w:val="0"/>
            <w:vAlign w:val="center"/>
          </w:tcPr>
          <w:p w14:paraId="78CAEED8">
            <w:pPr>
              <w:keepNext w:val="0"/>
              <w:keepLines w:val="0"/>
              <w:pageBreakBefore w:val="0"/>
              <w:widowControl w:val="0"/>
              <w:tabs>
                <w:tab w:val="left" w:pos="12780"/>
              </w:tabs>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服务内容</w:t>
            </w:r>
          </w:p>
        </w:tc>
        <w:tc>
          <w:tcPr>
            <w:tcW w:w="1751" w:type="dxa"/>
            <w:noWrap w:val="0"/>
            <w:vAlign w:val="center"/>
          </w:tcPr>
          <w:p w14:paraId="26C5403A">
            <w:pPr>
              <w:keepNext w:val="0"/>
              <w:keepLines w:val="0"/>
              <w:pageBreakBefore w:val="0"/>
              <w:widowControl w:val="0"/>
              <w:tabs>
                <w:tab w:val="left" w:pos="12780"/>
              </w:tabs>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招标规格</w:t>
            </w:r>
          </w:p>
        </w:tc>
        <w:tc>
          <w:tcPr>
            <w:tcW w:w="1784" w:type="dxa"/>
            <w:noWrap w:val="0"/>
            <w:vAlign w:val="center"/>
          </w:tcPr>
          <w:p w14:paraId="718C78C0">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投标规格</w:t>
            </w:r>
          </w:p>
        </w:tc>
        <w:tc>
          <w:tcPr>
            <w:tcW w:w="1635" w:type="dxa"/>
            <w:noWrap w:val="0"/>
            <w:vAlign w:val="center"/>
          </w:tcPr>
          <w:p w14:paraId="34472CAD">
            <w:pPr>
              <w:keepNext w:val="0"/>
              <w:keepLines w:val="0"/>
              <w:pageBreakBefore w:val="0"/>
              <w:widowControl w:val="0"/>
              <w:tabs>
                <w:tab w:val="left" w:pos="12780"/>
              </w:tabs>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偏离</w:t>
            </w:r>
          </w:p>
        </w:tc>
        <w:tc>
          <w:tcPr>
            <w:tcW w:w="1336" w:type="dxa"/>
            <w:noWrap w:val="0"/>
            <w:vAlign w:val="center"/>
          </w:tcPr>
          <w:p w14:paraId="03F96BE8">
            <w:pPr>
              <w:keepNext w:val="0"/>
              <w:keepLines w:val="0"/>
              <w:pageBreakBefore w:val="0"/>
              <w:widowControl w:val="0"/>
              <w:tabs>
                <w:tab w:val="left" w:pos="12780"/>
              </w:tabs>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说明</w:t>
            </w:r>
          </w:p>
        </w:tc>
      </w:tr>
      <w:tr w14:paraId="2AAB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6" w:type="dxa"/>
            <w:noWrap w:val="0"/>
            <w:vAlign w:val="center"/>
          </w:tcPr>
          <w:p w14:paraId="416BB5FA">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1DF76677">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2AEE7795">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3B5E8F1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2C115A77">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68A6902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74D0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6" w:type="dxa"/>
            <w:noWrap w:val="0"/>
            <w:vAlign w:val="center"/>
          </w:tcPr>
          <w:p w14:paraId="760B4FF9">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7918826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7182D6D4">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53DA4C64">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0E6396C8">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4835616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435B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6" w:type="dxa"/>
            <w:noWrap w:val="0"/>
            <w:vAlign w:val="center"/>
          </w:tcPr>
          <w:p w14:paraId="5B9058A1">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4B6CDDF4">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540E1D9A">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1A22A6AF">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4892AF1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082B9D81">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653E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6" w:type="dxa"/>
            <w:noWrap w:val="0"/>
            <w:vAlign w:val="center"/>
          </w:tcPr>
          <w:p w14:paraId="042A821A">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29F0255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4E08DC3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3E8CE7B3">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469CA27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5A71EC4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42C7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6" w:type="dxa"/>
            <w:noWrap w:val="0"/>
            <w:vAlign w:val="center"/>
          </w:tcPr>
          <w:p w14:paraId="13D04B3F">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1B9EA6DB">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367625E7">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54BFD4D4">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7453C6D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1D87E602">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674B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6" w:type="dxa"/>
            <w:noWrap w:val="0"/>
            <w:vAlign w:val="center"/>
          </w:tcPr>
          <w:p w14:paraId="24D8A390">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689371FC">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56ABAB68">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344537CB">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37FE6BDF">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3C4C3530">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710B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6" w:type="dxa"/>
            <w:noWrap w:val="0"/>
            <w:vAlign w:val="center"/>
          </w:tcPr>
          <w:p w14:paraId="72E8DA58">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65CFFB0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6025BDA0">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09D3015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6B492A5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13F1E38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6118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26" w:type="dxa"/>
            <w:noWrap w:val="0"/>
            <w:vAlign w:val="center"/>
          </w:tcPr>
          <w:p w14:paraId="419C9F2A">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7596BA24">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45C757C1">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1DA2A675">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466766D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1531A78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7CCE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26" w:type="dxa"/>
            <w:noWrap w:val="0"/>
            <w:vAlign w:val="center"/>
          </w:tcPr>
          <w:p w14:paraId="5A5ED652">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518BE80C">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0E9AAB8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398D5FC7">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5E5D2349">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20782E7C">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7885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6" w:type="dxa"/>
            <w:noWrap w:val="0"/>
            <w:vAlign w:val="center"/>
          </w:tcPr>
          <w:p w14:paraId="40BEBD10">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5532A8A7">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4310EEAA">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370E65B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48EB77F1">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26CA8962">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30E5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6" w:type="dxa"/>
            <w:noWrap w:val="0"/>
            <w:vAlign w:val="center"/>
          </w:tcPr>
          <w:p w14:paraId="7A323728">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75D17CA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4BF106A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34AB3AFC">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799B046D">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318FF3FB">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r w14:paraId="3743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6" w:type="dxa"/>
            <w:noWrap w:val="0"/>
            <w:vAlign w:val="center"/>
          </w:tcPr>
          <w:p w14:paraId="3EDE58E8">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834" w:type="dxa"/>
            <w:noWrap w:val="0"/>
            <w:vAlign w:val="center"/>
          </w:tcPr>
          <w:p w14:paraId="772227B9">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51" w:type="dxa"/>
            <w:noWrap w:val="0"/>
            <w:vAlign w:val="center"/>
          </w:tcPr>
          <w:p w14:paraId="67296E67">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784" w:type="dxa"/>
            <w:noWrap w:val="0"/>
            <w:vAlign w:val="center"/>
          </w:tcPr>
          <w:p w14:paraId="5784090A">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635" w:type="dxa"/>
            <w:noWrap w:val="0"/>
            <w:vAlign w:val="center"/>
          </w:tcPr>
          <w:p w14:paraId="46C3530E">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c>
          <w:tcPr>
            <w:tcW w:w="1336" w:type="dxa"/>
            <w:noWrap w:val="0"/>
            <w:vAlign w:val="center"/>
          </w:tcPr>
          <w:p w14:paraId="22689897">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center"/>
              <w:textAlignment w:val="auto"/>
              <w:rPr>
                <w:rFonts w:hint="eastAsia" w:asciiTheme="majorEastAsia" w:hAnsiTheme="majorEastAsia" w:eastAsiaTheme="majorEastAsia" w:cstheme="majorEastAsia"/>
                <w:kern w:val="0"/>
                <w:sz w:val="24"/>
                <w:szCs w:val="24"/>
                <w:highlight w:val="none"/>
              </w:rPr>
            </w:pPr>
          </w:p>
        </w:tc>
      </w:tr>
    </w:tbl>
    <w:p w14:paraId="2A6EC026">
      <w:pPr>
        <w:keepNext w:val="0"/>
        <w:keepLines w:val="0"/>
        <w:pageBreakBefore w:val="0"/>
        <w:widowControl w:val="0"/>
        <w:tabs>
          <w:tab w:val="left" w:pos="12780"/>
        </w:tabs>
        <w:kinsoku/>
        <w:wordWrap/>
        <w:overflowPunct/>
        <w:topLinePunct w:val="0"/>
        <w:autoSpaceDE/>
        <w:autoSpaceDN/>
        <w:bidi w:val="0"/>
        <w:adjustRightInd/>
        <w:snapToGrid/>
        <w:spacing w:line="480" w:lineRule="exact"/>
        <w:ind w:firstLine="240" w:firstLineChars="100"/>
        <w:jc w:val="both"/>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注：投标人应逐条如实填写技术偏离表，否则将按负偏离进行扣分。</w:t>
      </w:r>
    </w:p>
    <w:p w14:paraId="2E9778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7C082DAA">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p>
    <w:p w14:paraId="53173573">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投标人（单位名称及公章）：</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57FA5346">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法定代表人或法人授权代表（签字）：</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2CF78937">
      <w:pPr>
        <w:keepNext w:val="0"/>
        <w:keepLines w:val="0"/>
        <w:pageBreakBefore w:val="0"/>
        <w:kinsoku/>
        <w:wordWrap/>
        <w:overflowPunct/>
        <w:topLinePunct w:val="0"/>
        <w:autoSpaceDE/>
        <w:autoSpaceDN/>
        <w:bidi w:val="0"/>
        <w:adjustRightInd/>
        <w:snapToGrid/>
        <w:spacing w:line="480" w:lineRule="exact"/>
        <w:ind w:firstLine="3360" w:firstLineChars="14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日</w:t>
      </w:r>
    </w:p>
    <w:p w14:paraId="0312D868">
      <w:pPr>
        <w:widowControl w:val="0"/>
        <w:tabs>
          <w:tab w:val="center" w:pos="4153"/>
          <w:tab w:val="right" w:pos="8306"/>
        </w:tabs>
        <w:snapToGrid w:val="0"/>
        <w:spacing w:line="240" w:lineRule="auto"/>
        <w:rPr>
          <w:rFonts w:ascii="宋体" w:hAnsi="宋体"/>
          <w:sz w:val="21"/>
          <w:szCs w:val="21"/>
          <w:highlight w:val="none"/>
        </w:rPr>
      </w:pPr>
    </w:p>
    <w:p w14:paraId="7A7E229C">
      <w:pPr>
        <w:widowControl w:val="0"/>
        <w:tabs>
          <w:tab w:val="center" w:pos="4153"/>
          <w:tab w:val="right" w:pos="8306"/>
        </w:tabs>
        <w:snapToGrid w:val="0"/>
        <w:spacing w:line="240" w:lineRule="auto"/>
        <w:rPr>
          <w:rFonts w:ascii="宋体" w:hAnsi="宋体"/>
          <w:sz w:val="21"/>
          <w:szCs w:val="21"/>
          <w:highlight w:val="none"/>
        </w:rPr>
      </w:pPr>
    </w:p>
    <w:p w14:paraId="077E2CBB">
      <w:pPr>
        <w:widowControl w:val="0"/>
        <w:tabs>
          <w:tab w:val="center" w:pos="4153"/>
          <w:tab w:val="right" w:pos="8306"/>
        </w:tabs>
        <w:snapToGrid w:val="0"/>
        <w:spacing w:line="240" w:lineRule="auto"/>
        <w:rPr>
          <w:rFonts w:ascii="宋体" w:hAnsi="宋体"/>
          <w:sz w:val="21"/>
          <w:szCs w:val="21"/>
          <w:highlight w:val="none"/>
        </w:rPr>
      </w:pPr>
    </w:p>
    <w:p w14:paraId="70BF0064">
      <w:pPr>
        <w:widowControl w:val="0"/>
        <w:tabs>
          <w:tab w:val="center" w:pos="4153"/>
          <w:tab w:val="right" w:pos="8306"/>
        </w:tabs>
        <w:snapToGrid w:val="0"/>
        <w:spacing w:line="240" w:lineRule="auto"/>
        <w:rPr>
          <w:rFonts w:ascii="宋体" w:hAnsi="宋体"/>
          <w:sz w:val="21"/>
          <w:szCs w:val="21"/>
          <w:highlight w:val="none"/>
        </w:rPr>
      </w:pPr>
    </w:p>
    <w:p w14:paraId="161BD41C">
      <w:pPr>
        <w:widowControl w:val="0"/>
        <w:tabs>
          <w:tab w:val="center" w:pos="4153"/>
          <w:tab w:val="right" w:pos="8306"/>
        </w:tabs>
        <w:snapToGrid w:val="0"/>
        <w:spacing w:line="240" w:lineRule="auto"/>
        <w:rPr>
          <w:rFonts w:hint="eastAsia" w:ascii="宋体" w:hAnsi="宋体"/>
          <w:sz w:val="21"/>
          <w:szCs w:val="21"/>
          <w:highlight w:val="none"/>
        </w:rPr>
      </w:pPr>
    </w:p>
    <w:p w14:paraId="339A8E90">
      <w:pPr>
        <w:spacing w:line="360" w:lineRule="auto"/>
        <w:jc w:val="center"/>
        <w:outlineLvl w:val="1"/>
        <w:rPr>
          <w:rFonts w:ascii="宋体" w:hAnsi="宋体" w:cs="宋体"/>
          <w:b/>
          <w:bCs/>
          <w:sz w:val="21"/>
          <w:szCs w:val="21"/>
          <w:highlight w:val="none"/>
        </w:rPr>
      </w:pPr>
      <w:bookmarkStart w:id="607" w:name="_Toc93952450"/>
    </w:p>
    <w:p w14:paraId="4F0E34E1">
      <w:pPr>
        <w:spacing w:line="360" w:lineRule="auto"/>
        <w:jc w:val="center"/>
        <w:outlineLvl w:val="1"/>
        <w:rPr>
          <w:rFonts w:ascii="宋体" w:hAnsi="宋体" w:cs="宋体"/>
          <w:b/>
          <w:bCs/>
          <w:sz w:val="21"/>
          <w:szCs w:val="21"/>
          <w:highlight w:val="none"/>
        </w:rPr>
      </w:pPr>
    </w:p>
    <w:bookmarkEnd w:id="607"/>
    <w:p w14:paraId="1EF15A34">
      <w:pPr>
        <w:widowControl w:val="0"/>
        <w:tabs>
          <w:tab w:val="left" w:pos="829"/>
        </w:tabs>
        <w:spacing w:after="100" w:line="475" w:lineRule="exact"/>
        <w:jc w:val="both"/>
        <w:outlineLvl w:val="1"/>
        <w:rPr>
          <w:rFonts w:hint="eastAsia" w:ascii="黑体" w:hAnsi="黑体" w:eastAsia="黑体" w:cs="黑体"/>
          <w:b w:val="0"/>
          <w:bCs w:val="0"/>
          <w:sz w:val="28"/>
          <w:szCs w:val="28"/>
          <w:highlight w:val="none"/>
          <w:lang w:val="zh-TW" w:eastAsia="zh-CN" w:bidi="zh-TW"/>
        </w:rPr>
      </w:pPr>
      <w:bookmarkStart w:id="608" w:name="_Toc8001"/>
    </w:p>
    <w:bookmarkEnd w:id="608"/>
    <w:p w14:paraId="7F29D6A9">
      <w:pPr>
        <w:widowControl w:val="0"/>
        <w:tabs>
          <w:tab w:val="left" w:pos="829"/>
        </w:tabs>
        <w:spacing w:after="100" w:line="475" w:lineRule="exact"/>
        <w:jc w:val="center"/>
        <w:outlineLvl w:val="1"/>
        <w:rPr>
          <w:rFonts w:hint="eastAsia" w:ascii="宋体" w:hAnsi="宋体" w:eastAsia="宋体" w:cs="宋体"/>
          <w:b/>
          <w:kern w:val="0"/>
          <w:sz w:val="30"/>
          <w:szCs w:val="24"/>
          <w:highlight w:val="none"/>
          <w:lang w:val="en-US" w:eastAsia="zh-CN" w:bidi="ar-SA"/>
        </w:rPr>
      </w:pPr>
      <w:r>
        <w:rPr>
          <w:rFonts w:hint="eastAsia" w:ascii="宋体" w:hAnsi="宋体" w:cs="宋体"/>
          <w:b/>
          <w:kern w:val="0"/>
          <w:sz w:val="30"/>
          <w:szCs w:val="24"/>
          <w:highlight w:val="none"/>
          <w:lang w:val="en-US" w:eastAsia="zh-CN" w:bidi="ar-SA"/>
        </w:rPr>
        <w:t>十一</w:t>
      </w:r>
      <w:r>
        <w:rPr>
          <w:rFonts w:hint="eastAsia" w:ascii="宋体" w:hAnsi="宋体" w:eastAsia="宋体" w:cs="宋体"/>
          <w:b/>
          <w:kern w:val="0"/>
          <w:sz w:val="30"/>
          <w:szCs w:val="24"/>
          <w:highlight w:val="none"/>
          <w:lang w:val="en-US" w:eastAsia="zh-CN" w:bidi="ar-SA"/>
        </w:rPr>
        <w:t>、其他佐证材料</w:t>
      </w:r>
    </w:p>
    <w:p w14:paraId="6234C8E8">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outlineLvl w:val="1"/>
        <w:rPr>
          <w:rFonts w:ascii="宋体" w:hAnsi="宋体" w:cs="宋体"/>
          <w:b/>
          <w:bCs/>
          <w:sz w:val="21"/>
          <w:szCs w:val="21"/>
          <w:highlight w:val="none"/>
        </w:rPr>
      </w:pPr>
      <w:bookmarkStart w:id="609" w:name="_Toc31474"/>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包括但不限于商务和技术评分标准内的要求的材料</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投标人可根据本次采购内容及公司实际能力提供有利于投标人的其他证明材料。</w:t>
      </w:r>
      <w:bookmarkEnd w:id="609"/>
    </w:p>
    <w:p w14:paraId="1BB57F2C">
      <w:pPr>
        <w:widowControl w:val="0"/>
        <w:spacing w:line="360" w:lineRule="auto"/>
        <w:jc w:val="center"/>
        <w:outlineLvl w:val="1"/>
        <w:rPr>
          <w:rFonts w:ascii="宋体" w:hAnsi="宋体" w:cs="宋体"/>
          <w:b/>
          <w:bCs/>
          <w:sz w:val="21"/>
          <w:szCs w:val="21"/>
          <w:highlight w:val="none"/>
        </w:rPr>
      </w:pPr>
    </w:p>
    <w:p w14:paraId="5B502FA3">
      <w:pPr>
        <w:rPr>
          <w:rFonts w:ascii="宋体" w:hAnsi="宋体" w:cs="宋体"/>
          <w:sz w:val="21"/>
          <w:szCs w:val="21"/>
          <w:highlight w:val="none"/>
        </w:rPr>
      </w:pPr>
    </w:p>
    <w:p w14:paraId="211F94CB">
      <w:pPr>
        <w:rPr>
          <w:rFonts w:ascii="宋体" w:hAnsi="宋体" w:cs="宋体"/>
          <w:sz w:val="21"/>
          <w:szCs w:val="21"/>
          <w:highlight w:val="none"/>
        </w:rPr>
      </w:pPr>
    </w:p>
    <w:p w14:paraId="4AB659BD">
      <w:pPr>
        <w:rPr>
          <w:rFonts w:ascii="宋体" w:hAnsi="宋体" w:cs="宋体"/>
          <w:sz w:val="21"/>
          <w:szCs w:val="21"/>
          <w:highlight w:val="none"/>
        </w:rPr>
      </w:pPr>
    </w:p>
    <w:p w14:paraId="0F54BF89">
      <w:pPr>
        <w:rPr>
          <w:rFonts w:ascii="宋体" w:hAnsi="宋体" w:cs="宋体"/>
          <w:sz w:val="21"/>
          <w:szCs w:val="21"/>
          <w:highlight w:val="none"/>
        </w:rPr>
      </w:pPr>
    </w:p>
    <w:p w14:paraId="0C6EC265">
      <w:pPr>
        <w:rPr>
          <w:rFonts w:ascii="宋体" w:hAnsi="宋体" w:cs="宋体"/>
          <w:sz w:val="21"/>
          <w:szCs w:val="21"/>
          <w:highlight w:val="none"/>
        </w:rPr>
      </w:pPr>
    </w:p>
    <w:p w14:paraId="35D61896">
      <w:pPr>
        <w:rPr>
          <w:rFonts w:ascii="宋体" w:hAnsi="宋体" w:cs="宋体"/>
          <w:sz w:val="21"/>
          <w:szCs w:val="21"/>
          <w:highlight w:val="none"/>
        </w:rPr>
      </w:pPr>
    </w:p>
    <w:p w14:paraId="022A554D">
      <w:pPr>
        <w:rPr>
          <w:rFonts w:ascii="宋体" w:hAnsi="宋体" w:cs="宋体"/>
          <w:sz w:val="21"/>
          <w:szCs w:val="21"/>
          <w:highlight w:val="none"/>
        </w:rPr>
      </w:pPr>
    </w:p>
    <w:p w14:paraId="1F6595B9">
      <w:pPr>
        <w:rPr>
          <w:rFonts w:ascii="宋体" w:hAnsi="宋体" w:cs="宋体"/>
          <w:sz w:val="21"/>
          <w:szCs w:val="21"/>
          <w:highlight w:val="none"/>
        </w:rPr>
      </w:pPr>
    </w:p>
    <w:p w14:paraId="7BF7B992">
      <w:pPr>
        <w:rPr>
          <w:rFonts w:ascii="宋体" w:hAnsi="宋体" w:cs="宋体"/>
          <w:sz w:val="21"/>
          <w:szCs w:val="21"/>
          <w:highlight w:val="none"/>
        </w:rPr>
      </w:pPr>
    </w:p>
    <w:p w14:paraId="4A59FF6B">
      <w:pPr>
        <w:rPr>
          <w:rFonts w:ascii="宋体" w:hAnsi="宋体" w:cs="宋体"/>
          <w:sz w:val="21"/>
          <w:szCs w:val="21"/>
          <w:highlight w:val="none"/>
        </w:rPr>
      </w:pPr>
    </w:p>
    <w:p w14:paraId="0FDC04C3">
      <w:pPr>
        <w:rPr>
          <w:rFonts w:ascii="宋体" w:hAnsi="宋体" w:cs="宋体"/>
          <w:sz w:val="21"/>
          <w:szCs w:val="21"/>
          <w:highlight w:val="none"/>
        </w:rPr>
      </w:pPr>
    </w:p>
    <w:p w14:paraId="0F7B0D63">
      <w:pPr>
        <w:rPr>
          <w:rFonts w:ascii="宋体" w:hAnsi="宋体" w:cs="宋体"/>
          <w:sz w:val="21"/>
          <w:szCs w:val="21"/>
          <w:highlight w:val="none"/>
        </w:rPr>
      </w:pPr>
    </w:p>
    <w:p w14:paraId="35200A9C">
      <w:pPr>
        <w:rPr>
          <w:rFonts w:ascii="宋体" w:hAnsi="宋体" w:cs="宋体"/>
          <w:sz w:val="21"/>
          <w:szCs w:val="21"/>
          <w:highlight w:val="none"/>
        </w:rPr>
      </w:pPr>
    </w:p>
    <w:p w14:paraId="726959B4">
      <w:pPr>
        <w:rPr>
          <w:rFonts w:ascii="宋体" w:hAnsi="宋体" w:cs="宋体"/>
          <w:sz w:val="21"/>
          <w:szCs w:val="21"/>
          <w:highlight w:val="none"/>
        </w:rPr>
      </w:pPr>
    </w:p>
    <w:p w14:paraId="4C24FDB9">
      <w:pPr>
        <w:rPr>
          <w:rFonts w:ascii="宋体" w:hAnsi="宋体" w:cs="宋体"/>
          <w:sz w:val="21"/>
          <w:szCs w:val="21"/>
          <w:highlight w:val="none"/>
        </w:rPr>
      </w:pPr>
    </w:p>
    <w:p w14:paraId="2267BFAE">
      <w:pPr>
        <w:widowControl w:val="0"/>
        <w:tabs>
          <w:tab w:val="left" w:pos="5375"/>
        </w:tabs>
        <w:spacing w:line="360" w:lineRule="auto"/>
        <w:outlineLvl w:val="1"/>
        <w:rPr>
          <w:rFonts w:ascii="宋体" w:hAnsi="宋体" w:cs="宋体"/>
          <w:sz w:val="21"/>
          <w:szCs w:val="21"/>
          <w:highlight w:val="none"/>
        </w:rPr>
      </w:pPr>
      <w:r>
        <w:rPr>
          <w:rFonts w:ascii="宋体" w:hAnsi="宋体" w:cs="宋体"/>
          <w:sz w:val="21"/>
          <w:szCs w:val="21"/>
          <w:highlight w:val="none"/>
        </w:rPr>
        <w:tab/>
      </w:r>
    </w:p>
    <w:p w14:paraId="574F8587">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outlineLvl w:val="1"/>
        <w:rPr>
          <w:rFonts w:hint="eastAsia" w:ascii="宋体" w:hAnsi="宋体" w:cs="宋体"/>
          <w:sz w:val="21"/>
          <w:szCs w:val="21"/>
          <w:highlight w:val="none"/>
        </w:rPr>
      </w:pPr>
      <w:r>
        <w:rPr>
          <w:rFonts w:hint="eastAsia" w:ascii="宋体" w:hAnsi="宋体" w:cs="宋体"/>
          <w:sz w:val="21"/>
          <w:szCs w:val="21"/>
          <w:highlight w:val="none"/>
        </w:rPr>
        <w:br w:type="page"/>
      </w:r>
      <w:bookmarkStart w:id="610" w:name="_Toc3359"/>
      <w:bookmarkStart w:id="611" w:name="_Toc93952456"/>
    </w:p>
    <w:p w14:paraId="33990B0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kern w:val="0"/>
          <w:sz w:val="30"/>
          <w:szCs w:val="24"/>
          <w:highlight w:val="none"/>
          <w:lang w:val="en-US" w:eastAsia="zh-CN" w:bidi="ar-SA"/>
        </w:rPr>
      </w:pPr>
      <w:r>
        <w:rPr>
          <w:rFonts w:hint="eastAsia" w:ascii="宋体" w:hAnsi="宋体" w:eastAsia="宋体" w:cs="宋体"/>
          <w:b/>
          <w:kern w:val="0"/>
          <w:sz w:val="30"/>
          <w:szCs w:val="24"/>
          <w:highlight w:val="none"/>
          <w:lang w:val="en-US" w:eastAsia="zh-CN" w:bidi="ar-SA"/>
        </w:rPr>
        <w:t>（十</w:t>
      </w:r>
      <w:r>
        <w:rPr>
          <w:rFonts w:hint="eastAsia" w:ascii="宋体" w:hAnsi="宋体" w:cs="宋体"/>
          <w:b/>
          <w:kern w:val="0"/>
          <w:sz w:val="30"/>
          <w:szCs w:val="24"/>
          <w:highlight w:val="none"/>
          <w:lang w:val="en-US" w:eastAsia="zh-CN" w:bidi="ar-SA"/>
        </w:rPr>
        <w:t>二</w:t>
      </w:r>
      <w:r>
        <w:rPr>
          <w:rFonts w:hint="eastAsia" w:ascii="宋体" w:hAnsi="宋体" w:eastAsia="宋体" w:cs="宋体"/>
          <w:b/>
          <w:kern w:val="0"/>
          <w:sz w:val="30"/>
          <w:szCs w:val="24"/>
          <w:highlight w:val="none"/>
          <w:lang w:val="en-US" w:eastAsia="zh-CN" w:bidi="ar-SA"/>
        </w:rPr>
        <w:t>）-1中小企业声明函（货物）</w:t>
      </w:r>
    </w:p>
    <w:p w14:paraId="5459CB01">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center"/>
        <w:textAlignment w:val="auto"/>
        <w:outlineLvl w:val="1"/>
        <w:rPr>
          <w:rFonts w:hint="eastAsia" w:ascii="宋体" w:hAnsi="宋体" w:eastAsia="宋体" w:cs="宋体"/>
          <w:b/>
          <w:kern w:val="0"/>
          <w:sz w:val="30"/>
          <w:szCs w:val="24"/>
          <w:highlight w:val="none"/>
          <w:lang w:val="en-US" w:eastAsia="zh-CN" w:bidi="ar-SA"/>
        </w:rPr>
      </w:pPr>
      <w:bookmarkStart w:id="612" w:name="_Toc8488"/>
      <w:r>
        <w:rPr>
          <w:rFonts w:hint="eastAsia" w:ascii="宋体" w:hAnsi="宋体" w:eastAsia="宋体" w:cs="宋体"/>
          <w:b/>
          <w:kern w:val="0"/>
          <w:sz w:val="30"/>
          <w:szCs w:val="24"/>
          <w:highlight w:val="none"/>
          <w:lang w:val="en-US" w:eastAsia="zh-CN" w:bidi="ar-SA"/>
        </w:rPr>
        <w:t>（非中小微企业不提供）</w:t>
      </w:r>
      <w:bookmarkEnd w:id="612"/>
    </w:p>
    <w:p w14:paraId="084CE02E">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仿宋" w:hAnsi="仿宋" w:eastAsia="仿宋" w:cs="仿宋"/>
          <w:b w:val="0"/>
          <w:bCs w:val="0"/>
          <w:sz w:val="28"/>
          <w:szCs w:val="28"/>
          <w:highlight w:val="none"/>
          <w:lang w:val="en-US" w:eastAsia="zh-CN"/>
        </w:rPr>
      </w:pPr>
    </w:p>
    <w:p w14:paraId="17869D0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13" w:name="_Toc25102"/>
      <w:r>
        <w:rPr>
          <w:rFonts w:hint="eastAsia" w:asciiTheme="majorEastAsia" w:hAnsiTheme="majorEastAsia" w:eastAsiaTheme="majorEastAsia" w:cstheme="majorEastAsia"/>
          <w:b w:val="0"/>
          <w:bCs w:val="0"/>
          <w:sz w:val="24"/>
          <w:szCs w:val="24"/>
          <w:highlight w:val="none"/>
          <w:lang w:val="en-US" w:eastAsia="zh-CN"/>
        </w:rPr>
        <w:t>本公司（联合体）郑重声明， 根据《政府采购促进中小企业发展管理办法》（财库﹝2020﹞46 号）的规定，本公司（联合体）参加</w:t>
      </w:r>
      <w:r>
        <w:rPr>
          <w:rFonts w:hint="eastAsia" w:asciiTheme="majorEastAsia" w:hAnsiTheme="majorEastAsia" w:eastAsiaTheme="majorEastAsia" w:cstheme="majorEastAsia"/>
          <w:b w:val="0"/>
          <w:bCs w:val="0"/>
          <w:sz w:val="24"/>
          <w:szCs w:val="24"/>
          <w:highlight w:val="none"/>
          <w:u w:val="single"/>
          <w:lang w:val="en-US" w:eastAsia="zh-CN"/>
        </w:rPr>
        <w:t>（单位名称）</w:t>
      </w:r>
      <w:r>
        <w:rPr>
          <w:rFonts w:hint="eastAsia" w:asciiTheme="majorEastAsia" w:hAnsiTheme="majorEastAsia" w:eastAsiaTheme="majorEastAsia" w:cstheme="majorEastAsia"/>
          <w:b w:val="0"/>
          <w:bCs w:val="0"/>
          <w:sz w:val="24"/>
          <w:szCs w:val="24"/>
          <w:highlight w:val="none"/>
          <w:lang w:val="en-US" w:eastAsia="zh-CN"/>
        </w:rPr>
        <w:t>的</w:t>
      </w:r>
      <w:r>
        <w:rPr>
          <w:rFonts w:hint="eastAsia" w:asciiTheme="majorEastAsia" w:hAnsiTheme="majorEastAsia" w:eastAsiaTheme="majorEastAsia" w:cstheme="majorEastAsia"/>
          <w:b w:val="0"/>
          <w:bCs w:val="0"/>
          <w:sz w:val="24"/>
          <w:szCs w:val="24"/>
          <w:highlight w:val="none"/>
          <w:u w:val="single"/>
          <w:lang w:val="en-US" w:eastAsia="zh-CN"/>
        </w:rPr>
        <w:t>（项目名称、包段）</w:t>
      </w:r>
      <w:r>
        <w:rPr>
          <w:rFonts w:hint="eastAsia" w:asciiTheme="majorEastAsia" w:hAnsiTheme="majorEastAsia" w:eastAsiaTheme="majorEastAsia" w:cstheme="majorEastAsia"/>
          <w:b w:val="0"/>
          <w:bCs w:val="0"/>
          <w:sz w:val="24"/>
          <w:szCs w:val="24"/>
          <w:highlight w:val="none"/>
          <w:lang w:val="en-US" w:eastAsia="zh-CN"/>
        </w:rPr>
        <w:t>采购活动，提供的货物全部由符合政策要求的中小企业制造。相关企业（含联合体中的中小企业、签订分包意向协议的中小企业）的具体情况如下：</w:t>
      </w:r>
      <w:bookmarkEnd w:id="613"/>
      <w:r>
        <w:rPr>
          <w:rFonts w:hint="eastAsia" w:asciiTheme="majorEastAsia" w:hAnsiTheme="majorEastAsia" w:eastAsiaTheme="majorEastAsia" w:cstheme="majorEastAsia"/>
          <w:b w:val="0"/>
          <w:bCs w:val="0"/>
          <w:sz w:val="24"/>
          <w:szCs w:val="24"/>
          <w:highlight w:val="none"/>
          <w:lang w:val="en-US" w:eastAsia="zh-CN"/>
        </w:rPr>
        <w:t xml:space="preserve"> </w:t>
      </w:r>
    </w:p>
    <w:p w14:paraId="6459E92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14" w:name="_Toc21065"/>
      <w:r>
        <w:rPr>
          <w:rFonts w:hint="eastAsia" w:asciiTheme="majorEastAsia" w:hAnsiTheme="majorEastAsia" w:eastAsiaTheme="majorEastAsia" w:cstheme="majorEastAsia"/>
          <w:b w:val="0"/>
          <w:bCs w:val="0"/>
          <w:sz w:val="24"/>
          <w:szCs w:val="24"/>
          <w:highlight w:val="none"/>
          <w:lang w:val="en-US" w:eastAsia="zh-CN"/>
        </w:rPr>
        <w:t>1.</w:t>
      </w:r>
      <w:r>
        <w:rPr>
          <w:rFonts w:hint="eastAsia" w:asciiTheme="majorEastAsia" w:hAnsiTheme="majorEastAsia" w:eastAsiaTheme="majorEastAsia" w:cstheme="majorEastAsia"/>
          <w:b w:val="0"/>
          <w:bCs w:val="0"/>
          <w:sz w:val="24"/>
          <w:szCs w:val="24"/>
          <w:highlight w:val="none"/>
          <w:u w:val="single"/>
          <w:lang w:val="en-US" w:eastAsia="zh-CN"/>
        </w:rPr>
        <w:t>（标的名称）</w:t>
      </w:r>
      <w:r>
        <w:rPr>
          <w:rFonts w:hint="eastAsia" w:asciiTheme="majorEastAsia" w:hAnsiTheme="majorEastAsia" w:eastAsiaTheme="majorEastAsia" w:cstheme="majorEastAsia"/>
          <w:b w:val="0"/>
          <w:bCs w:val="0"/>
          <w:sz w:val="24"/>
          <w:szCs w:val="24"/>
          <w:highlight w:val="none"/>
          <w:lang w:val="en-US" w:eastAsia="zh-CN"/>
        </w:rPr>
        <w:t>，属于</w:t>
      </w:r>
      <w:r>
        <w:rPr>
          <w:rFonts w:hint="eastAsia" w:asciiTheme="majorEastAsia" w:hAnsiTheme="majorEastAsia" w:eastAsiaTheme="majorEastAsia" w:cstheme="majorEastAsia"/>
          <w:b w:val="0"/>
          <w:bCs w:val="0"/>
          <w:sz w:val="24"/>
          <w:szCs w:val="24"/>
          <w:highlight w:val="none"/>
          <w:u w:val="single"/>
          <w:lang w:val="en-US" w:eastAsia="zh-CN"/>
        </w:rPr>
        <w:t>（采购文件中明确的所属行业）</w:t>
      </w:r>
      <w:r>
        <w:rPr>
          <w:rFonts w:hint="eastAsia" w:asciiTheme="majorEastAsia" w:hAnsiTheme="majorEastAsia" w:eastAsiaTheme="majorEastAsia" w:cstheme="majorEastAsia"/>
          <w:b w:val="0"/>
          <w:bCs w:val="0"/>
          <w:sz w:val="24"/>
          <w:szCs w:val="24"/>
          <w:highlight w:val="none"/>
          <w:lang w:val="en-US" w:eastAsia="zh-CN"/>
        </w:rPr>
        <w:t xml:space="preserve"> 行业；制造商为</w:t>
      </w:r>
      <w:r>
        <w:rPr>
          <w:rFonts w:hint="eastAsia" w:asciiTheme="majorEastAsia" w:hAnsiTheme="majorEastAsia" w:eastAsiaTheme="majorEastAsia" w:cstheme="majorEastAsia"/>
          <w:b w:val="0"/>
          <w:bCs w:val="0"/>
          <w:sz w:val="24"/>
          <w:szCs w:val="24"/>
          <w:highlight w:val="none"/>
          <w:u w:val="single"/>
          <w:lang w:val="en-US" w:eastAsia="zh-CN"/>
        </w:rPr>
        <w:t xml:space="preserve"> （ 企业名称）</w:t>
      </w:r>
      <w:r>
        <w:rPr>
          <w:rFonts w:hint="eastAsia" w:asciiTheme="majorEastAsia" w:hAnsiTheme="majorEastAsia" w:eastAsiaTheme="majorEastAsia" w:cstheme="majorEastAsia"/>
          <w:b w:val="0"/>
          <w:bCs w:val="0"/>
          <w:sz w:val="24"/>
          <w:szCs w:val="24"/>
          <w:highlight w:val="none"/>
          <w:lang w:val="en-US" w:eastAsia="zh-CN"/>
        </w:rPr>
        <w:t xml:space="preserve"> ，从业人员</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人，营业收入为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万元，资产总额为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万元，属于（</w:t>
      </w:r>
      <w:r>
        <w:rPr>
          <w:rFonts w:hint="eastAsia" w:asciiTheme="majorEastAsia" w:hAnsiTheme="majorEastAsia" w:eastAsiaTheme="majorEastAsia" w:cstheme="majorEastAsia"/>
          <w:b w:val="0"/>
          <w:bCs w:val="0"/>
          <w:sz w:val="24"/>
          <w:szCs w:val="24"/>
          <w:highlight w:val="none"/>
          <w:u w:val="single"/>
          <w:lang w:val="en-US" w:eastAsia="zh-CN"/>
        </w:rPr>
        <w:t>中型企业、小型企业、微型企业</w:t>
      </w:r>
      <w:r>
        <w:rPr>
          <w:rFonts w:hint="eastAsia" w:asciiTheme="majorEastAsia" w:hAnsiTheme="majorEastAsia" w:eastAsiaTheme="majorEastAsia" w:cstheme="majorEastAsia"/>
          <w:b w:val="0"/>
          <w:bCs w:val="0"/>
          <w:sz w:val="24"/>
          <w:szCs w:val="24"/>
          <w:highlight w:val="none"/>
          <w:lang w:val="en-US" w:eastAsia="zh-CN"/>
        </w:rPr>
        <w:t>）；</w:t>
      </w:r>
      <w:bookmarkEnd w:id="614"/>
    </w:p>
    <w:p w14:paraId="00B8DFD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15" w:name="_Toc11015"/>
      <w:r>
        <w:rPr>
          <w:rFonts w:hint="eastAsia" w:asciiTheme="majorEastAsia" w:hAnsiTheme="majorEastAsia" w:eastAsiaTheme="majorEastAsia" w:cstheme="majorEastAsia"/>
          <w:b w:val="0"/>
          <w:bCs w:val="0"/>
          <w:sz w:val="24"/>
          <w:szCs w:val="24"/>
          <w:highlight w:val="none"/>
          <w:lang w:val="en-US" w:eastAsia="zh-CN"/>
        </w:rPr>
        <w:t>2.</w:t>
      </w:r>
      <w:r>
        <w:rPr>
          <w:rFonts w:hint="eastAsia" w:asciiTheme="majorEastAsia" w:hAnsiTheme="majorEastAsia" w:eastAsiaTheme="majorEastAsia" w:cstheme="majorEastAsia"/>
          <w:b w:val="0"/>
          <w:bCs w:val="0"/>
          <w:sz w:val="24"/>
          <w:szCs w:val="24"/>
          <w:highlight w:val="none"/>
          <w:u w:val="single"/>
          <w:lang w:val="en-US" w:eastAsia="zh-CN"/>
        </w:rPr>
        <w:t xml:space="preserve">（标的名称） </w:t>
      </w:r>
      <w:r>
        <w:rPr>
          <w:rFonts w:hint="eastAsia" w:asciiTheme="majorEastAsia" w:hAnsiTheme="majorEastAsia" w:eastAsiaTheme="majorEastAsia" w:cstheme="majorEastAsia"/>
          <w:b w:val="0"/>
          <w:bCs w:val="0"/>
          <w:sz w:val="24"/>
          <w:szCs w:val="24"/>
          <w:highlight w:val="none"/>
          <w:lang w:val="en-US" w:eastAsia="zh-CN"/>
        </w:rPr>
        <w:t>，属于</w:t>
      </w:r>
      <w:r>
        <w:rPr>
          <w:rFonts w:hint="eastAsia" w:asciiTheme="majorEastAsia" w:hAnsiTheme="majorEastAsia" w:eastAsiaTheme="majorEastAsia" w:cstheme="majorEastAsia"/>
          <w:b w:val="0"/>
          <w:bCs w:val="0"/>
          <w:sz w:val="24"/>
          <w:szCs w:val="24"/>
          <w:highlight w:val="none"/>
          <w:u w:val="single"/>
          <w:lang w:val="en-US" w:eastAsia="zh-CN"/>
        </w:rPr>
        <w:t xml:space="preserve">（采购文件中明确的所属行业） </w:t>
      </w:r>
      <w:r>
        <w:rPr>
          <w:rFonts w:hint="eastAsia" w:asciiTheme="majorEastAsia" w:hAnsiTheme="majorEastAsia" w:eastAsiaTheme="majorEastAsia" w:cstheme="majorEastAsia"/>
          <w:b w:val="0"/>
          <w:bCs w:val="0"/>
          <w:sz w:val="24"/>
          <w:szCs w:val="24"/>
          <w:highlight w:val="none"/>
          <w:lang w:val="en-US" w:eastAsia="zh-CN"/>
        </w:rPr>
        <w:t>行业；制造商为</w:t>
      </w:r>
      <w:r>
        <w:rPr>
          <w:rFonts w:hint="eastAsia" w:asciiTheme="majorEastAsia" w:hAnsiTheme="majorEastAsia" w:eastAsiaTheme="majorEastAsia" w:cstheme="majorEastAsia"/>
          <w:b w:val="0"/>
          <w:bCs w:val="0"/>
          <w:sz w:val="24"/>
          <w:szCs w:val="24"/>
          <w:highlight w:val="none"/>
          <w:u w:val="single"/>
          <w:lang w:val="en-US" w:eastAsia="zh-CN"/>
        </w:rPr>
        <w:t xml:space="preserve"> （ 企业名称） </w:t>
      </w:r>
      <w:r>
        <w:rPr>
          <w:rFonts w:hint="eastAsia" w:asciiTheme="majorEastAsia" w:hAnsiTheme="majorEastAsia" w:eastAsiaTheme="majorEastAsia" w:cstheme="majorEastAsia"/>
          <w:b w:val="0"/>
          <w:bCs w:val="0"/>
          <w:sz w:val="24"/>
          <w:szCs w:val="24"/>
          <w:highlight w:val="none"/>
          <w:lang w:val="en-US" w:eastAsia="zh-CN"/>
        </w:rPr>
        <w:t>，从业人员</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人，营业收入为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万元，资产总额为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万元，属于</w:t>
      </w:r>
      <w:r>
        <w:rPr>
          <w:rFonts w:hint="eastAsia" w:asciiTheme="majorEastAsia" w:hAnsiTheme="majorEastAsia" w:eastAsiaTheme="majorEastAsia" w:cstheme="majorEastAsia"/>
          <w:b w:val="0"/>
          <w:bCs w:val="0"/>
          <w:sz w:val="24"/>
          <w:szCs w:val="24"/>
          <w:highlight w:val="none"/>
          <w:u w:val="single"/>
          <w:lang w:val="en-US" w:eastAsia="zh-CN"/>
        </w:rPr>
        <w:t>（中型企业、小型企业、微型企业）</w:t>
      </w:r>
      <w:r>
        <w:rPr>
          <w:rFonts w:hint="eastAsia" w:asciiTheme="majorEastAsia" w:hAnsiTheme="majorEastAsia" w:eastAsiaTheme="majorEastAsia" w:cstheme="majorEastAsia"/>
          <w:b w:val="0"/>
          <w:bCs w:val="0"/>
          <w:sz w:val="24"/>
          <w:szCs w:val="24"/>
          <w:highlight w:val="none"/>
          <w:lang w:val="en-US" w:eastAsia="zh-CN"/>
        </w:rPr>
        <w:t>；</w:t>
      </w:r>
      <w:bookmarkEnd w:id="615"/>
      <w:r>
        <w:rPr>
          <w:rFonts w:hint="eastAsia" w:asciiTheme="majorEastAsia" w:hAnsiTheme="majorEastAsia" w:eastAsiaTheme="majorEastAsia" w:cstheme="majorEastAsia"/>
          <w:b w:val="0"/>
          <w:bCs w:val="0"/>
          <w:sz w:val="24"/>
          <w:szCs w:val="24"/>
          <w:highlight w:val="none"/>
          <w:lang w:val="en-US" w:eastAsia="zh-CN"/>
        </w:rPr>
        <w:t xml:space="preserve"> </w:t>
      </w:r>
    </w:p>
    <w:p w14:paraId="76CBC30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16" w:name="_Toc7661"/>
      <w:r>
        <w:rPr>
          <w:rFonts w:hint="eastAsia" w:asciiTheme="majorEastAsia" w:hAnsiTheme="majorEastAsia" w:eastAsiaTheme="majorEastAsia" w:cstheme="majorEastAsia"/>
          <w:b w:val="0"/>
          <w:bCs w:val="0"/>
          <w:sz w:val="24"/>
          <w:szCs w:val="24"/>
          <w:highlight w:val="none"/>
          <w:lang w:val="en-US" w:eastAsia="zh-CN"/>
        </w:rPr>
        <w:t>……</w:t>
      </w:r>
      <w:bookmarkEnd w:id="616"/>
    </w:p>
    <w:p w14:paraId="7C5EA8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17" w:name="_Toc8585"/>
      <w:r>
        <w:rPr>
          <w:rFonts w:hint="eastAsia" w:asciiTheme="majorEastAsia" w:hAnsiTheme="majorEastAsia" w:eastAsiaTheme="majorEastAsia" w:cstheme="majorEastAsia"/>
          <w:b w:val="0"/>
          <w:bCs w:val="0"/>
          <w:sz w:val="24"/>
          <w:szCs w:val="24"/>
          <w:highlight w:val="none"/>
          <w:lang w:val="en-US" w:eastAsia="zh-CN"/>
        </w:rPr>
        <w:t>以上企业，不属于大企业的分支机构，不存在控股股东为大企业的情形也不</w:t>
      </w:r>
      <w:bookmarkEnd w:id="617"/>
    </w:p>
    <w:p w14:paraId="016D06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18" w:name="_Toc18110"/>
      <w:r>
        <w:rPr>
          <w:rFonts w:hint="eastAsia" w:asciiTheme="majorEastAsia" w:hAnsiTheme="majorEastAsia" w:eastAsiaTheme="majorEastAsia" w:cstheme="majorEastAsia"/>
          <w:b w:val="0"/>
          <w:bCs w:val="0"/>
          <w:sz w:val="24"/>
          <w:szCs w:val="24"/>
          <w:highlight w:val="none"/>
          <w:lang w:val="en-US" w:eastAsia="zh-CN"/>
        </w:rPr>
        <w:t>存在与大企业的负责人为同一人的情形。</w:t>
      </w:r>
      <w:bookmarkEnd w:id="618"/>
      <w:r>
        <w:rPr>
          <w:rFonts w:hint="eastAsia" w:asciiTheme="majorEastAsia" w:hAnsiTheme="majorEastAsia" w:eastAsiaTheme="majorEastAsia" w:cstheme="majorEastAsia"/>
          <w:b w:val="0"/>
          <w:bCs w:val="0"/>
          <w:sz w:val="24"/>
          <w:szCs w:val="24"/>
          <w:highlight w:val="none"/>
          <w:lang w:val="en-US" w:eastAsia="zh-CN"/>
        </w:rPr>
        <w:t xml:space="preserve"> </w:t>
      </w:r>
    </w:p>
    <w:p w14:paraId="791824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19" w:name="_Toc14384"/>
      <w:r>
        <w:rPr>
          <w:rFonts w:hint="eastAsia" w:asciiTheme="majorEastAsia" w:hAnsiTheme="majorEastAsia" w:eastAsiaTheme="majorEastAsia" w:cstheme="majorEastAsia"/>
          <w:b w:val="0"/>
          <w:bCs w:val="0"/>
          <w:sz w:val="24"/>
          <w:szCs w:val="24"/>
          <w:highlight w:val="none"/>
          <w:lang w:val="en-US" w:eastAsia="zh-CN"/>
        </w:rPr>
        <w:t>本企业对上述声明内容的真实性负责。如有虚假，将依法承担相应责任。</w:t>
      </w:r>
      <w:bookmarkEnd w:id="619"/>
      <w:r>
        <w:rPr>
          <w:rFonts w:hint="eastAsia" w:asciiTheme="majorEastAsia" w:hAnsiTheme="majorEastAsia" w:eastAsiaTheme="majorEastAsia" w:cstheme="majorEastAsia"/>
          <w:b w:val="0"/>
          <w:bCs w:val="0"/>
          <w:sz w:val="24"/>
          <w:szCs w:val="24"/>
          <w:highlight w:val="none"/>
          <w:lang w:val="en-US" w:eastAsia="zh-CN"/>
        </w:rPr>
        <w:t xml:space="preserve"> </w:t>
      </w:r>
    </w:p>
    <w:p w14:paraId="5A50A69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p>
    <w:p w14:paraId="0BA144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p>
    <w:p w14:paraId="5413BA3F">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法定代表人或法人授权代表（签字）：</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14F13A1A">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 xml:space="preserve">  </w:t>
      </w:r>
    </w:p>
    <w:p w14:paraId="0A3372E6">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承诺方名称（公章）：</w:t>
      </w:r>
      <w:r>
        <w:rPr>
          <w:rFonts w:hint="eastAsia" w:asciiTheme="majorEastAsia" w:hAnsiTheme="majorEastAsia" w:eastAsiaTheme="majorEastAsia" w:cstheme="majorEastAsia"/>
          <w:sz w:val="24"/>
          <w:szCs w:val="24"/>
          <w:highlight w:val="none"/>
          <w:u w:val="single"/>
        </w:rPr>
        <w:t xml:space="preserve">                           </w:t>
      </w:r>
    </w:p>
    <w:p w14:paraId="6C2576A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8"/>
          <w:szCs w:val="28"/>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日   期：</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日</w:t>
      </w:r>
    </w:p>
    <w:p w14:paraId="64472C08">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outlineLvl w:val="1"/>
        <w:rPr>
          <w:rFonts w:hint="eastAsia" w:ascii="仿宋" w:hAnsi="仿宋" w:eastAsia="仿宋" w:cs="仿宋"/>
          <w:b/>
          <w:bCs/>
          <w:sz w:val="28"/>
          <w:szCs w:val="28"/>
          <w:highlight w:val="none"/>
          <w:lang w:val="en-US" w:eastAsia="zh-CN"/>
        </w:rPr>
      </w:pPr>
      <w:bookmarkStart w:id="620" w:name="_Toc27982"/>
      <w:r>
        <w:rPr>
          <w:rFonts w:hint="eastAsia" w:ascii="仿宋" w:hAnsi="仿宋" w:eastAsia="仿宋" w:cs="仿宋"/>
          <w:b/>
          <w:bCs/>
          <w:sz w:val="28"/>
          <w:szCs w:val="28"/>
          <w:highlight w:val="none"/>
          <w:lang w:val="en-US" w:eastAsia="zh-CN"/>
        </w:rPr>
        <w:t>从业人员、营业收入、资产总额填报上一年度数据，无上一年度数据的新成</w:t>
      </w:r>
      <w:bookmarkEnd w:id="620"/>
      <w:bookmarkStart w:id="621" w:name="_Toc8136"/>
      <w:r>
        <w:rPr>
          <w:rFonts w:hint="eastAsia" w:ascii="仿宋" w:hAnsi="仿宋" w:eastAsia="仿宋" w:cs="仿宋"/>
          <w:b/>
          <w:bCs/>
          <w:sz w:val="28"/>
          <w:szCs w:val="28"/>
          <w:highlight w:val="none"/>
          <w:lang w:val="en-US" w:eastAsia="zh-CN"/>
        </w:rPr>
        <w:t>立企业可不填报。</w:t>
      </w:r>
      <w:bookmarkEnd w:id="621"/>
      <w:r>
        <w:rPr>
          <w:rFonts w:hint="eastAsia" w:ascii="仿宋" w:hAnsi="仿宋" w:eastAsia="仿宋" w:cs="仿宋"/>
          <w:b/>
          <w:bCs/>
          <w:sz w:val="28"/>
          <w:szCs w:val="28"/>
          <w:highlight w:val="none"/>
          <w:lang w:val="en-US" w:eastAsia="zh-CN"/>
        </w:rPr>
        <w:t xml:space="preserve"> </w:t>
      </w:r>
    </w:p>
    <w:p w14:paraId="04E9125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outlineLvl w:val="1"/>
        <w:rPr>
          <w:rFonts w:hint="eastAsia" w:ascii="宋体" w:hAnsi="宋体" w:cs="宋体"/>
          <w:sz w:val="21"/>
          <w:szCs w:val="21"/>
          <w:highlight w:val="none"/>
        </w:rPr>
      </w:pPr>
    </w:p>
    <w:p w14:paraId="47DF8F0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outlineLvl w:val="1"/>
        <w:rPr>
          <w:rFonts w:hint="eastAsia" w:ascii="宋体" w:hAnsi="宋体" w:cs="宋体"/>
          <w:sz w:val="21"/>
          <w:szCs w:val="21"/>
          <w:highlight w:val="none"/>
        </w:rPr>
      </w:pPr>
    </w:p>
    <w:p w14:paraId="0C842617">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outlineLvl w:val="1"/>
        <w:rPr>
          <w:rFonts w:hint="eastAsia" w:ascii="宋体" w:hAnsi="宋体" w:cs="宋体"/>
          <w:sz w:val="21"/>
          <w:szCs w:val="21"/>
          <w:highlight w:val="none"/>
        </w:rPr>
      </w:pPr>
    </w:p>
    <w:p w14:paraId="065453F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kern w:val="0"/>
          <w:sz w:val="30"/>
          <w:szCs w:val="24"/>
          <w:highlight w:val="none"/>
          <w:lang w:val="en-US" w:eastAsia="zh-CN" w:bidi="ar-SA"/>
        </w:rPr>
      </w:pPr>
    </w:p>
    <w:p w14:paraId="0070013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kern w:val="0"/>
          <w:sz w:val="30"/>
          <w:szCs w:val="24"/>
          <w:highlight w:val="none"/>
          <w:lang w:val="en-US" w:eastAsia="zh-CN" w:bidi="ar-SA"/>
        </w:rPr>
      </w:pPr>
      <w:r>
        <w:rPr>
          <w:rFonts w:hint="eastAsia" w:ascii="宋体" w:hAnsi="宋体" w:eastAsia="宋体" w:cs="宋体"/>
          <w:b/>
          <w:kern w:val="0"/>
          <w:sz w:val="30"/>
          <w:szCs w:val="24"/>
          <w:highlight w:val="none"/>
          <w:lang w:val="en-US" w:eastAsia="zh-CN" w:bidi="ar-SA"/>
        </w:rPr>
        <w:t>（十</w:t>
      </w:r>
      <w:r>
        <w:rPr>
          <w:rFonts w:hint="eastAsia" w:ascii="宋体" w:hAnsi="宋体" w:cs="宋体"/>
          <w:b/>
          <w:kern w:val="0"/>
          <w:sz w:val="30"/>
          <w:szCs w:val="24"/>
          <w:highlight w:val="none"/>
          <w:lang w:val="en-US" w:eastAsia="zh-CN" w:bidi="ar-SA"/>
        </w:rPr>
        <w:t>二</w:t>
      </w:r>
      <w:r>
        <w:rPr>
          <w:rFonts w:hint="eastAsia" w:ascii="宋体" w:hAnsi="宋体" w:eastAsia="宋体" w:cs="宋体"/>
          <w:b/>
          <w:kern w:val="0"/>
          <w:sz w:val="30"/>
          <w:szCs w:val="24"/>
          <w:highlight w:val="none"/>
          <w:lang w:val="en-US" w:eastAsia="zh-CN" w:bidi="ar-SA"/>
        </w:rPr>
        <w:t>）</w:t>
      </w:r>
      <w:bookmarkEnd w:id="610"/>
      <w:bookmarkEnd w:id="611"/>
      <w:bookmarkStart w:id="622" w:name="_Toc32585"/>
      <w:r>
        <w:rPr>
          <w:rFonts w:hint="eastAsia" w:ascii="宋体" w:hAnsi="宋体" w:cs="宋体"/>
          <w:b/>
          <w:kern w:val="0"/>
          <w:sz w:val="30"/>
          <w:szCs w:val="24"/>
          <w:highlight w:val="none"/>
          <w:lang w:val="en-US" w:eastAsia="zh-CN" w:bidi="ar-SA"/>
        </w:rPr>
        <w:t>-2</w:t>
      </w:r>
      <w:r>
        <w:rPr>
          <w:rFonts w:hint="eastAsia" w:ascii="宋体" w:hAnsi="宋体" w:eastAsia="宋体" w:cs="宋体"/>
          <w:b/>
          <w:kern w:val="0"/>
          <w:sz w:val="30"/>
          <w:szCs w:val="24"/>
          <w:highlight w:val="none"/>
          <w:lang w:val="en-US" w:eastAsia="zh-CN" w:bidi="ar-SA"/>
        </w:rPr>
        <w:t>中小企业声明函（工程、服务）</w:t>
      </w:r>
      <w:bookmarkEnd w:id="622"/>
    </w:p>
    <w:p w14:paraId="452A1AD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宋体" w:hAnsi="宋体" w:eastAsia="宋体" w:cs="宋体"/>
          <w:b/>
          <w:bCs/>
          <w:sz w:val="21"/>
          <w:szCs w:val="21"/>
          <w:highlight w:val="none"/>
          <w:lang w:val="en-US" w:eastAsia="zh-CN"/>
        </w:rPr>
      </w:pPr>
    </w:p>
    <w:p w14:paraId="0C4B2C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23" w:name="_Toc19310"/>
      <w:r>
        <w:rPr>
          <w:rFonts w:hint="eastAsia" w:asciiTheme="majorEastAsia" w:hAnsiTheme="majorEastAsia" w:eastAsiaTheme="majorEastAsia" w:cstheme="majorEastAsia"/>
          <w:b w:val="0"/>
          <w:bCs w:val="0"/>
          <w:sz w:val="24"/>
          <w:szCs w:val="24"/>
          <w:highlight w:val="none"/>
          <w:lang w:val="en-US" w:eastAsia="zh-CN"/>
        </w:rPr>
        <w:t>本公司（联合体）郑重声明，根据《政府采购促进中小企业发展管理办法》（财库﹝2020﹞46 号 ）的规定， 本公司（联合体）参加</w:t>
      </w:r>
      <w:r>
        <w:rPr>
          <w:rFonts w:hint="eastAsia" w:asciiTheme="majorEastAsia" w:hAnsiTheme="majorEastAsia" w:eastAsiaTheme="majorEastAsia" w:cstheme="majorEastAsia"/>
          <w:b w:val="0"/>
          <w:bCs w:val="0"/>
          <w:sz w:val="24"/>
          <w:szCs w:val="24"/>
          <w:highlight w:val="none"/>
          <w:u w:val="single"/>
          <w:lang w:val="en-US" w:eastAsia="zh-CN"/>
        </w:rPr>
        <w:t xml:space="preserve">（ 单位名称 ） </w:t>
      </w:r>
      <w:r>
        <w:rPr>
          <w:rFonts w:hint="eastAsia" w:asciiTheme="majorEastAsia" w:hAnsiTheme="majorEastAsia" w:eastAsiaTheme="majorEastAsia" w:cstheme="majorEastAsia"/>
          <w:b w:val="0"/>
          <w:bCs w:val="0"/>
          <w:sz w:val="24"/>
          <w:szCs w:val="24"/>
          <w:highlight w:val="none"/>
          <w:lang w:val="en-US" w:eastAsia="zh-CN"/>
        </w:rPr>
        <w:t>的</w:t>
      </w:r>
      <w:r>
        <w:rPr>
          <w:rFonts w:hint="eastAsia" w:asciiTheme="majorEastAsia" w:hAnsiTheme="majorEastAsia" w:eastAsiaTheme="majorEastAsia" w:cstheme="majorEastAsia"/>
          <w:b w:val="0"/>
          <w:bCs w:val="0"/>
          <w:sz w:val="24"/>
          <w:szCs w:val="24"/>
          <w:highlight w:val="none"/>
          <w:u w:val="single"/>
          <w:lang w:val="en-US" w:eastAsia="zh-CN"/>
        </w:rPr>
        <w:t>（项目名称）</w:t>
      </w:r>
      <w:r>
        <w:rPr>
          <w:rFonts w:hint="eastAsia" w:asciiTheme="majorEastAsia" w:hAnsiTheme="majorEastAsia" w:eastAsiaTheme="majorEastAsia" w:cstheme="majorEastAsia"/>
          <w:b w:val="0"/>
          <w:bCs w:val="0"/>
          <w:sz w:val="24"/>
          <w:szCs w:val="24"/>
          <w:highlight w:val="none"/>
          <w:lang w:val="en-US" w:eastAsia="zh-CN"/>
        </w:rPr>
        <w:t>采购活动，工程的施工单位全部为符合政策要求的中小企业（或者：服务全部由符合政策要求的中小企业承接）。 相关企业（含联合体中的中小</w:t>
      </w:r>
      <w:bookmarkEnd w:id="623"/>
    </w:p>
    <w:p w14:paraId="0A2EC630">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24" w:name="_Toc30902"/>
      <w:r>
        <w:rPr>
          <w:rFonts w:hint="eastAsia" w:asciiTheme="majorEastAsia" w:hAnsiTheme="majorEastAsia" w:eastAsiaTheme="majorEastAsia" w:cstheme="majorEastAsia"/>
          <w:b w:val="0"/>
          <w:bCs w:val="0"/>
          <w:sz w:val="24"/>
          <w:szCs w:val="24"/>
          <w:highlight w:val="none"/>
          <w:lang w:val="en-US" w:eastAsia="zh-CN"/>
        </w:rPr>
        <w:t>企业、签订分包意向协议的中小企业）的具体情况如下：</w:t>
      </w:r>
      <w:bookmarkEnd w:id="624"/>
      <w:r>
        <w:rPr>
          <w:rFonts w:hint="eastAsia" w:asciiTheme="majorEastAsia" w:hAnsiTheme="majorEastAsia" w:eastAsiaTheme="majorEastAsia" w:cstheme="majorEastAsia"/>
          <w:b w:val="0"/>
          <w:bCs w:val="0"/>
          <w:sz w:val="24"/>
          <w:szCs w:val="24"/>
          <w:highlight w:val="none"/>
          <w:lang w:val="en-US" w:eastAsia="zh-CN"/>
        </w:rPr>
        <w:t xml:space="preserve"> </w:t>
      </w:r>
    </w:p>
    <w:p w14:paraId="427FDEA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25" w:name="_Toc1707"/>
      <w:r>
        <w:rPr>
          <w:rFonts w:hint="eastAsia" w:asciiTheme="majorEastAsia" w:hAnsiTheme="majorEastAsia" w:eastAsiaTheme="majorEastAsia" w:cstheme="majorEastAsia"/>
          <w:b w:val="0"/>
          <w:bCs w:val="0"/>
          <w:sz w:val="24"/>
          <w:szCs w:val="24"/>
          <w:highlight w:val="none"/>
          <w:lang w:val="en-US" w:eastAsia="zh-CN"/>
        </w:rPr>
        <w:t>1.</w:t>
      </w:r>
      <w:r>
        <w:rPr>
          <w:rFonts w:hint="eastAsia" w:asciiTheme="majorEastAsia" w:hAnsiTheme="majorEastAsia" w:eastAsiaTheme="majorEastAsia" w:cstheme="majorEastAsia"/>
          <w:b w:val="0"/>
          <w:bCs w:val="0"/>
          <w:sz w:val="24"/>
          <w:szCs w:val="24"/>
          <w:highlight w:val="none"/>
          <w:u w:val="single"/>
          <w:lang w:val="en-US" w:eastAsia="zh-CN"/>
        </w:rPr>
        <w:t>（标的名称）</w:t>
      </w:r>
      <w:r>
        <w:rPr>
          <w:rFonts w:hint="eastAsia" w:asciiTheme="majorEastAsia" w:hAnsiTheme="majorEastAsia" w:eastAsiaTheme="majorEastAsia" w:cstheme="majorEastAsia"/>
          <w:b w:val="0"/>
          <w:bCs w:val="0"/>
          <w:sz w:val="24"/>
          <w:szCs w:val="24"/>
          <w:highlight w:val="none"/>
          <w:lang w:val="en-US" w:eastAsia="zh-CN"/>
        </w:rPr>
        <w:t>，属于</w:t>
      </w:r>
      <w:r>
        <w:rPr>
          <w:rFonts w:hint="eastAsia" w:asciiTheme="majorEastAsia" w:hAnsiTheme="majorEastAsia" w:eastAsiaTheme="majorEastAsia" w:cstheme="majorEastAsia"/>
          <w:b w:val="0"/>
          <w:bCs w:val="0"/>
          <w:sz w:val="24"/>
          <w:szCs w:val="24"/>
          <w:highlight w:val="none"/>
          <w:u w:val="single"/>
          <w:lang w:val="en-US" w:eastAsia="zh-CN"/>
        </w:rPr>
        <w:t>（采购文件中明确所属行业）</w:t>
      </w:r>
      <w:r>
        <w:rPr>
          <w:rFonts w:hint="eastAsia" w:asciiTheme="majorEastAsia" w:hAnsiTheme="majorEastAsia" w:eastAsiaTheme="majorEastAsia" w:cstheme="majorEastAsia"/>
          <w:b w:val="0"/>
          <w:bCs w:val="0"/>
          <w:sz w:val="24"/>
          <w:szCs w:val="24"/>
          <w:highlight w:val="none"/>
          <w:lang w:val="en-US" w:eastAsia="zh-CN"/>
        </w:rPr>
        <w:t>；承建（承接）企业为</w:t>
      </w:r>
      <w:r>
        <w:rPr>
          <w:rFonts w:hint="eastAsia" w:asciiTheme="majorEastAsia" w:hAnsiTheme="majorEastAsia" w:eastAsiaTheme="majorEastAsia" w:cstheme="majorEastAsia"/>
          <w:b w:val="0"/>
          <w:bCs w:val="0"/>
          <w:sz w:val="24"/>
          <w:szCs w:val="24"/>
          <w:highlight w:val="none"/>
          <w:u w:val="single"/>
          <w:lang w:val="en-US" w:eastAsia="zh-CN"/>
        </w:rPr>
        <w:t>（企业名称）</w:t>
      </w:r>
      <w:r>
        <w:rPr>
          <w:rFonts w:hint="eastAsia" w:asciiTheme="majorEastAsia" w:hAnsiTheme="majorEastAsia" w:eastAsiaTheme="majorEastAsia" w:cstheme="majorEastAsia"/>
          <w:b w:val="0"/>
          <w:bCs w:val="0"/>
          <w:sz w:val="24"/>
          <w:szCs w:val="24"/>
          <w:highlight w:val="none"/>
          <w:lang w:val="en-US" w:eastAsia="zh-CN"/>
        </w:rPr>
        <w:t>， 从业人员</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人， 营业收入为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万元，资产总额为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万元，属于</w:t>
      </w:r>
      <w:r>
        <w:rPr>
          <w:rFonts w:hint="eastAsia" w:asciiTheme="majorEastAsia" w:hAnsiTheme="majorEastAsia" w:eastAsiaTheme="majorEastAsia" w:cstheme="majorEastAsia"/>
          <w:b w:val="0"/>
          <w:bCs w:val="0"/>
          <w:sz w:val="24"/>
          <w:szCs w:val="24"/>
          <w:highlight w:val="none"/>
          <w:u w:val="single"/>
          <w:lang w:val="en-US" w:eastAsia="zh-CN"/>
        </w:rPr>
        <w:t>（中型企业、小型企业、微型企业）</w:t>
      </w:r>
      <w:r>
        <w:rPr>
          <w:rFonts w:hint="eastAsia" w:asciiTheme="majorEastAsia" w:hAnsiTheme="majorEastAsia" w:eastAsiaTheme="majorEastAsia" w:cstheme="majorEastAsia"/>
          <w:b w:val="0"/>
          <w:bCs w:val="0"/>
          <w:sz w:val="24"/>
          <w:szCs w:val="24"/>
          <w:highlight w:val="none"/>
          <w:lang w:val="en-US" w:eastAsia="zh-CN"/>
        </w:rPr>
        <w:t>；</w:t>
      </w:r>
      <w:bookmarkEnd w:id="625"/>
      <w:r>
        <w:rPr>
          <w:rFonts w:hint="eastAsia" w:asciiTheme="majorEastAsia" w:hAnsiTheme="majorEastAsia" w:eastAsiaTheme="majorEastAsia" w:cstheme="majorEastAsia"/>
          <w:b w:val="0"/>
          <w:bCs w:val="0"/>
          <w:sz w:val="24"/>
          <w:szCs w:val="24"/>
          <w:highlight w:val="none"/>
          <w:lang w:val="en-US" w:eastAsia="zh-CN"/>
        </w:rPr>
        <w:t xml:space="preserve"> </w:t>
      </w:r>
    </w:p>
    <w:p w14:paraId="6DBAF29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26" w:name="_Toc31376"/>
      <w:r>
        <w:rPr>
          <w:rFonts w:hint="eastAsia" w:asciiTheme="majorEastAsia" w:hAnsiTheme="majorEastAsia" w:eastAsiaTheme="majorEastAsia" w:cstheme="majorEastAsia"/>
          <w:b w:val="0"/>
          <w:bCs w:val="0"/>
          <w:sz w:val="24"/>
          <w:szCs w:val="24"/>
          <w:highlight w:val="none"/>
          <w:lang w:val="en-US" w:eastAsia="zh-CN"/>
        </w:rPr>
        <w:t>2.</w:t>
      </w:r>
      <w:r>
        <w:rPr>
          <w:rFonts w:hint="eastAsia" w:asciiTheme="majorEastAsia" w:hAnsiTheme="majorEastAsia" w:eastAsiaTheme="majorEastAsia" w:cstheme="majorEastAsia"/>
          <w:b w:val="0"/>
          <w:bCs w:val="0"/>
          <w:sz w:val="24"/>
          <w:szCs w:val="24"/>
          <w:highlight w:val="none"/>
          <w:u w:val="single"/>
          <w:lang w:val="en-US" w:eastAsia="zh-CN"/>
        </w:rPr>
        <w:t>（标的名称）</w:t>
      </w:r>
      <w:r>
        <w:rPr>
          <w:rFonts w:hint="eastAsia" w:asciiTheme="majorEastAsia" w:hAnsiTheme="majorEastAsia" w:eastAsiaTheme="majorEastAsia" w:cstheme="majorEastAsia"/>
          <w:b w:val="0"/>
          <w:bCs w:val="0"/>
          <w:sz w:val="24"/>
          <w:szCs w:val="24"/>
          <w:highlight w:val="none"/>
          <w:lang w:val="en-US" w:eastAsia="zh-CN"/>
        </w:rPr>
        <w:t>，属于</w:t>
      </w:r>
      <w:r>
        <w:rPr>
          <w:rFonts w:hint="eastAsia" w:asciiTheme="majorEastAsia" w:hAnsiTheme="majorEastAsia" w:eastAsiaTheme="majorEastAsia" w:cstheme="majorEastAsia"/>
          <w:b w:val="0"/>
          <w:bCs w:val="0"/>
          <w:sz w:val="24"/>
          <w:szCs w:val="24"/>
          <w:highlight w:val="none"/>
          <w:u w:val="single"/>
          <w:lang w:val="en-US" w:eastAsia="zh-CN"/>
        </w:rPr>
        <w:t>（采购文件中明确所属行业）</w:t>
      </w:r>
      <w:r>
        <w:rPr>
          <w:rFonts w:hint="eastAsia" w:asciiTheme="majorEastAsia" w:hAnsiTheme="majorEastAsia" w:eastAsiaTheme="majorEastAsia" w:cstheme="majorEastAsia"/>
          <w:b w:val="0"/>
          <w:bCs w:val="0"/>
          <w:sz w:val="24"/>
          <w:szCs w:val="24"/>
          <w:highlight w:val="none"/>
          <w:lang w:val="en-US" w:eastAsia="zh-CN"/>
        </w:rPr>
        <w:t>；承建（承接）企业</w:t>
      </w:r>
      <w:bookmarkEnd w:id="626"/>
    </w:p>
    <w:p w14:paraId="59C65D1E">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27" w:name="_Toc26624"/>
      <w:r>
        <w:rPr>
          <w:rFonts w:hint="eastAsia" w:asciiTheme="majorEastAsia" w:hAnsiTheme="majorEastAsia" w:eastAsiaTheme="majorEastAsia" w:cstheme="majorEastAsia"/>
          <w:b w:val="0"/>
          <w:bCs w:val="0"/>
          <w:sz w:val="24"/>
          <w:szCs w:val="24"/>
          <w:highlight w:val="none"/>
          <w:lang w:val="en-US" w:eastAsia="zh-CN"/>
        </w:rPr>
        <w:t>为</w:t>
      </w:r>
      <w:r>
        <w:rPr>
          <w:rFonts w:hint="eastAsia" w:asciiTheme="majorEastAsia" w:hAnsiTheme="majorEastAsia" w:eastAsiaTheme="majorEastAsia" w:cstheme="majorEastAsia"/>
          <w:b w:val="0"/>
          <w:bCs w:val="0"/>
          <w:sz w:val="24"/>
          <w:szCs w:val="24"/>
          <w:highlight w:val="none"/>
          <w:u w:val="single"/>
          <w:lang w:val="en-US" w:eastAsia="zh-CN"/>
        </w:rPr>
        <w:t>（企业名称）</w:t>
      </w:r>
      <w:r>
        <w:rPr>
          <w:rFonts w:hint="eastAsia" w:asciiTheme="majorEastAsia" w:hAnsiTheme="majorEastAsia" w:eastAsiaTheme="majorEastAsia" w:cstheme="majorEastAsia"/>
          <w:b w:val="0"/>
          <w:bCs w:val="0"/>
          <w:sz w:val="24"/>
          <w:szCs w:val="24"/>
          <w:highlight w:val="none"/>
          <w:lang w:val="en-US" w:eastAsia="zh-CN"/>
        </w:rPr>
        <w:t>， 从业人员</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人， 营业收入为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万元，资产总额为</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万元，属于</w:t>
      </w:r>
      <w:r>
        <w:rPr>
          <w:rFonts w:hint="eastAsia" w:asciiTheme="majorEastAsia" w:hAnsiTheme="majorEastAsia" w:eastAsiaTheme="majorEastAsia" w:cstheme="majorEastAsia"/>
          <w:b w:val="0"/>
          <w:bCs w:val="0"/>
          <w:sz w:val="24"/>
          <w:szCs w:val="24"/>
          <w:highlight w:val="none"/>
          <w:u w:val="single"/>
          <w:lang w:val="en-US" w:eastAsia="zh-CN"/>
        </w:rPr>
        <w:t>（中型企业、小型企业、 微型企业）</w:t>
      </w:r>
      <w:r>
        <w:rPr>
          <w:rFonts w:hint="eastAsia" w:asciiTheme="majorEastAsia" w:hAnsiTheme="majorEastAsia" w:eastAsiaTheme="majorEastAsia" w:cstheme="majorEastAsia"/>
          <w:b w:val="0"/>
          <w:bCs w:val="0"/>
          <w:sz w:val="24"/>
          <w:szCs w:val="24"/>
          <w:highlight w:val="none"/>
          <w:lang w:val="en-US" w:eastAsia="zh-CN"/>
        </w:rPr>
        <w:t>；</w:t>
      </w:r>
      <w:bookmarkEnd w:id="627"/>
      <w:r>
        <w:rPr>
          <w:rFonts w:hint="eastAsia" w:asciiTheme="majorEastAsia" w:hAnsiTheme="majorEastAsia" w:eastAsiaTheme="majorEastAsia" w:cstheme="majorEastAsia"/>
          <w:b w:val="0"/>
          <w:bCs w:val="0"/>
          <w:sz w:val="24"/>
          <w:szCs w:val="24"/>
          <w:highlight w:val="none"/>
          <w:lang w:val="en-US" w:eastAsia="zh-CN"/>
        </w:rPr>
        <w:t xml:space="preserve"> </w:t>
      </w:r>
    </w:p>
    <w:p w14:paraId="4B0FF5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28" w:name="_Toc7430"/>
      <w:r>
        <w:rPr>
          <w:rFonts w:hint="eastAsia" w:asciiTheme="majorEastAsia" w:hAnsiTheme="majorEastAsia" w:eastAsiaTheme="majorEastAsia" w:cstheme="majorEastAsia"/>
          <w:b w:val="0"/>
          <w:bCs w:val="0"/>
          <w:sz w:val="24"/>
          <w:szCs w:val="24"/>
          <w:highlight w:val="none"/>
          <w:lang w:val="en-US" w:eastAsia="zh-CN"/>
        </w:rPr>
        <w:t>……</w:t>
      </w:r>
      <w:bookmarkEnd w:id="628"/>
    </w:p>
    <w:p w14:paraId="5C8FE5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29" w:name="_Toc15333"/>
      <w:r>
        <w:rPr>
          <w:rFonts w:hint="eastAsia" w:asciiTheme="majorEastAsia" w:hAnsiTheme="majorEastAsia" w:eastAsiaTheme="majorEastAsia" w:cstheme="majorEastAsia"/>
          <w:b w:val="0"/>
          <w:bCs w:val="0"/>
          <w:sz w:val="24"/>
          <w:szCs w:val="24"/>
          <w:highlight w:val="none"/>
          <w:lang w:val="en-US" w:eastAsia="zh-CN"/>
        </w:rPr>
        <w:t>以上企业，不属于大企业的分支机构，不存在控股股东为大企业的情形，也</w:t>
      </w:r>
      <w:bookmarkEnd w:id="629"/>
    </w:p>
    <w:p w14:paraId="790FA277">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30" w:name="_Toc17315"/>
      <w:r>
        <w:rPr>
          <w:rFonts w:hint="eastAsia" w:asciiTheme="majorEastAsia" w:hAnsiTheme="majorEastAsia" w:eastAsiaTheme="majorEastAsia" w:cstheme="majorEastAsia"/>
          <w:b w:val="0"/>
          <w:bCs w:val="0"/>
          <w:sz w:val="24"/>
          <w:szCs w:val="24"/>
          <w:highlight w:val="none"/>
          <w:lang w:val="en-US" w:eastAsia="zh-CN"/>
        </w:rPr>
        <w:t>不存在与大企业的负责人为同一人的情形。</w:t>
      </w:r>
      <w:bookmarkEnd w:id="630"/>
      <w:r>
        <w:rPr>
          <w:rFonts w:hint="eastAsia" w:asciiTheme="majorEastAsia" w:hAnsiTheme="majorEastAsia" w:eastAsiaTheme="majorEastAsia" w:cstheme="majorEastAsia"/>
          <w:b w:val="0"/>
          <w:bCs w:val="0"/>
          <w:sz w:val="24"/>
          <w:szCs w:val="24"/>
          <w:highlight w:val="none"/>
          <w:lang w:val="en-US" w:eastAsia="zh-CN"/>
        </w:rPr>
        <w:t xml:space="preserve"> </w:t>
      </w:r>
    </w:p>
    <w:p w14:paraId="528A111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31" w:name="_Toc25800"/>
      <w:r>
        <w:rPr>
          <w:rFonts w:hint="eastAsia" w:asciiTheme="majorEastAsia" w:hAnsiTheme="majorEastAsia" w:eastAsiaTheme="majorEastAsia" w:cstheme="majorEastAsia"/>
          <w:b w:val="0"/>
          <w:bCs w:val="0"/>
          <w:sz w:val="24"/>
          <w:szCs w:val="24"/>
          <w:highlight w:val="none"/>
          <w:lang w:val="en-US" w:eastAsia="zh-CN"/>
        </w:rPr>
        <w:t>本企业对上述声明内容的真实性负责。如有虚假，将依法承担相应责任。</w:t>
      </w:r>
      <w:bookmarkEnd w:id="631"/>
      <w:r>
        <w:rPr>
          <w:rFonts w:hint="eastAsia" w:asciiTheme="majorEastAsia" w:hAnsiTheme="majorEastAsia" w:eastAsiaTheme="majorEastAsia" w:cstheme="majorEastAsia"/>
          <w:b w:val="0"/>
          <w:bCs w:val="0"/>
          <w:sz w:val="24"/>
          <w:szCs w:val="24"/>
          <w:highlight w:val="none"/>
          <w:lang w:val="en-US" w:eastAsia="zh-CN"/>
        </w:rPr>
        <w:t xml:space="preserve"> </w:t>
      </w:r>
    </w:p>
    <w:p w14:paraId="75A9847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6A81723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57431C31">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法定代表人或法人授权代表（签字）：</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346E6B50">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 xml:space="preserve">  </w:t>
      </w:r>
    </w:p>
    <w:p w14:paraId="511D92AC">
      <w:pPr>
        <w:keepNext w:val="0"/>
        <w:keepLines w:val="0"/>
        <w:pageBreakBefore w:val="0"/>
        <w:widowControl w:val="0"/>
        <w:kinsoku/>
        <w:wordWrap/>
        <w:overflowPunct/>
        <w:topLinePunct w:val="0"/>
        <w:autoSpaceDE/>
        <w:autoSpaceDN/>
        <w:bidi w:val="0"/>
        <w:adjustRightInd/>
        <w:snapToGrid/>
        <w:spacing w:line="480" w:lineRule="exact"/>
        <w:ind w:firstLine="2640" w:firstLineChars="11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承诺方名称（公章）：</w:t>
      </w:r>
      <w:r>
        <w:rPr>
          <w:rFonts w:hint="eastAsia" w:asciiTheme="majorEastAsia" w:hAnsiTheme="majorEastAsia" w:eastAsiaTheme="majorEastAsia" w:cstheme="majorEastAsia"/>
          <w:sz w:val="24"/>
          <w:szCs w:val="24"/>
          <w:highlight w:val="none"/>
          <w:u w:val="single"/>
        </w:rPr>
        <w:t xml:space="preserve">                           </w:t>
      </w:r>
    </w:p>
    <w:p w14:paraId="00D3A18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             </w:t>
      </w:r>
      <w:bookmarkStart w:id="632" w:name="_Toc26601"/>
      <w:r>
        <w:rPr>
          <w:rFonts w:hint="eastAsia" w:asciiTheme="majorEastAsia" w:hAnsiTheme="majorEastAsia" w:eastAsiaTheme="majorEastAsia" w:cstheme="majorEastAsia"/>
          <w:sz w:val="24"/>
          <w:szCs w:val="24"/>
          <w:highlight w:val="none"/>
        </w:rPr>
        <w:t>日   期：</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日</w:t>
      </w:r>
      <w:bookmarkEnd w:id="632"/>
    </w:p>
    <w:p w14:paraId="2234766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outlineLvl w:val="1"/>
        <w:rPr>
          <w:rFonts w:hint="eastAsia" w:ascii="仿宋" w:hAnsi="仿宋" w:eastAsia="仿宋" w:cs="仿宋"/>
          <w:b/>
          <w:bCs/>
          <w:sz w:val="28"/>
          <w:szCs w:val="28"/>
          <w:highlight w:val="none"/>
          <w:lang w:val="en-US" w:eastAsia="zh-CN"/>
        </w:rPr>
        <w:sectPr>
          <w:headerReference r:id="rId12" w:type="default"/>
          <w:footerReference r:id="rId13" w:type="default"/>
          <w:pgSz w:w="11907" w:h="16840"/>
          <w:pgMar w:top="1599" w:right="1179" w:bottom="760" w:left="1298" w:header="1077" w:footer="964" w:gutter="0"/>
          <w:pgBorders>
            <w:top w:val="none" w:sz="0" w:space="0"/>
            <w:left w:val="none" w:sz="0" w:space="0"/>
            <w:bottom w:val="none" w:sz="0" w:space="0"/>
            <w:right w:val="none" w:sz="0" w:space="0"/>
          </w:pgBorders>
          <w:pgNumType w:fmt="decimal"/>
          <w:cols w:space="0" w:num="1"/>
          <w:rtlGutter w:val="0"/>
          <w:docGrid w:linePitch="312" w:charSpace="0"/>
        </w:sectPr>
      </w:pPr>
      <w:bookmarkStart w:id="633" w:name="_Toc15305"/>
      <w:r>
        <w:rPr>
          <w:rFonts w:hint="eastAsia" w:ascii="仿宋" w:hAnsi="仿宋" w:eastAsia="仿宋" w:cs="仿宋"/>
          <w:b/>
          <w:bCs/>
          <w:sz w:val="28"/>
          <w:szCs w:val="28"/>
          <w:highlight w:val="none"/>
          <w:lang w:val="en-US" w:eastAsia="zh-CN"/>
        </w:rPr>
        <w:t>从业人员、营业收入、资产总额填报上一年度数据，无上一年度数据的新成</w:t>
      </w:r>
      <w:bookmarkEnd w:id="633"/>
      <w:bookmarkStart w:id="634" w:name="_Toc13715"/>
      <w:r>
        <w:rPr>
          <w:rFonts w:hint="eastAsia" w:ascii="仿宋" w:hAnsi="仿宋" w:eastAsia="仿宋" w:cs="仿宋"/>
          <w:b/>
          <w:bCs/>
          <w:sz w:val="28"/>
          <w:szCs w:val="28"/>
          <w:highlight w:val="none"/>
          <w:lang w:val="en-US" w:eastAsia="zh-CN"/>
        </w:rPr>
        <w:t>立企业可不填报。</w:t>
      </w:r>
      <w:bookmarkEnd w:id="634"/>
    </w:p>
    <w:p w14:paraId="4F6BA0D3">
      <w:pPr>
        <w:widowControl w:val="0"/>
        <w:tabs>
          <w:tab w:val="left" w:pos="829"/>
        </w:tabs>
        <w:spacing w:after="100" w:line="475" w:lineRule="exact"/>
        <w:jc w:val="center"/>
        <w:outlineLvl w:val="1"/>
        <w:rPr>
          <w:rFonts w:hint="eastAsia" w:ascii="宋体" w:hAnsi="宋体" w:eastAsia="宋体" w:cs="宋体"/>
          <w:b/>
          <w:kern w:val="0"/>
          <w:sz w:val="30"/>
          <w:szCs w:val="24"/>
          <w:highlight w:val="none"/>
          <w:lang w:val="en-US" w:eastAsia="zh-CN" w:bidi="ar-SA"/>
        </w:rPr>
      </w:pPr>
      <w:bookmarkStart w:id="635" w:name="_Toc98"/>
      <w:bookmarkStart w:id="636" w:name="_Toc93952457"/>
      <w:r>
        <w:rPr>
          <w:rFonts w:hint="eastAsia" w:ascii="宋体" w:hAnsi="宋体" w:eastAsia="宋体" w:cs="宋体"/>
          <w:b/>
          <w:kern w:val="0"/>
          <w:sz w:val="30"/>
          <w:szCs w:val="24"/>
          <w:highlight w:val="none"/>
          <w:lang w:val="en-US" w:eastAsia="zh-CN" w:bidi="ar-SA"/>
        </w:rPr>
        <w:t>（十</w:t>
      </w:r>
      <w:r>
        <w:rPr>
          <w:rFonts w:hint="eastAsia" w:ascii="宋体" w:hAnsi="宋体" w:cs="宋体"/>
          <w:b/>
          <w:kern w:val="0"/>
          <w:sz w:val="30"/>
          <w:szCs w:val="24"/>
          <w:highlight w:val="none"/>
          <w:lang w:val="en-US" w:eastAsia="zh-CN" w:bidi="ar-SA"/>
        </w:rPr>
        <w:t>二</w:t>
      </w:r>
      <w:r>
        <w:rPr>
          <w:rFonts w:hint="eastAsia" w:ascii="宋体" w:hAnsi="宋体" w:eastAsia="宋体" w:cs="宋体"/>
          <w:b/>
          <w:kern w:val="0"/>
          <w:sz w:val="30"/>
          <w:szCs w:val="24"/>
          <w:highlight w:val="none"/>
          <w:lang w:val="en-US" w:eastAsia="zh-CN" w:bidi="ar-SA"/>
        </w:rPr>
        <w:t>）-</w:t>
      </w:r>
      <w:r>
        <w:rPr>
          <w:rFonts w:hint="eastAsia" w:ascii="宋体" w:hAnsi="宋体" w:cs="宋体"/>
          <w:b/>
          <w:kern w:val="0"/>
          <w:sz w:val="30"/>
          <w:szCs w:val="24"/>
          <w:highlight w:val="none"/>
          <w:lang w:val="en-US" w:eastAsia="zh-CN" w:bidi="ar-SA"/>
        </w:rPr>
        <w:t>3</w:t>
      </w:r>
      <w:r>
        <w:rPr>
          <w:rFonts w:hint="eastAsia" w:ascii="宋体" w:hAnsi="宋体" w:eastAsia="宋体" w:cs="宋体"/>
          <w:b/>
          <w:kern w:val="0"/>
          <w:sz w:val="30"/>
          <w:szCs w:val="24"/>
          <w:highlight w:val="none"/>
          <w:lang w:val="en-US" w:eastAsia="zh-CN" w:bidi="ar-SA"/>
        </w:rPr>
        <w:t>《残疾人福利性单位声明函》</w:t>
      </w:r>
      <w:bookmarkEnd w:id="635"/>
      <w:bookmarkEnd w:id="636"/>
    </w:p>
    <w:p w14:paraId="2567E2F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本单位郑重声明，根据《财政部</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民政部</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中国残疾人联合会关于促进残疾人就业政府采购政策的通知》（财库〔2017〕</w:t>
      </w:r>
      <w:r>
        <w:rPr>
          <w:rFonts w:hint="eastAsia" w:asciiTheme="majorEastAsia" w:hAnsiTheme="majorEastAsia" w:eastAsiaTheme="majorEastAsia" w:cstheme="majorEastAsia"/>
          <w:sz w:val="24"/>
          <w:szCs w:val="24"/>
          <w:highlight w:val="none"/>
          <w:lang w:val="en-US" w:eastAsia="zh-CN"/>
        </w:rPr>
        <w:t>141</w:t>
      </w:r>
      <w:r>
        <w:rPr>
          <w:rFonts w:hint="eastAsia" w:asciiTheme="majorEastAsia" w:hAnsiTheme="majorEastAsia" w:eastAsiaTheme="majorEastAsia" w:cstheme="majorEastAsia"/>
          <w:sz w:val="24"/>
          <w:szCs w:val="24"/>
          <w:highlight w:val="none"/>
        </w:rPr>
        <w:t>号）的规定，本单位为符合条件的残疾人福利性单位，且本单位参加</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单位的</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项目采购活动提供本单位制造的货物（由本单位承担工程/提供服务），或者提供其他残疾人福利性单位制造的货物（不包括使用非残疾人福利性单位注册商标的货物）。</w:t>
      </w:r>
    </w:p>
    <w:p w14:paraId="69317287">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本单位对上述声明的真实性负责。如有虚假，将依法承担相应责任。</w:t>
      </w:r>
    </w:p>
    <w:p w14:paraId="1C1F95B6">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Theme="majorEastAsia" w:hAnsiTheme="majorEastAsia" w:eastAsiaTheme="majorEastAsia" w:cstheme="majorEastAsia"/>
          <w:sz w:val="24"/>
          <w:szCs w:val="24"/>
          <w:highlight w:val="none"/>
        </w:rPr>
      </w:pPr>
    </w:p>
    <w:p w14:paraId="33B17CF8">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Theme="majorEastAsia" w:hAnsiTheme="majorEastAsia" w:eastAsiaTheme="majorEastAsia" w:cstheme="majorEastAsia"/>
          <w:sz w:val="24"/>
          <w:szCs w:val="24"/>
          <w:highlight w:val="none"/>
        </w:rPr>
      </w:pPr>
    </w:p>
    <w:p w14:paraId="1D43A7A5">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Theme="majorEastAsia" w:hAnsiTheme="majorEastAsia" w:eastAsiaTheme="majorEastAsia" w:cstheme="majorEastAsia"/>
          <w:sz w:val="24"/>
          <w:szCs w:val="24"/>
          <w:highlight w:val="none"/>
        </w:rPr>
      </w:pPr>
    </w:p>
    <w:p w14:paraId="71AAB62E">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Theme="majorEastAsia" w:hAnsiTheme="majorEastAsia" w:eastAsiaTheme="majorEastAsia" w:cstheme="majorEastAsia"/>
          <w:sz w:val="24"/>
          <w:szCs w:val="24"/>
          <w:highlight w:val="none"/>
        </w:rPr>
      </w:pPr>
    </w:p>
    <w:p w14:paraId="72081704">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Theme="majorEastAsia" w:hAnsiTheme="majorEastAsia" w:eastAsiaTheme="majorEastAsia" w:cstheme="majorEastAsia"/>
          <w:sz w:val="24"/>
          <w:szCs w:val="24"/>
          <w:highlight w:val="none"/>
        </w:rPr>
      </w:pPr>
    </w:p>
    <w:p w14:paraId="5AC95141">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Theme="majorEastAsia" w:hAnsiTheme="majorEastAsia" w:eastAsiaTheme="majorEastAsia" w:cstheme="majorEastAsia"/>
          <w:sz w:val="24"/>
          <w:szCs w:val="24"/>
          <w:highlight w:val="none"/>
        </w:rPr>
      </w:pPr>
    </w:p>
    <w:p w14:paraId="6D4EC048">
      <w:pPr>
        <w:keepNext w:val="0"/>
        <w:keepLines w:val="0"/>
        <w:pageBreakBefore w:val="0"/>
        <w:widowControl w:val="0"/>
        <w:kinsoku/>
        <w:wordWrap/>
        <w:overflowPunct/>
        <w:topLinePunct w:val="0"/>
        <w:autoSpaceDE/>
        <w:autoSpaceDN/>
        <w:bidi w:val="0"/>
        <w:adjustRightInd/>
        <w:snapToGrid/>
        <w:spacing w:line="480" w:lineRule="exact"/>
        <w:ind w:right="0" w:firstLine="2160" w:firstLineChars="900"/>
        <w:jc w:val="both"/>
        <w:textAlignment w:val="auto"/>
        <w:rPr>
          <w:rFonts w:hint="eastAsia" w:asciiTheme="majorEastAsia" w:hAnsiTheme="majorEastAsia" w:eastAsiaTheme="majorEastAsia" w:cstheme="majorEastAsia"/>
          <w:b w:val="0"/>
          <w:bCs w:val="0"/>
          <w:sz w:val="24"/>
          <w:szCs w:val="24"/>
          <w:highlight w:val="none"/>
          <w:u w:val="single"/>
          <w:lang w:val="en-US" w:eastAsia="zh-CN"/>
        </w:rPr>
      </w:pPr>
      <w:r>
        <w:rPr>
          <w:rFonts w:hint="eastAsia" w:asciiTheme="majorEastAsia" w:hAnsiTheme="majorEastAsia" w:eastAsiaTheme="majorEastAsia" w:cstheme="majorEastAsia"/>
          <w:b w:val="0"/>
          <w:bCs w:val="0"/>
          <w:sz w:val="24"/>
          <w:szCs w:val="24"/>
          <w:highlight w:val="none"/>
          <w:lang w:val="en-US" w:eastAsia="zh-CN"/>
        </w:rPr>
        <w:t>法定代表人或法人授权代表（签字）：</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14:paraId="1502FACE">
      <w:pPr>
        <w:keepNext w:val="0"/>
        <w:keepLines w:val="0"/>
        <w:pageBreakBefore w:val="0"/>
        <w:widowControl w:val="0"/>
        <w:kinsoku/>
        <w:wordWrap/>
        <w:overflowPunct/>
        <w:topLinePunct w:val="0"/>
        <w:autoSpaceDE/>
        <w:autoSpaceDN/>
        <w:bidi w:val="0"/>
        <w:adjustRightInd/>
        <w:snapToGrid/>
        <w:spacing w:line="480" w:lineRule="exact"/>
        <w:ind w:right="0" w:firstLine="2160" w:firstLineChars="900"/>
        <w:jc w:val="both"/>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职务：</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 xml:space="preserve">   </w:t>
      </w:r>
    </w:p>
    <w:p w14:paraId="7BADED21">
      <w:pPr>
        <w:keepNext w:val="0"/>
        <w:keepLines w:val="0"/>
        <w:pageBreakBefore w:val="0"/>
        <w:widowControl w:val="0"/>
        <w:kinsoku/>
        <w:wordWrap/>
        <w:overflowPunct/>
        <w:topLinePunct w:val="0"/>
        <w:autoSpaceDE/>
        <w:autoSpaceDN/>
        <w:bidi w:val="0"/>
        <w:adjustRightInd/>
        <w:snapToGrid/>
        <w:spacing w:line="480" w:lineRule="exact"/>
        <w:ind w:right="0" w:firstLine="2160" w:firstLineChars="900"/>
        <w:jc w:val="both"/>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承诺方名称（公章）：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14:paraId="7E4D0A5F">
      <w:pPr>
        <w:keepNext w:val="0"/>
        <w:keepLines w:val="0"/>
        <w:pageBreakBefore w:val="0"/>
        <w:widowControl w:val="0"/>
        <w:kinsoku/>
        <w:wordWrap/>
        <w:overflowPunct/>
        <w:topLinePunct w:val="0"/>
        <w:autoSpaceDE/>
        <w:autoSpaceDN/>
        <w:bidi w:val="0"/>
        <w:adjustRightInd/>
        <w:snapToGrid/>
        <w:spacing w:line="480" w:lineRule="exact"/>
        <w:ind w:right="0" w:firstLine="2160" w:firstLineChars="900"/>
        <w:jc w:val="both"/>
        <w:textAlignment w:val="auto"/>
        <w:rPr>
          <w:rFonts w:hint="eastAsia" w:ascii="仿宋" w:hAnsi="仿宋" w:eastAsia="仿宋" w:cs="仿宋"/>
          <w:b w:val="0"/>
          <w:bCs w:val="0"/>
          <w:sz w:val="28"/>
          <w:szCs w:val="28"/>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日   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 xml:space="preserve">年 </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 xml:space="preserve">月 </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val="en-US" w:eastAsia="zh-CN"/>
        </w:rPr>
        <w:t xml:space="preserve"> 日</w:t>
      </w:r>
    </w:p>
    <w:p w14:paraId="67E9F288">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仿宋" w:hAnsi="仿宋" w:eastAsia="仿宋" w:cs="仿宋"/>
          <w:sz w:val="28"/>
          <w:szCs w:val="28"/>
          <w:highlight w:val="none"/>
        </w:rPr>
      </w:pPr>
    </w:p>
    <w:p w14:paraId="078EE450">
      <w:pPr>
        <w:keepNext w:val="0"/>
        <w:keepLines w:val="0"/>
        <w:pageBreakBefore w:val="0"/>
        <w:widowControl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sz w:val="28"/>
          <w:szCs w:val="28"/>
          <w:highlight w:val="none"/>
        </w:rPr>
      </w:pPr>
    </w:p>
    <w:p w14:paraId="654C3DB4">
      <w:pPr>
        <w:keepNext w:val="0"/>
        <w:keepLines w:val="0"/>
        <w:pageBreakBefore w:val="0"/>
        <w:widowControl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sz w:val="28"/>
          <w:szCs w:val="28"/>
          <w:highlight w:val="none"/>
        </w:rPr>
      </w:pPr>
    </w:p>
    <w:p w14:paraId="7A867A01">
      <w:pPr>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396F39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填写本声明函时应详细阅读《财政部民政部中国残疾人联合会关于促进残疾人就业政府采购政策的通知》（财库〔2017〕141 号），投标人不满足此要求则无须提供，一旦提供将视为满足其要求，如有虚假，将依法承担相应责任。</w:t>
      </w:r>
    </w:p>
    <w:p w14:paraId="6076F2CA">
      <w:pPr>
        <w:widowControl w:val="0"/>
        <w:spacing w:before="38" w:line="240" w:lineRule="auto"/>
        <w:ind w:right="274"/>
        <w:jc w:val="both"/>
        <w:rPr>
          <w:rFonts w:ascii="宋体" w:hAnsi="宋体" w:cs="宋体"/>
          <w:b/>
          <w:bCs/>
          <w:sz w:val="21"/>
          <w:szCs w:val="21"/>
          <w:highlight w:val="none"/>
        </w:rPr>
      </w:pPr>
    </w:p>
    <w:p w14:paraId="757C0E74">
      <w:pPr>
        <w:widowControl w:val="0"/>
        <w:spacing w:before="38" w:line="240" w:lineRule="auto"/>
        <w:ind w:right="274"/>
        <w:jc w:val="center"/>
        <w:outlineLvl w:val="1"/>
        <w:rPr>
          <w:rFonts w:hint="eastAsia" w:ascii="宋体" w:hAnsi="宋体" w:eastAsia="宋体" w:cs="宋体"/>
          <w:b/>
          <w:kern w:val="0"/>
          <w:sz w:val="30"/>
          <w:szCs w:val="24"/>
          <w:highlight w:val="none"/>
          <w:lang w:val="en-US" w:eastAsia="zh-CN" w:bidi="ar-SA"/>
        </w:rPr>
      </w:pPr>
      <w:r>
        <w:rPr>
          <w:rFonts w:hint="eastAsia" w:ascii="宋体" w:hAnsi="宋体" w:cs="宋体"/>
          <w:b/>
          <w:bCs/>
          <w:sz w:val="21"/>
          <w:szCs w:val="21"/>
          <w:highlight w:val="none"/>
        </w:rPr>
        <w:br w:type="page"/>
      </w:r>
      <w:bookmarkStart w:id="637" w:name="_Toc28189"/>
      <w:bookmarkStart w:id="638" w:name="_Toc93952458"/>
      <w:r>
        <w:rPr>
          <w:rFonts w:hint="eastAsia" w:ascii="宋体" w:hAnsi="宋体" w:eastAsia="宋体" w:cs="宋体"/>
          <w:b/>
          <w:kern w:val="0"/>
          <w:sz w:val="30"/>
          <w:szCs w:val="24"/>
          <w:highlight w:val="none"/>
          <w:lang w:val="en-US" w:eastAsia="zh-CN" w:bidi="ar-SA"/>
        </w:rPr>
        <w:t>（十</w:t>
      </w:r>
      <w:r>
        <w:rPr>
          <w:rFonts w:hint="eastAsia" w:ascii="宋体" w:hAnsi="宋体" w:cs="宋体"/>
          <w:b/>
          <w:kern w:val="0"/>
          <w:sz w:val="30"/>
          <w:szCs w:val="24"/>
          <w:highlight w:val="none"/>
          <w:lang w:val="en-US" w:eastAsia="zh-CN" w:bidi="ar-SA"/>
        </w:rPr>
        <w:t>二</w:t>
      </w:r>
      <w:r>
        <w:rPr>
          <w:rFonts w:hint="eastAsia" w:ascii="宋体" w:hAnsi="宋体" w:eastAsia="宋体" w:cs="宋体"/>
          <w:b/>
          <w:kern w:val="0"/>
          <w:sz w:val="30"/>
          <w:szCs w:val="24"/>
          <w:highlight w:val="none"/>
          <w:lang w:val="en-US" w:eastAsia="zh-CN" w:bidi="ar-SA"/>
        </w:rPr>
        <w:t>）-</w:t>
      </w:r>
      <w:r>
        <w:rPr>
          <w:rFonts w:hint="eastAsia" w:ascii="宋体" w:hAnsi="宋体" w:cs="宋体"/>
          <w:b/>
          <w:kern w:val="0"/>
          <w:sz w:val="30"/>
          <w:szCs w:val="24"/>
          <w:highlight w:val="none"/>
          <w:lang w:val="en-US" w:eastAsia="zh-CN" w:bidi="ar-SA"/>
        </w:rPr>
        <w:t>4</w:t>
      </w:r>
      <w:r>
        <w:rPr>
          <w:rFonts w:hint="eastAsia" w:ascii="宋体" w:hAnsi="宋体" w:eastAsia="宋体" w:cs="宋体"/>
          <w:b/>
          <w:kern w:val="0"/>
          <w:sz w:val="30"/>
          <w:szCs w:val="24"/>
          <w:highlight w:val="none"/>
          <w:lang w:val="en-US" w:eastAsia="zh-CN" w:bidi="ar-SA"/>
        </w:rPr>
        <w:t>监狱企业声明函</w:t>
      </w:r>
      <w:bookmarkEnd w:id="637"/>
      <w:bookmarkEnd w:id="638"/>
    </w:p>
    <w:p w14:paraId="5269345E">
      <w:pPr>
        <w:widowControl w:val="0"/>
        <w:spacing w:before="15" w:after="120" w:line="240" w:lineRule="auto"/>
        <w:jc w:val="both"/>
        <w:rPr>
          <w:rFonts w:ascii="宋体" w:hAnsi="宋体" w:cs="宋体"/>
          <w:b/>
          <w:sz w:val="21"/>
          <w:szCs w:val="21"/>
          <w:highlight w:val="none"/>
        </w:rPr>
      </w:pPr>
    </w:p>
    <w:p w14:paraId="2E6D12C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本单位郑重声明，根据财政部司法部《关于政府采购支持监狱企业发展有关问题的通知》（财库〔2014〕68 号）的规定，本单位为符合条件的监狱单位， 且本单位参加</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单位的</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项目采购活动提供本单位制造的货物（由本单位承担工程/提供服务）。</w:t>
      </w:r>
    </w:p>
    <w:p w14:paraId="466125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本单位对上述声明的真实性负责。如有虚假，将依法承担相应责任。</w:t>
      </w:r>
    </w:p>
    <w:p w14:paraId="49DD784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6A3E60D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57E8AF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6D1EA0A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252C3BD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7F05C1B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sz w:val="24"/>
          <w:szCs w:val="24"/>
          <w:highlight w:val="none"/>
        </w:rPr>
      </w:pPr>
    </w:p>
    <w:p w14:paraId="256E9C39">
      <w:pPr>
        <w:keepNext w:val="0"/>
        <w:keepLines w:val="0"/>
        <w:pageBreakBefore w:val="0"/>
        <w:widowControl w:val="0"/>
        <w:kinsoku/>
        <w:wordWrap/>
        <w:overflowPunct/>
        <w:topLinePunct w:val="0"/>
        <w:autoSpaceDE/>
        <w:autoSpaceDN/>
        <w:bidi w:val="0"/>
        <w:adjustRightInd/>
        <w:snapToGrid/>
        <w:spacing w:line="480" w:lineRule="exact"/>
        <w:ind w:firstLine="2160" w:firstLineChars="9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法定代表人或法人授权代表（签字）：</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5C874CC8">
      <w:pPr>
        <w:keepNext w:val="0"/>
        <w:keepLines w:val="0"/>
        <w:pageBreakBefore w:val="0"/>
        <w:widowControl w:val="0"/>
        <w:kinsoku/>
        <w:wordWrap/>
        <w:overflowPunct/>
        <w:topLinePunct w:val="0"/>
        <w:autoSpaceDE/>
        <w:autoSpaceDN/>
        <w:bidi w:val="0"/>
        <w:adjustRightInd/>
        <w:snapToGrid/>
        <w:spacing w:line="480" w:lineRule="exact"/>
        <w:ind w:firstLine="2160" w:firstLineChars="9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 xml:space="preserve">  </w:t>
      </w:r>
    </w:p>
    <w:p w14:paraId="38BB15E6">
      <w:pPr>
        <w:keepNext w:val="0"/>
        <w:keepLines w:val="0"/>
        <w:pageBreakBefore w:val="0"/>
        <w:widowControl w:val="0"/>
        <w:kinsoku/>
        <w:wordWrap/>
        <w:overflowPunct/>
        <w:topLinePunct w:val="0"/>
        <w:autoSpaceDE/>
        <w:autoSpaceDN/>
        <w:bidi w:val="0"/>
        <w:adjustRightInd/>
        <w:snapToGrid/>
        <w:spacing w:line="480" w:lineRule="exact"/>
        <w:ind w:firstLine="2160" w:firstLineChars="9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承诺方名称（公章）：</w:t>
      </w:r>
      <w:r>
        <w:rPr>
          <w:rFonts w:hint="eastAsia" w:asciiTheme="majorEastAsia" w:hAnsiTheme="majorEastAsia" w:eastAsiaTheme="majorEastAsia" w:cstheme="majorEastAsia"/>
          <w:sz w:val="24"/>
          <w:szCs w:val="24"/>
          <w:highlight w:val="none"/>
          <w:u w:val="single"/>
        </w:rPr>
        <w:t xml:space="preserve">                           </w:t>
      </w:r>
    </w:p>
    <w:p w14:paraId="0642AEFC">
      <w:pPr>
        <w:keepNext w:val="0"/>
        <w:keepLines w:val="0"/>
        <w:pageBreakBefore w:val="0"/>
        <w:widowControl w:val="0"/>
        <w:kinsoku/>
        <w:wordWrap/>
        <w:overflowPunct/>
        <w:topLinePunct w:val="0"/>
        <w:autoSpaceDE/>
        <w:autoSpaceDN/>
        <w:bidi w:val="0"/>
        <w:adjustRightInd/>
        <w:snapToGrid/>
        <w:spacing w:line="480" w:lineRule="exact"/>
        <w:ind w:firstLine="2160" w:firstLineChars="9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日</w:t>
      </w:r>
    </w:p>
    <w:p w14:paraId="286D04EE">
      <w:pPr>
        <w:widowControl w:val="0"/>
        <w:spacing w:after="120" w:line="240" w:lineRule="auto"/>
        <w:jc w:val="both"/>
        <w:rPr>
          <w:rFonts w:ascii="宋体" w:hAnsi="宋体" w:cs="宋体"/>
          <w:sz w:val="21"/>
          <w:szCs w:val="21"/>
          <w:highlight w:val="none"/>
        </w:rPr>
      </w:pPr>
    </w:p>
    <w:p w14:paraId="42774376">
      <w:pPr>
        <w:widowControl w:val="0"/>
        <w:spacing w:after="120" w:line="240" w:lineRule="auto"/>
        <w:jc w:val="both"/>
        <w:rPr>
          <w:rFonts w:ascii="宋体" w:hAnsi="宋体" w:cs="宋体"/>
          <w:sz w:val="21"/>
          <w:szCs w:val="21"/>
          <w:highlight w:val="none"/>
        </w:rPr>
      </w:pPr>
    </w:p>
    <w:p w14:paraId="603E465C">
      <w:pPr>
        <w:widowControl w:val="0"/>
        <w:spacing w:after="120" w:line="240" w:lineRule="auto"/>
        <w:jc w:val="both"/>
        <w:rPr>
          <w:rFonts w:ascii="宋体" w:hAnsi="宋体" w:cs="宋体"/>
          <w:sz w:val="21"/>
          <w:szCs w:val="21"/>
          <w:highlight w:val="none"/>
        </w:rPr>
      </w:pPr>
    </w:p>
    <w:p w14:paraId="2F85DB9F">
      <w:pPr>
        <w:widowControl w:val="0"/>
        <w:spacing w:after="120" w:line="240" w:lineRule="auto"/>
        <w:jc w:val="both"/>
        <w:rPr>
          <w:rFonts w:ascii="宋体" w:hAnsi="宋体" w:cs="宋体"/>
          <w:sz w:val="21"/>
          <w:szCs w:val="21"/>
          <w:highlight w:val="none"/>
        </w:rPr>
      </w:pPr>
    </w:p>
    <w:p w14:paraId="7FD06867">
      <w:pPr>
        <w:widowControl w:val="0"/>
        <w:spacing w:after="120" w:line="240" w:lineRule="auto"/>
        <w:jc w:val="both"/>
        <w:rPr>
          <w:rFonts w:ascii="宋体" w:hAnsi="宋体" w:cs="宋体"/>
          <w:sz w:val="21"/>
          <w:szCs w:val="21"/>
          <w:highlight w:val="none"/>
        </w:rPr>
      </w:pPr>
    </w:p>
    <w:p w14:paraId="10E3FF2D">
      <w:pPr>
        <w:widowControl w:val="0"/>
        <w:spacing w:after="120" w:line="240" w:lineRule="auto"/>
        <w:jc w:val="both"/>
        <w:rPr>
          <w:rFonts w:ascii="宋体" w:hAnsi="宋体" w:cs="宋体"/>
          <w:sz w:val="21"/>
          <w:szCs w:val="21"/>
          <w:highlight w:val="none"/>
        </w:rPr>
      </w:pPr>
    </w:p>
    <w:p w14:paraId="63E40CB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35D9FC8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填写本声明函时应详细阅读《关于政府采购支持监狱企业发展有关问题的通知》（财库〔2014〕68号），投标人不满足此要求则无须提供，一旦提供将视为满足其要求，如有虚假，将依法承担相应责任。</w:t>
      </w:r>
    </w:p>
    <w:p w14:paraId="0EB8586D">
      <w:pPr>
        <w:widowControl w:val="0"/>
        <w:spacing w:line="360" w:lineRule="auto"/>
        <w:jc w:val="both"/>
        <w:outlineLvl w:val="1"/>
        <w:rPr>
          <w:rFonts w:hint="eastAsia" w:ascii="宋体" w:hAnsi="宋体" w:cs="宋体"/>
          <w:b/>
          <w:bCs/>
          <w:sz w:val="21"/>
          <w:szCs w:val="21"/>
          <w:highlight w:val="none"/>
        </w:rPr>
      </w:pPr>
      <w:bookmarkStart w:id="639" w:name="_Toc93952460"/>
    </w:p>
    <w:p w14:paraId="3EE414F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黑体" w:hAnsi="黑体" w:eastAsia="黑体" w:cs="黑体"/>
          <w:b w:val="0"/>
          <w:bCs w:val="0"/>
          <w:sz w:val="28"/>
          <w:szCs w:val="28"/>
          <w:highlight w:val="none"/>
        </w:rPr>
      </w:pPr>
    </w:p>
    <w:p w14:paraId="653B348D">
      <w:pPr>
        <w:widowControl w:val="0"/>
        <w:spacing w:before="38" w:line="240" w:lineRule="auto"/>
        <w:ind w:right="274"/>
        <w:jc w:val="center"/>
        <w:outlineLvl w:val="1"/>
        <w:rPr>
          <w:rFonts w:hint="eastAsia" w:ascii="宋体" w:hAnsi="宋体" w:eastAsia="宋体" w:cs="宋体"/>
          <w:b/>
          <w:kern w:val="0"/>
          <w:sz w:val="30"/>
          <w:szCs w:val="24"/>
          <w:highlight w:val="none"/>
          <w:lang w:val="en-US" w:eastAsia="zh-CN" w:bidi="ar-SA"/>
        </w:rPr>
      </w:pPr>
      <w:bookmarkStart w:id="640" w:name="_Toc5738"/>
      <w:r>
        <w:rPr>
          <w:rFonts w:hint="eastAsia" w:ascii="宋体" w:hAnsi="宋体" w:eastAsia="宋体" w:cs="宋体"/>
          <w:b/>
          <w:kern w:val="0"/>
          <w:sz w:val="30"/>
          <w:szCs w:val="24"/>
          <w:highlight w:val="none"/>
          <w:lang w:val="en-US" w:eastAsia="zh-CN" w:bidi="ar-SA"/>
        </w:rPr>
        <w:t>（十</w:t>
      </w:r>
      <w:r>
        <w:rPr>
          <w:rFonts w:hint="eastAsia" w:ascii="宋体" w:hAnsi="宋体" w:cs="宋体"/>
          <w:b/>
          <w:kern w:val="0"/>
          <w:sz w:val="30"/>
          <w:szCs w:val="24"/>
          <w:highlight w:val="none"/>
          <w:lang w:val="en-US" w:eastAsia="zh-CN" w:bidi="ar-SA"/>
        </w:rPr>
        <w:t>三</w:t>
      </w:r>
      <w:r>
        <w:rPr>
          <w:rFonts w:hint="eastAsia" w:ascii="宋体" w:hAnsi="宋体" w:eastAsia="宋体" w:cs="宋体"/>
          <w:b/>
          <w:kern w:val="0"/>
          <w:sz w:val="30"/>
          <w:szCs w:val="24"/>
          <w:highlight w:val="none"/>
          <w:lang w:val="en-US" w:eastAsia="zh-CN" w:bidi="ar-SA"/>
        </w:rPr>
        <w:t>）</w:t>
      </w:r>
      <w:bookmarkEnd w:id="639"/>
      <w:r>
        <w:rPr>
          <w:rFonts w:hint="eastAsia" w:ascii="宋体" w:hAnsi="宋体" w:eastAsia="宋体" w:cs="宋体"/>
          <w:b/>
          <w:kern w:val="0"/>
          <w:sz w:val="30"/>
          <w:szCs w:val="24"/>
          <w:highlight w:val="none"/>
          <w:lang w:val="en-US" w:eastAsia="zh-CN" w:bidi="ar-SA"/>
        </w:rPr>
        <w:t>关于印发《政府采购促进中小企业发展管理办法》的通知</w:t>
      </w:r>
      <w:bookmarkEnd w:id="640"/>
      <w:bookmarkStart w:id="641" w:name="_Toc30011"/>
      <w:r>
        <w:rPr>
          <w:rFonts w:hint="eastAsia" w:ascii="宋体" w:hAnsi="宋体" w:eastAsia="宋体" w:cs="宋体"/>
          <w:b/>
          <w:kern w:val="0"/>
          <w:sz w:val="30"/>
          <w:szCs w:val="24"/>
          <w:highlight w:val="none"/>
          <w:lang w:val="en-US" w:eastAsia="zh-CN" w:bidi="ar-SA"/>
        </w:rPr>
        <w:t>财库〔2020〕46 号</w:t>
      </w:r>
      <w:bookmarkEnd w:id="641"/>
      <w:r>
        <w:rPr>
          <w:rFonts w:hint="eastAsia" w:ascii="宋体" w:hAnsi="宋体" w:eastAsia="宋体" w:cs="宋体"/>
          <w:b/>
          <w:kern w:val="0"/>
          <w:sz w:val="30"/>
          <w:szCs w:val="24"/>
          <w:highlight w:val="none"/>
          <w:lang w:val="en-US" w:eastAsia="zh-CN" w:bidi="ar-SA"/>
        </w:rPr>
        <w:t xml:space="preserve"> </w:t>
      </w:r>
    </w:p>
    <w:p w14:paraId="47C7734E">
      <w:pPr>
        <w:widowControl w:val="0"/>
        <w:spacing w:line="360" w:lineRule="auto"/>
        <w:jc w:val="left"/>
        <w:outlineLvl w:val="1"/>
        <w:rPr>
          <w:rFonts w:hint="eastAsia" w:ascii="宋体" w:hAnsi="宋体" w:cs="宋体"/>
          <w:b w:val="0"/>
          <w:bCs w:val="0"/>
          <w:sz w:val="21"/>
          <w:szCs w:val="21"/>
          <w:highlight w:val="none"/>
          <w:lang w:val="en-US" w:eastAsia="zh-CN"/>
        </w:rPr>
      </w:pPr>
    </w:p>
    <w:p w14:paraId="432340F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1"/>
        <w:rPr>
          <w:rFonts w:hint="eastAsia" w:asciiTheme="majorEastAsia" w:hAnsiTheme="majorEastAsia" w:eastAsiaTheme="majorEastAsia" w:cstheme="majorEastAsia"/>
          <w:b w:val="0"/>
          <w:bCs w:val="0"/>
          <w:sz w:val="24"/>
          <w:szCs w:val="24"/>
          <w:highlight w:val="none"/>
        </w:rPr>
      </w:pPr>
      <w:bookmarkStart w:id="642" w:name="_Toc3343"/>
      <w:r>
        <w:rPr>
          <w:rFonts w:hint="eastAsia" w:asciiTheme="majorEastAsia" w:hAnsiTheme="majorEastAsia" w:eastAsiaTheme="majorEastAsia" w:cstheme="majorEastAsia"/>
          <w:b w:val="0"/>
          <w:bCs w:val="0"/>
          <w:sz w:val="24"/>
          <w:szCs w:val="24"/>
          <w:highlight w:val="none"/>
          <w:lang w:val="en-US" w:eastAsia="zh-CN"/>
        </w:rPr>
        <w:t>各中央预算单位办公厅（室），各省、自治区、直辖市、计划单列市财政厅（局）、工业和信息化主管部门，新疆生产建设兵团财政局、工业和信息化主管部门：</w:t>
      </w:r>
      <w:bookmarkEnd w:id="642"/>
      <w:r>
        <w:rPr>
          <w:rFonts w:hint="eastAsia" w:asciiTheme="majorEastAsia" w:hAnsiTheme="majorEastAsia" w:eastAsiaTheme="majorEastAsia" w:cstheme="majorEastAsia"/>
          <w:b w:val="0"/>
          <w:bCs w:val="0"/>
          <w:sz w:val="24"/>
          <w:szCs w:val="24"/>
          <w:highlight w:val="none"/>
          <w:lang w:val="en-US" w:eastAsia="zh-CN"/>
        </w:rPr>
        <w:t xml:space="preserve"> </w:t>
      </w:r>
    </w:p>
    <w:p w14:paraId="3A47DFA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43" w:name="_Toc13932"/>
      <w:r>
        <w:rPr>
          <w:rFonts w:hint="eastAsia" w:asciiTheme="majorEastAsia" w:hAnsiTheme="majorEastAsia" w:eastAsiaTheme="majorEastAsia" w:cstheme="majorEastAsia"/>
          <w:b w:val="0"/>
          <w:bCs w:val="0"/>
          <w:sz w:val="24"/>
          <w:szCs w:val="24"/>
          <w:highlight w:val="none"/>
          <w:lang w:val="en-US" w:eastAsia="zh-CN"/>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bookmarkEnd w:id="643"/>
      <w:r>
        <w:rPr>
          <w:rFonts w:hint="eastAsia" w:asciiTheme="majorEastAsia" w:hAnsiTheme="majorEastAsia" w:eastAsiaTheme="majorEastAsia" w:cstheme="majorEastAsia"/>
          <w:b w:val="0"/>
          <w:bCs w:val="0"/>
          <w:sz w:val="24"/>
          <w:szCs w:val="24"/>
          <w:highlight w:val="none"/>
          <w:lang w:val="en-US" w:eastAsia="zh-CN"/>
        </w:rPr>
        <w:t xml:space="preserve"> </w:t>
      </w:r>
    </w:p>
    <w:p w14:paraId="19047D89">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1"/>
        <w:rPr>
          <w:rFonts w:hint="eastAsia" w:asciiTheme="majorEastAsia" w:hAnsiTheme="majorEastAsia" w:eastAsiaTheme="majorEastAsia" w:cstheme="majorEastAsia"/>
          <w:b w:val="0"/>
          <w:bCs w:val="0"/>
          <w:sz w:val="24"/>
          <w:szCs w:val="24"/>
          <w:highlight w:val="none"/>
          <w:lang w:val="en-US" w:eastAsia="zh-CN"/>
        </w:rPr>
      </w:pPr>
    </w:p>
    <w:p w14:paraId="14F2A6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44" w:name="_Toc32442"/>
      <w:r>
        <w:rPr>
          <w:rFonts w:hint="eastAsia" w:asciiTheme="majorEastAsia" w:hAnsiTheme="majorEastAsia" w:eastAsiaTheme="majorEastAsia" w:cstheme="majorEastAsia"/>
          <w:b w:val="0"/>
          <w:bCs w:val="0"/>
          <w:sz w:val="24"/>
          <w:szCs w:val="24"/>
          <w:highlight w:val="none"/>
          <w:lang w:val="en-US" w:eastAsia="zh-CN"/>
        </w:rPr>
        <w:t>附件：政府采购促进中小企业发展管理办法</w:t>
      </w:r>
      <w:bookmarkEnd w:id="644"/>
      <w:r>
        <w:rPr>
          <w:rFonts w:hint="eastAsia" w:asciiTheme="majorEastAsia" w:hAnsiTheme="majorEastAsia" w:eastAsiaTheme="majorEastAsia" w:cstheme="majorEastAsia"/>
          <w:b w:val="0"/>
          <w:bCs w:val="0"/>
          <w:sz w:val="24"/>
          <w:szCs w:val="24"/>
          <w:highlight w:val="none"/>
          <w:lang w:val="en-US" w:eastAsia="zh-CN"/>
        </w:rPr>
        <w:t xml:space="preserve"> </w:t>
      </w:r>
    </w:p>
    <w:p w14:paraId="7A5B1AA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1"/>
        <w:rPr>
          <w:rFonts w:hint="eastAsia" w:asciiTheme="majorEastAsia" w:hAnsiTheme="majorEastAsia" w:eastAsiaTheme="majorEastAsia" w:cstheme="majorEastAsia"/>
          <w:b w:val="0"/>
          <w:bCs w:val="0"/>
          <w:sz w:val="24"/>
          <w:szCs w:val="24"/>
          <w:highlight w:val="none"/>
          <w:lang w:val="en-US" w:eastAsia="zh-CN"/>
        </w:rPr>
      </w:pPr>
    </w:p>
    <w:p w14:paraId="220E5BF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1"/>
        <w:rPr>
          <w:rFonts w:hint="eastAsia" w:asciiTheme="majorEastAsia" w:hAnsiTheme="majorEastAsia" w:eastAsiaTheme="majorEastAsia" w:cstheme="majorEastAsia"/>
          <w:b w:val="0"/>
          <w:bCs w:val="0"/>
          <w:sz w:val="24"/>
          <w:szCs w:val="24"/>
          <w:highlight w:val="none"/>
          <w:lang w:val="en-US" w:eastAsia="zh-CN"/>
        </w:rPr>
      </w:pPr>
    </w:p>
    <w:p w14:paraId="0DAC4DAD">
      <w:pPr>
        <w:keepNext w:val="0"/>
        <w:keepLines w:val="0"/>
        <w:pageBreakBefore w:val="0"/>
        <w:widowControl w:val="0"/>
        <w:kinsoku/>
        <w:wordWrap/>
        <w:overflowPunct/>
        <w:topLinePunct w:val="0"/>
        <w:autoSpaceDE/>
        <w:autoSpaceDN/>
        <w:bidi w:val="0"/>
        <w:adjustRightInd/>
        <w:snapToGrid/>
        <w:spacing w:line="480" w:lineRule="exact"/>
        <w:ind w:firstLine="4560" w:firstLineChars="1900"/>
        <w:jc w:val="left"/>
        <w:textAlignment w:val="auto"/>
        <w:outlineLvl w:val="1"/>
        <w:rPr>
          <w:rFonts w:hint="eastAsia" w:asciiTheme="majorEastAsia" w:hAnsiTheme="majorEastAsia" w:eastAsiaTheme="majorEastAsia" w:cstheme="majorEastAsia"/>
          <w:b w:val="0"/>
          <w:bCs w:val="0"/>
          <w:sz w:val="24"/>
          <w:szCs w:val="24"/>
          <w:highlight w:val="none"/>
        </w:rPr>
      </w:pPr>
      <w:bookmarkStart w:id="645" w:name="_Toc21456"/>
      <w:r>
        <w:rPr>
          <w:rFonts w:hint="eastAsia" w:asciiTheme="majorEastAsia" w:hAnsiTheme="majorEastAsia" w:eastAsiaTheme="majorEastAsia" w:cstheme="majorEastAsia"/>
          <w:b w:val="0"/>
          <w:bCs w:val="0"/>
          <w:sz w:val="24"/>
          <w:szCs w:val="24"/>
          <w:highlight w:val="none"/>
          <w:lang w:val="en-US" w:eastAsia="zh-CN"/>
        </w:rPr>
        <w:t>财政部工业和信息化部</w:t>
      </w:r>
      <w:bookmarkEnd w:id="645"/>
      <w:r>
        <w:rPr>
          <w:rFonts w:hint="eastAsia" w:asciiTheme="majorEastAsia" w:hAnsiTheme="majorEastAsia" w:eastAsiaTheme="majorEastAsia" w:cstheme="majorEastAsia"/>
          <w:b w:val="0"/>
          <w:bCs w:val="0"/>
          <w:sz w:val="24"/>
          <w:szCs w:val="24"/>
          <w:highlight w:val="none"/>
          <w:lang w:val="en-US" w:eastAsia="zh-CN"/>
        </w:rPr>
        <w:t xml:space="preserve"> </w:t>
      </w:r>
    </w:p>
    <w:p w14:paraId="79075794">
      <w:pPr>
        <w:keepNext w:val="0"/>
        <w:keepLines w:val="0"/>
        <w:pageBreakBefore w:val="0"/>
        <w:widowControl w:val="0"/>
        <w:kinsoku/>
        <w:wordWrap/>
        <w:overflowPunct/>
        <w:topLinePunct w:val="0"/>
        <w:autoSpaceDE/>
        <w:autoSpaceDN/>
        <w:bidi w:val="0"/>
        <w:adjustRightInd/>
        <w:snapToGrid/>
        <w:spacing w:line="480" w:lineRule="exact"/>
        <w:ind w:firstLine="4800" w:firstLineChars="2000"/>
        <w:jc w:val="left"/>
        <w:textAlignment w:val="auto"/>
        <w:outlineLvl w:val="1"/>
        <w:rPr>
          <w:rFonts w:hint="eastAsia" w:asciiTheme="majorEastAsia" w:hAnsiTheme="majorEastAsia" w:eastAsiaTheme="majorEastAsia" w:cstheme="majorEastAsia"/>
          <w:b w:val="0"/>
          <w:bCs w:val="0"/>
          <w:sz w:val="24"/>
          <w:szCs w:val="24"/>
          <w:highlight w:val="none"/>
        </w:rPr>
      </w:pPr>
      <w:bookmarkStart w:id="646" w:name="_Toc6397"/>
      <w:r>
        <w:rPr>
          <w:rFonts w:hint="eastAsia" w:asciiTheme="majorEastAsia" w:hAnsiTheme="majorEastAsia" w:eastAsiaTheme="majorEastAsia" w:cstheme="majorEastAsia"/>
          <w:b w:val="0"/>
          <w:bCs w:val="0"/>
          <w:sz w:val="24"/>
          <w:szCs w:val="24"/>
          <w:highlight w:val="none"/>
          <w:lang w:val="en-US" w:eastAsia="zh-CN"/>
        </w:rPr>
        <w:t>2020 年12 月18 日</w:t>
      </w:r>
      <w:bookmarkEnd w:id="646"/>
      <w:r>
        <w:rPr>
          <w:rFonts w:hint="eastAsia" w:asciiTheme="majorEastAsia" w:hAnsiTheme="majorEastAsia" w:eastAsiaTheme="majorEastAsia" w:cstheme="majorEastAsia"/>
          <w:b w:val="0"/>
          <w:bCs w:val="0"/>
          <w:sz w:val="24"/>
          <w:szCs w:val="24"/>
          <w:highlight w:val="none"/>
          <w:lang w:val="en-US" w:eastAsia="zh-CN"/>
        </w:rPr>
        <w:t xml:space="preserve"> </w:t>
      </w:r>
    </w:p>
    <w:p w14:paraId="79D72AD6">
      <w:pPr>
        <w:widowControl w:val="0"/>
        <w:spacing w:line="360" w:lineRule="auto"/>
        <w:jc w:val="center"/>
        <w:outlineLvl w:val="1"/>
        <w:rPr>
          <w:rFonts w:hint="eastAsia" w:asciiTheme="majorEastAsia" w:hAnsiTheme="majorEastAsia" w:eastAsiaTheme="majorEastAsia" w:cstheme="majorEastAsia"/>
          <w:b/>
          <w:bCs/>
          <w:sz w:val="24"/>
          <w:szCs w:val="24"/>
          <w:highlight w:val="none"/>
          <w:lang w:val="en-US" w:eastAsia="zh-CN"/>
        </w:rPr>
      </w:pPr>
    </w:p>
    <w:p w14:paraId="0AA8DF0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47" w:name="_Toc20702"/>
      <w:r>
        <w:rPr>
          <w:rFonts w:hint="eastAsia" w:asciiTheme="majorEastAsia" w:hAnsiTheme="majorEastAsia" w:eastAsiaTheme="majorEastAsia" w:cstheme="majorEastAsia"/>
          <w:b w:val="0"/>
          <w:bCs w:val="0"/>
          <w:sz w:val="24"/>
          <w:szCs w:val="24"/>
          <w:highlight w:val="none"/>
          <w:lang w:val="en-US" w:eastAsia="zh-CN"/>
        </w:rPr>
        <w:t>政府采购促进中小企业发展管理办法</w:t>
      </w:r>
      <w:bookmarkEnd w:id="647"/>
    </w:p>
    <w:p w14:paraId="78F70ED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Theme="majorEastAsia" w:hAnsiTheme="majorEastAsia" w:eastAsiaTheme="majorEastAsia" w:cstheme="majorEastAsia"/>
          <w:b w:val="0"/>
          <w:bCs w:val="0"/>
          <w:sz w:val="24"/>
          <w:szCs w:val="24"/>
          <w:highlight w:val="none"/>
        </w:rPr>
      </w:pPr>
      <w:bookmarkStart w:id="648" w:name="_Toc21747"/>
      <w:r>
        <w:rPr>
          <w:rFonts w:hint="eastAsia" w:asciiTheme="majorEastAsia" w:hAnsiTheme="majorEastAsia" w:eastAsiaTheme="majorEastAsia" w:cstheme="majorEastAsia"/>
          <w:b w:val="0"/>
          <w:bCs w:val="0"/>
          <w:sz w:val="24"/>
          <w:szCs w:val="24"/>
          <w:highlight w:val="none"/>
        </w:rPr>
        <w:t>（此管理办法只做划分依据，不作为投标文件内容）</w:t>
      </w:r>
      <w:bookmarkEnd w:id="648"/>
    </w:p>
    <w:p w14:paraId="5FD78F11">
      <w:pPr>
        <w:widowControl w:val="0"/>
        <w:spacing w:line="360" w:lineRule="auto"/>
        <w:jc w:val="center"/>
        <w:outlineLvl w:val="1"/>
        <w:rPr>
          <w:rFonts w:hint="eastAsia" w:asciiTheme="majorEastAsia" w:hAnsiTheme="majorEastAsia" w:eastAsiaTheme="majorEastAsia" w:cstheme="majorEastAsia"/>
          <w:b/>
          <w:bCs/>
          <w:sz w:val="24"/>
          <w:szCs w:val="24"/>
          <w:highlight w:val="none"/>
        </w:rPr>
      </w:pPr>
    </w:p>
    <w:p w14:paraId="2915A4C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49" w:name="_Toc16313"/>
      <w:r>
        <w:rPr>
          <w:rFonts w:hint="eastAsia" w:asciiTheme="majorEastAsia" w:hAnsiTheme="majorEastAsia" w:eastAsiaTheme="majorEastAsia" w:cstheme="majorEastAsia"/>
          <w:b w:val="0"/>
          <w:bCs w:val="0"/>
          <w:sz w:val="24"/>
          <w:szCs w:val="24"/>
          <w:highlight w:val="none"/>
          <w:lang w:val="en-US" w:eastAsia="zh-CN"/>
        </w:rPr>
        <w:t>第一条 为了发挥政府采购的政策功能，促进中小企业健康发展，根据《中华人民共和国政府采购法》《中华人民共和国中小企业促进法》等有关法律法规，制定本办法。</w:t>
      </w:r>
      <w:bookmarkEnd w:id="649"/>
      <w:r>
        <w:rPr>
          <w:rFonts w:hint="eastAsia" w:asciiTheme="majorEastAsia" w:hAnsiTheme="majorEastAsia" w:eastAsiaTheme="majorEastAsia" w:cstheme="majorEastAsia"/>
          <w:b w:val="0"/>
          <w:bCs w:val="0"/>
          <w:sz w:val="24"/>
          <w:szCs w:val="24"/>
          <w:highlight w:val="none"/>
          <w:lang w:val="en-US" w:eastAsia="zh-CN"/>
        </w:rPr>
        <w:t xml:space="preserve"> </w:t>
      </w:r>
    </w:p>
    <w:p w14:paraId="76093CD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50" w:name="_Toc27592"/>
      <w:r>
        <w:rPr>
          <w:rFonts w:hint="eastAsia" w:asciiTheme="majorEastAsia" w:hAnsiTheme="majorEastAsia" w:eastAsiaTheme="majorEastAsia" w:cstheme="majorEastAsia"/>
          <w:b w:val="0"/>
          <w:bCs w:val="0"/>
          <w:sz w:val="24"/>
          <w:szCs w:val="24"/>
          <w:highlight w:val="none"/>
          <w:lang w:val="en-US" w:eastAsia="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650"/>
    </w:p>
    <w:p w14:paraId="0060B3F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1" w:name="_Toc28205"/>
      <w:r>
        <w:rPr>
          <w:rFonts w:hint="eastAsia" w:asciiTheme="majorEastAsia" w:hAnsiTheme="majorEastAsia" w:eastAsiaTheme="majorEastAsia" w:cstheme="majorEastAsia"/>
          <w:b w:val="0"/>
          <w:bCs w:val="0"/>
          <w:sz w:val="24"/>
          <w:szCs w:val="24"/>
          <w:highlight w:val="none"/>
          <w:lang w:val="en-US" w:eastAsia="zh-CN"/>
        </w:rPr>
        <w:t>第三条 采购人在政府采购活动中应当通过加强采购 需求管理，落实预留采购份额、价格评审优惠、优先采购等措施，提高中小企业在政府采购中的份额，支持中小企业发展。</w:t>
      </w:r>
      <w:bookmarkEnd w:id="651"/>
      <w:r>
        <w:rPr>
          <w:rFonts w:hint="eastAsia" w:asciiTheme="majorEastAsia" w:hAnsiTheme="majorEastAsia" w:eastAsiaTheme="majorEastAsia" w:cstheme="majorEastAsia"/>
          <w:b w:val="0"/>
          <w:bCs w:val="0"/>
          <w:sz w:val="24"/>
          <w:szCs w:val="24"/>
          <w:highlight w:val="none"/>
          <w:lang w:val="en-US" w:eastAsia="zh-CN"/>
        </w:rPr>
        <w:t xml:space="preserve"> </w:t>
      </w:r>
    </w:p>
    <w:p w14:paraId="7708AC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2" w:name="_Toc12342"/>
      <w:r>
        <w:rPr>
          <w:rFonts w:hint="eastAsia" w:asciiTheme="majorEastAsia" w:hAnsiTheme="majorEastAsia" w:eastAsiaTheme="majorEastAsia" w:cstheme="majorEastAsia"/>
          <w:b w:val="0"/>
          <w:bCs w:val="0"/>
          <w:sz w:val="24"/>
          <w:szCs w:val="24"/>
          <w:highlight w:val="none"/>
          <w:lang w:val="en-US" w:eastAsia="zh-CN"/>
        </w:rPr>
        <w:t>第四条 在政府采购活动中，供应商提供的货物、工程或者服务符合下列情形的， 享受本办法规定的中小企业扶持政策：</w:t>
      </w:r>
      <w:bookmarkEnd w:id="652"/>
      <w:r>
        <w:rPr>
          <w:rFonts w:hint="eastAsia" w:asciiTheme="majorEastAsia" w:hAnsiTheme="majorEastAsia" w:eastAsiaTheme="majorEastAsia" w:cstheme="majorEastAsia"/>
          <w:b w:val="0"/>
          <w:bCs w:val="0"/>
          <w:sz w:val="24"/>
          <w:szCs w:val="24"/>
          <w:highlight w:val="none"/>
          <w:lang w:val="en-US" w:eastAsia="zh-CN"/>
        </w:rPr>
        <w:t xml:space="preserve"> </w:t>
      </w:r>
    </w:p>
    <w:p w14:paraId="5239448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3" w:name="_Toc14240"/>
      <w:r>
        <w:rPr>
          <w:rFonts w:hint="eastAsia" w:asciiTheme="majorEastAsia" w:hAnsiTheme="majorEastAsia" w:eastAsiaTheme="majorEastAsia" w:cstheme="majorEastAsia"/>
          <w:b w:val="0"/>
          <w:bCs w:val="0"/>
          <w:sz w:val="24"/>
          <w:szCs w:val="24"/>
          <w:highlight w:val="none"/>
          <w:lang w:val="en-US" w:eastAsia="zh-CN"/>
        </w:rPr>
        <w:t>（一）在货物采购项目中，货物由中小企业制造，即货物由中小企业生产且使用该中小企业商号或者注册商标；</w:t>
      </w:r>
      <w:bookmarkEnd w:id="653"/>
      <w:r>
        <w:rPr>
          <w:rFonts w:hint="eastAsia" w:asciiTheme="majorEastAsia" w:hAnsiTheme="majorEastAsia" w:eastAsiaTheme="majorEastAsia" w:cstheme="majorEastAsia"/>
          <w:b w:val="0"/>
          <w:bCs w:val="0"/>
          <w:sz w:val="24"/>
          <w:szCs w:val="24"/>
          <w:highlight w:val="none"/>
          <w:lang w:val="en-US" w:eastAsia="zh-CN"/>
        </w:rPr>
        <w:t xml:space="preserve"> </w:t>
      </w:r>
    </w:p>
    <w:p w14:paraId="3CD391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4" w:name="_Toc32064"/>
      <w:r>
        <w:rPr>
          <w:rFonts w:hint="eastAsia" w:asciiTheme="majorEastAsia" w:hAnsiTheme="majorEastAsia" w:eastAsiaTheme="majorEastAsia" w:cstheme="majorEastAsia"/>
          <w:b w:val="0"/>
          <w:bCs w:val="0"/>
          <w:sz w:val="24"/>
          <w:szCs w:val="24"/>
          <w:highlight w:val="none"/>
          <w:lang w:val="en-US" w:eastAsia="zh-CN"/>
        </w:rPr>
        <w:t>（二）在工程采购项目中，工程由中小企业承建，即工程施工单位为中小企业；</w:t>
      </w:r>
      <w:bookmarkEnd w:id="654"/>
      <w:r>
        <w:rPr>
          <w:rFonts w:hint="eastAsia" w:asciiTheme="majorEastAsia" w:hAnsiTheme="majorEastAsia" w:eastAsiaTheme="majorEastAsia" w:cstheme="majorEastAsia"/>
          <w:b w:val="0"/>
          <w:bCs w:val="0"/>
          <w:sz w:val="24"/>
          <w:szCs w:val="24"/>
          <w:highlight w:val="none"/>
          <w:lang w:val="en-US" w:eastAsia="zh-CN"/>
        </w:rPr>
        <w:t xml:space="preserve"> </w:t>
      </w:r>
    </w:p>
    <w:p w14:paraId="7DB23DE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5" w:name="_Toc2937"/>
      <w:r>
        <w:rPr>
          <w:rFonts w:hint="eastAsia" w:asciiTheme="majorEastAsia" w:hAnsiTheme="majorEastAsia" w:eastAsiaTheme="majorEastAsia" w:cstheme="majorEastAsia"/>
          <w:b w:val="0"/>
          <w:bCs w:val="0"/>
          <w:sz w:val="24"/>
          <w:szCs w:val="24"/>
          <w:highlight w:val="none"/>
          <w:lang w:val="en-US" w:eastAsia="zh-CN"/>
        </w:rPr>
        <w:t>（三）在服务采购项目中，服务由中小企业承接，即提供服务的人员为中小企业依照《中华人民共和国民法典》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bookmarkEnd w:id="655"/>
      <w:r>
        <w:rPr>
          <w:rFonts w:hint="eastAsia" w:asciiTheme="majorEastAsia" w:hAnsiTheme="majorEastAsia" w:eastAsiaTheme="majorEastAsia" w:cstheme="majorEastAsia"/>
          <w:b w:val="0"/>
          <w:bCs w:val="0"/>
          <w:sz w:val="24"/>
          <w:szCs w:val="24"/>
          <w:highlight w:val="none"/>
          <w:lang w:val="en-US" w:eastAsia="zh-CN"/>
        </w:rPr>
        <w:t xml:space="preserve"> </w:t>
      </w:r>
    </w:p>
    <w:p w14:paraId="6387CF0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6" w:name="_Toc11122"/>
      <w:r>
        <w:rPr>
          <w:rFonts w:hint="eastAsia" w:asciiTheme="majorEastAsia" w:hAnsiTheme="majorEastAsia" w:eastAsiaTheme="majorEastAsia" w:cstheme="majorEastAsia"/>
          <w:b w:val="0"/>
          <w:bCs w:val="0"/>
          <w:sz w:val="24"/>
          <w:szCs w:val="24"/>
          <w:highlight w:val="none"/>
          <w:lang w:val="en-US" w:eastAsia="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bookmarkEnd w:id="656"/>
      <w:r>
        <w:rPr>
          <w:rFonts w:hint="eastAsia" w:asciiTheme="majorEastAsia" w:hAnsiTheme="majorEastAsia" w:eastAsiaTheme="majorEastAsia" w:cstheme="majorEastAsia"/>
          <w:b w:val="0"/>
          <w:bCs w:val="0"/>
          <w:sz w:val="24"/>
          <w:szCs w:val="24"/>
          <w:highlight w:val="none"/>
          <w:lang w:val="en-US" w:eastAsia="zh-CN"/>
        </w:rPr>
        <w:t xml:space="preserve"> </w:t>
      </w:r>
    </w:p>
    <w:p w14:paraId="341004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7" w:name="_Toc29641"/>
      <w:r>
        <w:rPr>
          <w:rFonts w:hint="eastAsia" w:asciiTheme="majorEastAsia" w:hAnsiTheme="majorEastAsia" w:eastAsiaTheme="majorEastAsia" w:cstheme="majorEastAsia"/>
          <w:b w:val="0"/>
          <w:bCs w:val="0"/>
          <w:sz w:val="24"/>
          <w:szCs w:val="24"/>
          <w:highlight w:val="none"/>
          <w:lang w:val="en-US" w:eastAsia="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 符合下列情形之一的，可不专门面向中小企业预留采购份额：</w:t>
      </w:r>
      <w:bookmarkEnd w:id="657"/>
      <w:r>
        <w:rPr>
          <w:rFonts w:hint="eastAsia" w:asciiTheme="majorEastAsia" w:hAnsiTheme="majorEastAsia" w:eastAsiaTheme="majorEastAsia" w:cstheme="majorEastAsia"/>
          <w:b w:val="0"/>
          <w:bCs w:val="0"/>
          <w:sz w:val="24"/>
          <w:szCs w:val="24"/>
          <w:highlight w:val="none"/>
          <w:lang w:val="en-US" w:eastAsia="zh-CN"/>
        </w:rPr>
        <w:t xml:space="preserve"> </w:t>
      </w:r>
    </w:p>
    <w:p w14:paraId="0FEB15F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8" w:name="_Toc18797"/>
      <w:r>
        <w:rPr>
          <w:rFonts w:hint="eastAsia" w:asciiTheme="majorEastAsia" w:hAnsiTheme="majorEastAsia" w:eastAsiaTheme="majorEastAsia" w:cstheme="majorEastAsia"/>
          <w:b w:val="0"/>
          <w:bCs w:val="0"/>
          <w:sz w:val="24"/>
          <w:szCs w:val="24"/>
          <w:highlight w:val="none"/>
          <w:lang w:val="en-US" w:eastAsia="zh-CN"/>
        </w:rPr>
        <w:t>（一）法律法规和国家有关政策明确规定优先或者应当面向事业单位、社会组织等非企业主体采购的；</w:t>
      </w:r>
      <w:bookmarkEnd w:id="658"/>
      <w:r>
        <w:rPr>
          <w:rFonts w:hint="eastAsia" w:asciiTheme="majorEastAsia" w:hAnsiTheme="majorEastAsia" w:eastAsiaTheme="majorEastAsia" w:cstheme="majorEastAsia"/>
          <w:b w:val="0"/>
          <w:bCs w:val="0"/>
          <w:sz w:val="24"/>
          <w:szCs w:val="24"/>
          <w:highlight w:val="none"/>
          <w:lang w:val="en-US" w:eastAsia="zh-CN"/>
        </w:rPr>
        <w:t xml:space="preserve"> </w:t>
      </w:r>
    </w:p>
    <w:p w14:paraId="0142F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59" w:name="_Toc1597"/>
      <w:r>
        <w:rPr>
          <w:rFonts w:hint="eastAsia" w:asciiTheme="majorEastAsia" w:hAnsiTheme="majorEastAsia" w:eastAsiaTheme="majorEastAsia" w:cstheme="majorEastAsia"/>
          <w:b w:val="0"/>
          <w:bCs w:val="0"/>
          <w:sz w:val="24"/>
          <w:szCs w:val="24"/>
          <w:highlight w:val="none"/>
          <w:lang w:val="en-US" w:eastAsia="zh-CN"/>
        </w:rPr>
        <w:t>（二）因确需使用不可替代的专利、专有技术，基础设施限制，或者提供特定公共服务等原因，只能从中小企业之外的供应商处采购的；</w:t>
      </w:r>
      <w:bookmarkEnd w:id="659"/>
      <w:r>
        <w:rPr>
          <w:rFonts w:hint="eastAsia" w:asciiTheme="majorEastAsia" w:hAnsiTheme="majorEastAsia" w:eastAsiaTheme="majorEastAsia" w:cstheme="majorEastAsia"/>
          <w:b w:val="0"/>
          <w:bCs w:val="0"/>
          <w:sz w:val="24"/>
          <w:szCs w:val="24"/>
          <w:highlight w:val="none"/>
          <w:lang w:val="en-US" w:eastAsia="zh-CN"/>
        </w:rPr>
        <w:t xml:space="preserve"> </w:t>
      </w:r>
    </w:p>
    <w:p w14:paraId="64F096E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60" w:name="_Toc31112"/>
      <w:r>
        <w:rPr>
          <w:rFonts w:hint="eastAsia" w:asciiTheme="majorEastAsia" w:hAnsiTheme="majorEastAsia" w:eastAsiaTheme="majorEastAsia" w:cstheme="majorEastAsia"/>
          <w:b w:val="0"/>
          <w:bCs w:val="0"/>
          <w:sz w:val="24"/>
          <w:szCs w:val="24"/>
          <w:highlight w:val="none"/>
          <w:lang w:val="en-US" w:eastAsia="zh-CN"/>
        </w:rPr>
        <w:t>（三）按照本办法规定预留采购份额无法确保充分供应、充分竞争，或者存在可能影响政府采购目标实现的情形；</w:t>
      </w:r>
      <w:bookmarkEnd w:id="660"/>
    </w:p>
    <w:p w14:paraId="244B1EC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1" w:name="_Toc14754"/>
      <w:r>
        <w:rPr>
          <w:rFonts w:hint="eastAsia" w:asciiTheme="majorEastAsia" w:hAnsiTheme="majorEastAsia" w:eastAsiaTheme="majorEastAsia" w:cstheme="majorEastAsia"/>
          <w:b w:val="0"/>
          <w:bCs w:val="0"/>
          <w:sz w:val="24"/>
          <w:szCs w:val="24"/>
          <w:highlight w:val="none"/>
          <w:lang w:val="en-US" w:eastAsia="zh-CN"/>
        </w:rPr>
        <w:t>（四）框架协议采购项目；</w:t>
      </w:r>
      <w:bookmarkEnd w:id="661"/>
      <w:r>
        <w:rPr>
          <w:rFonts w:hint="eastAsia" w:asciiTheme="majorEastAsia" w:hAnsiTheme="majorEastAsia" w:eastAsiaTheme="majorEastAsia" w:cstheme="majorEastAsia"/>
          <w:b w:val="0"/>
          <w:bCs w:val="0"/>
          <w:sz w:val="24"/>
          <w:szCs w:val="24"/>
          <w:highlight w:val="none"/>
          <w:lang w:val="en-US" w:eastAsia="zh-CN"/>
        </w:rPr>
        <w:t xml:space="preserve"> </w:t>
      </w:r>
    </w:p>
    <w:p w14:paraId="0DA2C11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2" w:name="_Toc9680"/>
      <w:r>
        <w:rPr>
          <w:rFonts w:hint="eastAsia" w:asciiTheme="majorEastAsia" w:hAnsiTheme="majorEastAsia" w:eastAsiaTheme="majorEastAsia" w:cstheme="majorEastAsia"/>
          <w:b w:val="0"/>
          <w:bCs w:val="0"/>
          <w:sz w:val="24"/>
          <w:szCs w:val="24"/>
          <w:highlight w:val="none"/>
          <w:lang w:val="en-US" w:eastAsia="zh-CN"/>
        </w:rPr>
        <w:t>（五）省级以上人民政府财政部门规定的其他情形。 除上述情形外， 其他均为适宜由中小企业提供的情形。</w:t>
      </w:r>
      <w:bookmarkEnd w:id="662"/>
      <w:r>
        <w:rPr>
          <w:rFonts w:hint="eastAsia" w:asciiTheme="majorEastAsia" w:hAnsiTheme="majorEastAsia" w:eastAsiaTheme="majorEastAsia" w:cstheme="majorEastAsia"/>
          <w:b w:val="0"/>
          <w:bCs w:val="0"/>
          <w:sz w:val="24"/>
          <w:szCs w:val="24"/>
          <w:highlight w:val="none"/>
          <w:lang w:val="en-US" w:eastAsia="zh-CN"/>
        </w:rPr>
        <w:t xml:space="preserve"> </w:t>
      </w:r>
    </w:p>
    <w:p w14:paraId="243FD22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3" w:name="_Toc11394"/>
      <w:r>
        <w:rPr>
          <w:rFonts w:hint="eastAsia" w:asciiTheme="majorEastAsia" w:hAnsiTheme="majorEastAsia" w:eastAsiaTheme="majorEastAsia" w:cstheme="majorEastAsia"/>
          <w:b w:val="0"/>
          <w:bCs w:val="0"/>
          <w:sz w:val="24"/>
          <w:szCs w:val="24"/>
          <w:highlight w:val="none"/>
          <w:lang w:val="en-US" w:eastAsia="zh-CN"/>
        </w:rPr>
        <w:t>第七条 采购限额标准以上，200万元以下的货物和服务采购项目、400万元以下的工程采购项目，适宜由中小企业提供的，采购人应当专门面向中小企业采购。</w:t>
      </w:r>
      <w:bookmarkEnd w:id="663"/>
      <w:r>
        <w:rPr>
          <w:rFonts w:hint="eastAsia" w:asciiTheme="majorEastAsia" w:hAnsiTheme="majorEastAsia" w:eastAsiaTheme="majorEastAsia" w:cstheme="majorEastAsia"/>
          <w:b w:val="0"/>
          <w:bCs w:val="0"/>
          <w:sz w:val="24"/>
          <w:szCs w:val="24"/>
          <w:highlight w:val="none"/>
          <w:lang w:val="en-US" w:eastAsia="zh-CN"/>
        </w:rPr>
        <w:t xml:space="preserve"> </w:t>
      </w:r>
    </w:p>
    <w:p w14:paraId="6842F1E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4" w:name="_Toc1197"/>
      <w:r>
        <w:rPr>
          <w:rFonts w:hint="eastAsia" w:asciiTheme="majorEastAsia" w:hAnsiTheme="majorEastAsia" w:eastAsiaTheme="majorEastAsia" w:cstheme="majorEastAsia"/>
          <w:b w:val="0"/>
          <w:bCs w:val="0"/>
          <w:sz w:val="24"/>
          <w:szCs w:val="24"/>
          <w:highlight w:val="none"/>
          <w:lang w:val="en-US" w:eastAsia="zh-CN"/>
        </w:rPr>
        <w:t>第八条 超过200万元的货物和服务采购项目、超过400元的工程采购项目中适宜由中小企业提供的，预留该部分采购项目预算总额的 30%以上专门面向中小企业采购，其中预留给小微企业的比例不低于60%。预留份额通过下列措施进行：</w:t>
      </w:r>
      <w:bookmarkEnd w:id="664"/>
      <w:r>
        <w:rPr>
          <w:rFonts w:hint="eastAsia" w:asciiTheme="majorEastAsia" w:hAnsiTheme="majorEastAsia" w:eastAsiaTheme="majorEastAsia" w:cstheme="majorEastAsia"/>
          <w:b w:val="0"/>
          <w:bCs w:val="0"/>
          <w:sz w:val="24"/>
          <w:szCs w:val="24"/>
          <w:highlight w:val="none"/>
          <w:lang w:val="en-US" w:eastAsia="zh-CN"/>
        </w:rPr>
        <w:t xml:space="preserve"> </w:t>
      </w:r>
    </w:p>
    <w:p w14:paraId="580700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5" w:name="_Toc3484"/>
      <w:r>
        <w:rPr>
          <w:rFonts w:hint="eastAsia" w:asciiTheme="majorEastAsia" w:hAnsiTheme="majorEastAsia" w:eastAsiaTheme="majorEastAsia" w:cstheme="majorEastAsia"/>
          <w:b w:val="0"/>
          <w:bCs w:val="0"/>
          <w:sz w:val="24"/>
          <w:szCs w:val="24"/>
          <w:highlight w:val="none"/>
          <w:lang w:val="en-US" w:eastAsia="zh-CN"/>
        </w:rPr>
        <w:t>（一）将采购项目整体或者设置采购包专门面向中小企业采购；</w:t>
      </w:r>
      <w:bookmarkEnd w:id="665"/>
      <w:r>
        <w:rPr>
          <w:rFonts w:hint="eastAsia" w:asciiTheme="majorEastAsia" w:hAnsiTheme="majorEastAsia" w:eastAsiaTheme="majorEastAsia" w:cstheme="majorEastAsia"/>
          <w:b w:val="0"/>
          <w:bCs w:val="0"/>
          <w:sz w:val="24"/>
          <w:szCs w:val="24"/>
          <w:highlight w:val="none"/>
          <w:lang w:val="en-US" w:eastAsia="zh-CN"/>
        </w:rPr>
        <w:t xml:space="preserve"> </w:t>
      </w:r>
    </w:p>
    <w:p w14:paraId="3241C5D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6" w:name="_Toc31724"/>
      <w:r>
        <w:rPr>
          <w:rFonts w:hint="eastAsia" w:asciiTheme="majorEastAsia" w:hAnsiTheme="majorEastAsia" w:eastAsiaTheme="majorEastAsia" w:cstheme="majorEastAsia"/>
          <w:b w:val="0"/>
          <w:bCs w:val="0"/>
          <w:sz w:val="24"/>
          <w:szCs w:val="24"/>
          <w:highlight w:val="none"/>
          <w:lang w:val="en-US" w:eastAsia="zh-CN"/>
        </w:rPr>
        <w:t>（二）要求供应商以联合体形式参加采购活动，且联合体中中小企业承担的部分达到一定比例；</w:t>
      </w:r>
      <w:bookmarkEnd w:id="666"/>
      <w:r>
        <w:rPr>
          <w:rFonts w:hint="eastAsia" w:asciiTheme="majorEastAsia" w:hAnsiTheme="majorEastAsia" w:eastAsiaTheme="majorEastAsia" w:cstheme="majorEastAsia"/>
          <w:b w:val="0"/>
          <w:bCs w:val="0"/>
          <w:sz w:val="24"/>
          <w:szCs w:val="24"/>
          <w:highlight w:val="none"/>
          <w:lang w:val="en-US" w:eastAsia="zh-CN"/>
        </w:rPr>
        <w:t xml:space="preserve"> </w:t>
      </w:r>
    </w:p>
    <w:p w14:paraId="4BE7DF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7" w:name="_Toc7506"/>
      <w:r>
        <w:rPr>
          <w:rFonts w:hint="eastAsia" w:asciiTheme="majorEastAsia" w:hAnsiTheme="majorEastAsia" w:eastAsiaTheme="majorEastAsia" w:cstheme="majorEastAsia"/>
          <w:b w:val="0"/>
          <w:bCs w:val="0"/>
          <w:sz w:val="24"/>
          <w:szCs w:val="24"/>
          <w:highlight w:val="none"/>
          <w:lang w:val="en-US" w:eastAsia="zh-CN"/>
        </w:rPr>
        <w:t>（三）要求获得采购合同的供应商将采购项目中的一定比例分包给一家或者多家中小企业。组成联合体或者接受分包合同的中小企业与联合体内其他企业、分包企业之间不得存在直接控股、管理关系。</w:t>
      </w:r>
      <w:bookmarkEnd w:id="667"/>
      <w:r>
        <w:rPr>
          <w:rFonts w:hint="eastAsia" w:asciiTheme="majorEastAsia" w:hAnsiTheme="majorEastAsia" w:eastAsiaTheme="majorEastAsia" w:cstheme="majorEastAsia"/>
          <w:b w:val="0"/>
          <w:bCs w:val="0"/>
          <w:sz w:val="24"/>
          <w:szCs w:val="24"/>
          <w:highlight w:val="none"/>
          <w:lang w:val="en-US" w:eastAsia="zh-CN"/>
        </w:rPr>
        <w:t xml:space="preserve"> </w:t>
      </w:r>
    </w:p>
    <w:p w14:paraId="0F1CEE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8" w:name="_Toc7439"/>
      <w:r>
        <w:rPr>
          <w:rFonts w:hint="eastAsia" w:asciiTheme="majorEastAsia" w:hAnsiTheme="majorEastAsia" w:eastAsiaTheme="majorEastAsia" w:cstheme="majorEastAsia"/>
          <w:b w:val="0"/>
          <w:bCs w:val="0"/>
          <w:sz w:val="24"/>
          <w:szCs w:val="24"/>
          <w:highlight w:val="none"/>
          <w:lang w:val="en-US" w:eastAsia="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bookmarkEnd w:id="668"/>
      <w:r>
        <w:rPr>
          <w:rFonts w:hint="eastAsia" w:asciiTheme="majorEastAsia" w:hAnsiTheme="majorEastAsia" w:eastAsiaTheme="majorEastAsia" w:cstheme="majorEastAsia"/>
          <w:b w:val="0"/>
          <w:bCs w:val="0"/>
          <w:sz w:val="24"/>
          <w:szCs w:val="24"/>
          <w:highlight w:val="none"/>
          <w:lang w:val="en-US" w:eastAsia="zh-CN"/>
        </w:rPr>
        <w:t xml:space="preserve"> </w:t>
      </w:r>
    </w:p>
    <w:p w14:paraId="2C7E0EB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69" w:name="_Toc14138"/>
      <w:r>
        <w:rPr>
          <w:rFonts w:hint="eastAsia" w:asciiTheme="majorEastAsia" w:hAnsiTheme="majorEastAsia" w:eastAsiaTheme="majorEastAsia" w:cstheme="majorEastAsia"/>
          <w:b w:val="0"/>
          <w:bCs w:val="0"/>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 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bookmarkEnd w:id="669"/>
      <w:r>
        <w:rPr>
          <w:rFonts w:hint="eastAsia" w:asciiTheme="majorEastAsia" w:hAnsiTheme="majorEastAsia" w:eastAsiaTheme="majorEastAsia" w:cstheme="majorEastAsia"/>
          <w:b w:val="0"/>
          <w:bCs w:val="0"/>
          <w:sz w:val="24"/>
          <w:szCs w:val="24"/>
          <w:highlight w:val="none"/>
          <w:lang w:val="en-US" w:eastAsia="zh-CN"/>
        </w:rPr>
        <w:t xml:space="preserve"> </w:t>
      </w:r>
    </w:p>
    <w:p w14:paraId="269E23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0" w:name="_Toc3333"/>
      <w:r>
        <w:rPr>
          <w:rFonts w:hint="eastAsia" w:asciiTheme="majorEastAsia" w:hAnsiTheme="majorEastAsia" w:eastAsiaTheme="majorEastAsia" w:cstheme="majorEastAsia"/>
          <w:b w:val="0"/>
          <w:bCs w:val="0"/>
          <w:sz w:val="24"/>
          <w:szCs w:val="24"/>
          <w:highlight w:val="none"/>
          <w:lang w:val="en-US" w:eastAsia="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bookmarkEnd w:id="670"/>
      <w:r>
        <w:rPr>
          <w:rFonts w:hint="eastAsia" w:asciiTheme="majorEastAsia" w:hAnsiTheme="majorEastAsia" w:eastAsiaTheme="majorEastAsia" w:cstheme="majorEastAsia"/>
          <w:b w:val="0"/>
          <w:bCs w:val="0"/>
          <w:sz w:val="24"/>
          <w:szCs w:val="24"/>
          <w:highlight w:val="none"/>
          <w:lang w:val="en-US" w:eastAsia="zh-CN"/>
        </w:rPr>
        <w:t xml:space="preserve"> </w:t>
      </w:r>
    </w:p>
    <w:p w14:paraId="15413B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1" w:name="_Toc3440"/>
      <w:r>
        <w:rPr>
          <w:rFonts w:hint="eastAsia" w:asciiTheme="majorEastAsia" w:hAnsiTheme="majorEastAsia" w:eastAsiaTheme="majorEastAsia" w:cstheme="majorEastAsia"/>
          <w:b w:val="0"/>
          <w:bCs w:val="0"/>
          <w:sz w:val="24"/>
          <w:szCs w:val="24"/>
          <w:highlight w:val="none"/>
          <w:lang w:val="en-US" w:eastAsia="zh-CN"/>
        </w:rPr>
        <w:t>第十一条 中小企业参加政府采购活动，应当出具本办法规定的《中小企业声明函（附1）》，否则不得享受相关中小企业扶持政策。任何单位和个人不得要求供应商提供《中小企业声明函》之外的中小企业身份证明文件。</w:t>
      </w:r>
      <w:bookmarkEnd w:id="671"/>
      <w:r>
        <w:rPr>
          <w:rFonts w:hint="eastAsia" w:asciiTheme="majorEastAsia" w:hAnsiTheme="majorEastAsia" w:eastAsiaTheme="majorEastAsia" w:cstheme="majorEastAsia"/>
          <w:b w:val="0"/>
          <w:bCs w:val="0"/>
          <w:sz w:val="24"/>
          <w:szCs w:val="24"/>
          <w:highlight w:val="none"/>
          <w:lang w:val="en-US" w:eastAsia="zh-CN"/>
        </w:rPr>
        <w:t xml:space="preserve"> </w:t>
      </w:r>
    </w:p>
    <w:p w14:paraId="0FC58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2" w:name="_Toc31419"/>
      <w:r>
        <w:rPr>
          <w:rFonts w:hint="eastAsia" w:asciiTheme="majorEastAsia" w:hAnsiTheme="majorEastAsia" w:eastAsiaTheme="majorEastAsia" w:cstheme="majorEastAsia"/>
          <w:b w:val="0"/>
          <w:bCs w:val="0"/>
          <w:sz w:val="24"/>
          <w:szCs w:val="24"/>
          <w:highlight w:val="none"/>
          <w:lang w:val="en-US" w:eastAsia="zh-CN"/>
        </w:rPr>
        <w:t>第十二条 采购项目涉及中小企业采购的，采购文件应当明确以下内容：</w:t>
      </w:r>
      <w:bookmarkEnd w:id="672"/>
      <w:r>
        <w:rPr>
          <w:rFonts w:hint="eastAsia" w:asciiTheme="majorEastAsia" w:hAnsiTheme="majorEastAsia" w:eastAsiaTheme="majorEastAsia" w:cstheme="majorEastAsia"/>
          <w:b w:val="0"/>
          <w:bCs w:val="0"/>
          <w:sz w:val="24"/>
          <w:szCs w:val="24"/>
          <w:highlight w:val="none"/>
          <w:lang w:val="en-US" w:eastAsia="zh-CN"/>
        </w:rPr>
        <w:t xml:space="preserve"> </w:t>
      </w:r>
    </w:p>
    <w:p w14:paraId="1BEDB06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3" w:name="_Toc9000"/>
      <w:r>
        <w:rPr>
          <w:rFonts w:hint="eastAsia" w:asciiTheme="majorEastAsia" w:hAnsiTheme="majorEastAsia" w:eastAsiaTheme="majorEastAsia" w:cstheme="majorEastAsia"/>
          <w:b w:val="0"/>
          <w:bCs w:val="0"/>
          <w:sz w:val="24"/>
          <w:szCs w:val="24"/>
          <w:highlight w:val="none"/>
          <w:lang w:val="en-US" w:eastAsia="zh-CN"/>
        </w:rPr>
        <w:t>（一）预留份额的采购项目或者采购包，明确该项目或相关采购包专门面向中小企业采购，以及相关标的及预算金额；</w:t>
      </w:r>
      <w:bookmarkEnd w:id="673"/>
      <w:r>
        <w:rPr>
          <w:rFonts w:hint="eastAsia" w:asciiTheme="majorEastAsia" w:hAnsiTheme="majorEastAsia" w:eastAsiaTheme="majorEastAsia" w:cstheme="majorEastAsia"/>
          <w:b w:val="0"/>
          <w:bCs w:val="0"/>
          <w:sz w:val="24"/>
          <w:szCs w:val="24"/>
          <w:highlight w:val="none"/>
          <w:lang w:val="en-US" w:eastAsia="zh-CN"/>
        </w:rPr>
        <w:t xml:space="preserve"> </w:t>
      </w:r>
    </w:p>
    <w:p w14:paraId="56C0C3D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4" w:name="_Toc17478"/>
      <w:r>
        <w:rPr>
          <w:rFonts w:hint="eastAsia" w:asciiTheme="majorEastAsia" w:hAnsiTheme="majorEastAsia" w:eastAsiaTheme="majorEastAsia" w:cstheme="majorEastAsia"/>
          <w:b w:val="0"/>
          <w:bCs w:val="0"/>
          <w:sz w:val="24"/>
          <w:szCs w:val="24"/>
          <w:highlight w:val="none"/>
          <w:lang w:val="en-US" w:eastAsia="zh-CN"/>
        </w:rPr>
        <w:t>（二）要求以联合体形式参加或者合同分包的，明确联合协议或者分包意向协议中中小企业合同金额应当达到的比例，并作为供应商资格条件；</w:t>
      </w:r>
      <w:bookmarkEnd w:id="674"/>
      <w:r>
        <w:rPr>
          <w:rFonts w:hint="eastAsia" w:asciiTheme="majorEastAsia" w:hAnsiTheme="majorEastAsia" w:eastAsiaTheme="majorEastAsia" w:cstheme="majorEastAsia"/>
          <w:b w:val="0"/>
          <w:bCs w:val="0"/>
          <w:sz w:val="24"/>
          <w:szCs w:val="24"/>
          <w:highlight w:val="none"/>
          <w:lang w:val="en-US" w:eastAsia="zh-CN"/>
        </w:rPr>
        <w:t xml:space="preserve"> </w:t>
      </w:r>
    </w:p>
    <w:p w14:paraId="20C59B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lang w:val="en-US" w:eastAsia="zh-CN"/>
        </w:rPr>
      </w:pPr>
      <w:bookmarkStart w:id="675" w:name="_Toc5822"/>
      <w:r>
        <w:rPr>
          <w:rFonts w:hint="eastAsia" w:asciiTheme="majorEastAsia" w:hAnsiTheme="majorEastAsia" w:eastAsiaTheme="majorEastAsia" w:cstheme="majorEastAsia"/>
          <w:b w:val="0"/>
          <w:bCs w:val="0"/>
          <w:sz w:val="24"/>
          <w:szCs w:val="24"/>
          <w:highlight w:val="none"/>
          <w:lang w:val="en-US" w:eastAsia="zh-CN"/>
        </w:rPr>
        <w:t>（三）非预留份额的采购项目或者采购包，明确有关价格扣除比例或者价格分加分比例；</w:t>
      </w:r>
      <w:bookmarkEnd w:id="675"/>
      <w:r>
        <w:rPr>
          <w:rFonts w:hint="eastAsia" w:asciiTheme="majorEastAsia" w:hAnsiTheme="majorEastAsia" w:eastAsiaTheme="majorEastAsia" w:cstheme="majorEastAsia"/>
          <w:b w:val="0"/>
          <w:bCs w:val="0"/>
          <w:sz w:val="24"/>
          <w:szCs w:val="24"/>
          <w:highlight w:val="none"/>
          <w:lang w:val="en-US" w:eastAsia="zh-CN"/>
        </w:rPr>
        <w:t xml:space="preserve"> </w:t>
      </w:r>
    </w:p>
    <w:p w14:paraId="2103F1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6" w:name="_Toc12557"/>
      <w:r>
        <w:rPr>
          <w:rFonts w:hint="eastAsia" w:asciiTheme="majorEastAsia" w:hAnsiTheme="majorEastAsia" w:eastAsiaTheme="majorEastAsia" w:cstheme="majorEastAsia"/>
          <w:b w:val="0"/>
          <w:bCs w:val="0"/>
          <w:sz w:val="24"/>
          <w:szCs w:val="24"/>
          <w:highlight w:val="none"/>
          <w:lang w:val="en-US" w:eastAsia="zh-CN"/>
        </w:rPr>
        <w:t>（四）规定依据本办法规定享受扶持政策获得政府采购合同的，小微企业不得将合同分包给大中型企业，中型企业不得将合同分包给大型企业；</w:t>
      </w:r>
      <w:bookmarkEnd w:id="676"/>
      <w:r>
        <w:rPr>
          <w:rFonts w:hint="eastAsia" w:asciiTheme="majorEastAsia" w:hAnsiTheme="majorEastAsia" w:eastAsiaTheme="majorEastAsia" w:cstheme="majorEastAsia"/>
          <w:b w:val="0"/>
          <w:bCs w:val="0"/>
          <w:sz w:val="24"/>
          <w:szCs w:val="24"/>
          <w:highlight w:val="none"/>
          <w:lang w:val="en-US" w:eastAsia="zh-CN"/>
        </w:rPr>
        <w:t xml:space="preserve"> </w:t>
      </w:r>
    </w:p>
    <w:p w14:paraId="2F5699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7" w:name="_Toc21355"/>
      <w:r>
        <w:rPr>
          <w:rFonts w:hint="eastAsia" w:asciiTheme="majorEastAsia" w:hAnsiTheme="majorEastAsia" w:eastAsiaTheme="majorEastAsia" w:cstheme="majorEastAsia"/>
          <w:b w:val="0"/>
          <w:bCs w:val="0"/>
          <w:sz w:val="24"/>
          <w:szCs w:val="24"/>
          <w:highlight w:val="none"/>
          <w:lang w:val="en-US" w:eastAsia="zh-CN"/>
        </w:rPr>
        <w:t>（五）采购人认为具备相关条件的，明确对中小企业在资金支付期限、预付款比例等方面的优惠措施；</w:t>
      </w:r>
      <w:bookmarkEnd w:id="677"/>
      <w:r>
        <w:rPr>
          <w:rFonts w:hint="eastAsia" w:asciiTheme="majorEastAsia" w:hAnsiTheme="majorEastAsia" w:eastAsiaTheme="majorEastAsia" w:cstheme="majorEastAsia"/>
          <w:b w:val="0"/>
          <w:bCs w:val="0"/>
          <w:sz w:val="24"/>
          <w:szCs w:val="24"/>
          <w:highlight w:val="none"/>
          <w:lang w:val="en-US" w:eastAsia="zh-CN"/>
        </w:rPr>
        <w:t xml:space="preserve"> </w:t>
      </w:r>
    </w:p>
    <w:p w14:paraId="6D7BC07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lang w:val="en-US" w:eastAsia="zh-CN"/>
        </w:rPr>
        <w:t xml:space="preserve">（六）明确采购标的对应的中小企业划分标准所属行业； </w:t>
      </w:r>
    </w:p>
    <w:p w14:paraId="4788B9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8" w:name="_Toc8074"/>
      <w:r>
        <w:rPr>
          <w:rFonts w:hint="eastAsia" w:asciiTheme="majorEastAsia" w:hAnsiTheme="majorEastAsia" w:eastAsiaTheme="majorEastAsia" w:cstheme="majorEastAsia"/>
          <w:b w:val="0"/>
          <w:bCs w:val="0"/>
          <w:sz w:val="24"/>
          <w:szCs w:val="24"/>
          <w:highlight w:val="none"/>
          <w:lang w:val="en-US" w:eastAsia="zh-CN"/>
        </w:rPr>
        <w:t>（七）法律法规和省级以上人民政府财政部门规定的其他事项。</w:t>
      </w:r>
      <w:bookmarkEnd w:id="678"/>
      <w:r>
        <w:rPr>
          <w:rFonts w:hint="eastAsia" w:asciiTheme="majorEastAsia" w:hAnsiTheme="majorEastAsia" w:eastAsiaTheme="majorEastAsia" w:cstheme="majorEastAsia"/>
          <w:b w:val="0"/>
          <w:bCs w:val="0"/>
          <w:sz w:val="24"/>
          <w:szCs w:val="24"/>
          <w:highlight w:val="none"/>
          <w:lang w:val="en-US" w:eastAsia="zh-CN"/>
        </w:rPr>
        <w:t xml:space="preserve"> </w:t>
      </w:r>
    </w:p>
    <w:p w14:paraId="7EB83D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79" w:name="_Toc21475"/>
      <w:r>
        <w:rPr>
          <w:rFonts w:hint="eastAsia" w:asciiTheme="majorEastAsia" w:hAnsiTheme="majorEastAsia" w:eastAsiaTheme="majorEastAsia" w:cstheme="majorEastAsia"/>
          <w:b w:val="0"/>
          <w:bCs w:val="0"/>
          <w:sz w:val="24"/>
          <w:szCs w:val="24"/>
          <w:highlight w:val="none"/>
          <w:lang w:val="en-US" w:eastAsia="zh-CN"/>
        </w:rPr>
        <w:t>第十三条 中标、成交供应商享受本办法规定的中小企业扶持政策的，采购人、采购代理机构应当对中标、成交结果公开中标、成交供应商的《中小企业声明函》。 适用招标投标法的政府采购工程建设项目，应当在公示中标候选人时公开中标候选人的《中小企业声明函》。</w:t>
      </w:r>
      <w:bookmarkEnd w:id="679"/>
      <w:r>
        <w:rPr>
          <w:rFonts w:hint="eastAsia" w:asciiTheme="majorEastAsia" w:hAnsiTheme="majorEastAsia" w:eastAsiaTheme="majorEastAsia" w:cstheme="majorEastAsia"/>
          <w:b w:val="0"/>
          <w:bCs w:val="0"/>
          <w:sz w:val="24"/>
          <w:szCs w:val="24"/>
          <w:highlight w:val="none"/>
          <w:lang w:val="en-US" w:eastAsia="zh-CN"/>
        </w:rPr>
        <w:t xml:space="preserve"> </w:t>
      </w:r>
    </w:p>
    <w:p w14:paraId="7C2AADF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0" w:name="_Toc13686"/>
      <w:r>
        <w:rPr>
          <w:rFonts w:hint="eastAsia" w:asciiTheme="majorEastAsia" w:hAnsiTheme="majorEastAsia" w:eastAsiaTheme="majorEastAsia" w:cstheme="majorEastAsia"/>
          <w:b w:val="0"/>
          <w:bCs w:val="0"/>
          <w:sz w:val="24"/>
          <w:szCs w:val="24"/>
          <w:highlight w:val="none"/>
          <w:lang w:val="en-US" w:eastAsia="zh-CN"/>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bookmarkEnd w:id="680"/>
      <w:r>
        <w:rPr>
          <w:rFonts w:hint="eastAsia" w:asciiTheme="majorEastAsia" w:hAnsiTheme="majorEastAsia" w:eastAsiaTheme="majorEastAsia" w:cstheme="majorEastAsia"/>
          <w:b w:val="0"/>
          <w:bCs w:val="0"/>
          <w:sz w:val="24"/>
          <w:szCs w:val="24"/>
          <w:highlight w:val="none"/>
          <w:lang w:val="en-US" w:eastAsia="zh-CN"/>
        </w:rPr>
        <w:t xml:space="preserve"> </w:t>
      </w:r>
    </w:p>
    <w:p w14:paraId="1E9B5B7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1" w:name="_Toc22678"/>
      <w:r>
        <w:rPr>
          <w:rFonts w:hint="eastAsia" w:asciiTheme="majorEastAsia" w:hAnsiTheme="majorEastAsia" w:eastAsiaTheme="majorEastAsia" w:cstheme="majorEastAsia"/>
          <w:b w:val="0"/>
          <w:bCs w:val="0"/>
          <w:sz w:val="24"/>
          <w:szCs w:val="24"/>
          <w:highlight w:val="none"/>
          <w:lang w:val="en-US" w:eastAsia="zh-CN"/>
        </w:rPr>
        <w:t>第十五条 鼓励各地区、各部门在采购活动中允许中小企业引入信用担保手段，为中小企业在投标（响应）保证、履约保证等方面提供专业化服务。 鼓励中小企业依法合规通过政府采购合同融资。</w:t>
      </w:r>
      <w:bookmarkEnd w:id="681"/>
      <w:r>
        <w:rPr>
          <w:rFonts w:hint="eastAsia" w:asciiTheme="majorEastAsia" w:hAnsiTheme="majorEastAsia" w:eastAsiaTheme="majorEastAsia" w:cstheme="majorEastAsia"/>
          <w:b w:val="0"/>
          <w:bCs w:val="0"/>
          <w:sz w:val="24"/>
          <w:szCs w:val="24"/>
          <w:highlight w:val="none"/>
          <w:lang w:val="en-US" w:eastAsia="zh-CN"/>
        </w:rPr>
        <w:t xml:space="preserve"> </w:t>
      </w:r>
    </w:p>
    <w:p w14:paraId="122A3E5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2" w:name="_Toc3228"/>
      <w:r>
        <w:rPr>
          <w:rFonts w:hint="eastAsia" w:asciiTheme="majorEastAsia" w:hAnsiTheme="majorEastAsia" w:eastAsiaTheme="majorEastAsia" w:cstheme="majorEastAsia"/>
          <w:b w:val="0"/>
          <w:bCs w:val="0"/>
          <w:sz w:val="24"/>
          <w:szCs w:val="24"/>
          <w:highlight w:val="none"/>
          <w:lang w:val="en-US" w:eastAsia="zh-CN"/>
        </w:rPr>
        <w:t>第十六条 政府采购监督检查、投诉处理及政府采购行政处罚中对中小企业的认定，由货物制造商或者工程、服务 供应商注册登记所在地的县级以上人民政府中小企业主管部门负责。中小企业主管部门应当在收到财政部门或者有关招标投标行政监督部门关于协助开展中小企业认定函后10个工作日内做出书面答复。</w:t>
      </w:r>
      <w:bookmarkEnd w:id="682"/>
      <w:r>
        <w:rPr>
          <w:rFonts w:hint="eastAsia" w:asciiTheme="majorEastAsia" w:hAnsiTheme="majorEastAsia" w:eastAsiaTheme="majorEastAsia" w:cstheme="majorEastAsia"/>
          <w:b w:val="0"/>
          <w:bCs w:val="0"/>
          <w:sz w:val="24"/>
          <w:szCs w:val="24"/>
          <w:highlight w:val="none"/>
          <w:lang w:val="en-US" w:eastAsia="zh-CN"/>
        </w:rPr>
        <w:t xml:space="preserve"> </w:t>
      </w:r>
    </w:p>
    <w:p w14:paraId="4FF508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3" w:name="_Toc31111"/>
      <w:r>
        <w:rPr>
          <w:rFonts w:hint="eastAsia" w:asciiTheme="majorEastAsia" w:hAnsiTheme="majorEastAsia" w:eastAsiaTheme="majorEastAsia" w:cstheme="majorEastAsia"/>
          <w:b w:val="0"/>
          <w:bCs w:val="0"/>
          <w:sz w:val="24"/>
          <w:szCs w:val="24"/>
          <w:highlight w:val="none"/>
          <w:lang w:val="en-US" w:eastAsia="zh-CN"/>
        </w:rPr>
        <w:t>第十七条 各地区、各部门应当对涉及中小企业采购的预算项目实施全过程绩效管理，合理设置绩效目标和指标，落实扶持中小企业有关政策要求，定期开展绩效监控和评价，强化绩效评价结果应用。</w:t>
      </w:r>
      <w:bookmarkEnd w:id="683"/>
      <w:r>
        <w:rPr>
          <w:rFonts w:hint="eastAsia" w:asciiTheme="majorEastAsia" w:hAnsiTheme="majorEastAsia" w:eastAsiaTheme="majorEastAsia" w:cstheme="majorEastAsia"/>
          <w:b w:val="0"/>
          <w:bCs w:val="0"/>
          <w:sz w:val="24"/>
          <w:szCs w:val="24"/>
          <w:highlight w:val="none"/>
          <w:lang w:val="en-US" w:eastAsia="zh-CN"/>
        </w:rPr>
        <w:t xml:space="preserve"> </w:t>
      </w:r>
    </w:p>
    <w:p w14:paraId="686A8C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4" w:name="_Toc13378"/>
      <w:r>
        <w:rPr>
          <w:rFonts w:hint="eastAsia" w:asciiTheme="majorEastAsia" w:hAnsiTheme="majorEastAsia" w:eastAsiaTheme="majorEastAsia" w:cstheme="majorEastAsia"/>
          <w:b w:val="0"/>
          <w:bCs w:val="0"/>
          <w:sz w:val="24"/>
          <w:szCs w:val="24"/>
          <w:highlight w:val="none"/>
          <w:lang w:val="en-US" w:eastAsia="zh-CN"/>
        </w:rPr>
        <w:t>第十八条 主管预算单位应当自2022年起向同级财政部门报告本部门上一年度面向中小企业预留份额和采购的具体情况，并在中国政府采购网公开预留项目执行情况（附 2）。未达到本办法规定的预留份额比例的，应当作出说明。</w:t>
      </w:r>
      <w:bookmarkEnd w:id="684"/>
      <w:r>
        <w:rPr>
          <w:rFonts w:hint="eastAsia" w:asciiTheme="majorEastAsia" w:hAnsiTheme="majorEastAsia" w:eastAsiaTheme="majorEastAsia" w:cstheme="majorEastAsia"/>
          <w:b w:val="0"/>
          <w:bCs w:val="0"/>
          <w:sz w:val="24"/>
          <w:szCs w:val="24"/>
          <w:highlight w:val="none"/>
          <w:lang w:val="en-US" w:eastAsia="zh-CN"/>
        </w:rPr>
        <w:t xml:space="preserve"> </w:t>
      </w:r>
    </w:p>
    <w:p w14:paraId="2417AA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5" w:name="_Toc27214"/>
      <w:r>
        <w:rPr>
          <w:rFonts w:hint="eastAsia" w:asciiTheme="majorEastAsia" w:hAnsiTheme="majorEastAsia" w:eastAsiaTheme="majorEastAsia" w:cstheme="majorEastAsia"/>
          <w:b w:val="0"/>
          <w:bCs w:val="0"/>
          <w:sz w:val="24"/>
          <w:szCs w:val="24"/>
          <w:highlight w:val="none"/>
          <w:lang w:val="en-US" w:eastAsia="zh-CN"/>
        </w:rPr>
        <w:t>第十九条 采购人未按本办法规定为中小企业预留采购份额，采购人、采购代理机构未按照本办法规定的要求实施价格扣除或者价格分加分的，属于未按照规定执行政府采购政策，依照《中华人民共和国政府采购法》等国家有关规定追究法律责任。</w:t>
      </w:r>
      <w:bookmarkEnd w:id="685"/>
      <w:r>
        <w:rPr>
          <w:rFonts w:hint="eastAsia" w:asciiTheme="majorEastAsia" w:hAnsiTheme="majorEastAsia" w:eastAsiaTheme="majorEastAsia" w:cstheme="majorEastAsia"/>
          <w:b w:val="0"/>
          <w:bCs w:val="0"/>
          <w:sz w:val="24"/>
          <w:szCs w:val="24"/>
          <w:highlight w:val="none"/>
          <w:lang w:val="en-US" w:eastAsia="zh-CN"/>
        </w:rPr>
        <w:t xml:space="preserve"> </w:t>
      </w:r>
    </w:p>
    <w:p w14:paraId="4F988A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6" w:name="_Toc5468"/>
      <w:r>
        <w:rPr>
          <w:rFonts w:hint="eastAsia" w:asciiTheme="majorEastAsia" w:hAnsiTheme="majorEastAsia" w:eastAsiaTheme="majorEastAsia" w:cstheme="majorEastAsia"/>
          <w:b w:val="0"/>
          <w:bCs w:val="0"/>
          <w:sz w:val="24"/>
          <w:szCs w:val="24"/>
          <w:highlight w:val="none"/>
          <w:lang w:val="en-US" w:eastAsia="zh-CN"/>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bookmarkEnd w:id="686"/>
      <w:r>
        <w:rPr>
          <w:rFonts w:hint="eastAsia" w:asciiTheme="majorEastAsia" w:hAnsiTheme="majorEastAsia" w:eastAsiaTheme="majorEastAsia" w:cstheme="majorEastAsia"/>
          <w:b w:val="0"/>
          <w:bCs w:val="0"/>
          <w:sz w:val="24"/>
          <w:szCs w:val="24"/>
          <w:highlight w:val="none"/>
          <w:lang w:val="en-US" w:eastAsia="zh-CN"/>
        </w:rPr>
        <w:t xml:space="preserve"> </w:t>
      </w:r>
    </w:p>
    <w:p w14:paraId="519FE5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7" w:name="_Toc27852"/>
      <w:r>
        <w:rPr>
          <w:rFonts w:hint="eastAsia" w:asciiTheme="majorEastAsia" w:hAnsiTheme="majorEastAsia" w:eastAsiaTheme="majorEastAsia" w:cstheme="majorEastAsia"/>
          <w:b w:val="0"/>
          <w:bCs w:val="0"/>
          <w:sz w:val="24"/>
          <w:szCs w:val="24"/>
          <w:highlight w:val="none"/>
          <w:lang w:val="en-US" w:eastAsia="zh-CN"/>
        </w:rPr>
        <w:t>第二十一条 财政部门、中小企业主管部门及其工作人员在履行职责中违反本办法规定及存在其他滥用职权、玩忽 职守、徇私舞弊等违法违纪行为的， 依照《中华人民共和国政府采购法》《中华人民共和国公务员法》《中华人民共和国监察法》《中华人民共和国政府采购法实施条例》等国家有关规定追究相应责任；涉嫌犯罪的，依法移送有关国家机关处理。</w:t>
      </w:r>
      <w:bookmarkEnd w:id="687"/>
      <w:r>
        <w:rPr>
          <w:rFonts w:hint="eastAsia" w:asciiTheme="majorEastAsia" w:hAnsiTheme="majorEastAsia" w:eastAsiaTheme="majorEastAsia" w:cstheme="majorEastAsia"/>
          <w:b w:val="0"/>
          <w:bCs w:val="0"/>
          <w:sz w:val="24"/>
          <w:szCs w:val="24"/>
          <w:highlight w:val="none"/>
          <w:lang w:val="en-US" w:eastAsia="zh-CN"/>
        </w:rPr>
        <w:t xml:space="preserve"> </w:t>
      </w:r>
    </w:p>
    <w:p w14:paraId="70B8A6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8" w:name="_Toc23585"/>
      <w:r>
        <w:rPr>
          <w:rFonts w:hint="eastAsia" w:asciiTheme="majorEastAsia" w:hAnsiTheme="majorEastAsia" w:eastAsiaTheme="majorEastAsia" w:cstheme="majorEastAsia"/>
          <w:b w:val="0"/>
          <w:bCs w:val="0"/>
          <w:sz w:val="24"/>
          <w:szCs w:val="24"/>
          <w:highlight w:val="none"/>
          <w:lang w:val="en-US" w:eastAsia="zh-CN"/>
        </w:rPr>
        <w:t>第二十二条 对外援助项目、国家相关资格或者资质管理制度另有规定的项目，不适用本办法。</w:t>
      </w:r>
      <w:bookmarkEnd w:id="688"/>
      <w:r>
        <w:rPr>
          <w:rFonts w:hint="eastAsia" w:asciiTheme="majorEastAsia" w:hAnsiTheme="majorEastAsia" w:eastAsiaTheme="majorEastAsia" w:cstheme="majorEastAsia"/>
          <w:b w:val="0"/>
          <w:bCs w:val="0"/>
          <w:sz w:val="24"/>
          <w:szCs w:val="24"/>
          <w:highlight w:val="none"/>
          <w:lang w:val="en-US" w:eastAsia="zh-CN"/>
        </w:rPr>
        <w:t xml:space="preserve"> </w:t>
      </w:r>
    </w:p>
    <w:p w14:paraId="363F944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Theme="majorEastAsia" w:hAnsiTheme="majorEastAsia" w:eastAsiaTheme="majorEastAsia" w:cstheme="majorEastAsia"/>
          <w:b w:val="0"/>
          <w:bCs w:val="0"/>
          <w:sz w:val="24"/>
          <w:szCs w:val="24"/>
          <w:highlight w:val="none"/>
        </w:rPr>
      </w:pPr>
      <w:bookmarkStart w:id="689" w:name="_Toc28388"/>
      <w:r>
        <w:rPr>
          <w:rFonts w:hint="eastAsia" w:asciiTheme="majorEastAsia" w:hAnsiTheme="majorEastAsia" w:eastAsiaTheme="majorEastAsia" w:cstheme="majorEastAsia"/>
          <w:b w:val="0"/>
          <w:bCs w:val="0"/>
          <w:sz w:val="24"/>
          <w:szCs w:val="24"/>
          <w:highlight w:val="none"/>
          <w:lang w:val="en-US" w:eastAsia="zh-CN"/>
        </w:rPr>
        <w:t>第二十三条关于视同中小企业的其他主体的政府采购扶持政策，由财政部会同有关部门另行规定。</w:t>
      </w:r>
      <w:bookmarkEnd w:id="689"/>
      <w:r>
        <w:rPr>
          <w:rFonts w:hint="eastAsia" w:asciiTheme="majorEastAsia" w:hAnsiTheme="majorEastAsia" w:eastAsiaTheme="majorEastAsia" w:cstheme="majorEastAsia"/>
          <w:b w:val="0"/>
          <w:bCs w:val="0"/>
          <w:sz w:val="24"/>
          <w:szCs w:val="24"/>
          <w:highlight w:val="none"/>
          <w:lang w:val="en-US" w:eastAsia="zh-CN"/>
        </w:rPr>
        <w:t xml:space="preserve"> </w:t>
      </w:r>
    </w:p>
    <w:p w14:paraId="2CD737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Theme="majorEastAsia" w:hAnsiTheme="majorEastAsia" w:eastAsiaTheme="majorEastAsia" w:cstheme="majorEastAsia"/>
          <w:b w:val="0"/>
          <w:bCs w:val="0"/>
          <w:kern w:val="2"/>
          <w:sz w:val="24"/>
          <w:szCs w:val="24"/>
          <w:highlight w:val="none"/>
          <w:lang w:val="en-US" w:eastAsia="zh-CN" w:bidi="ar-SA"/>
        </w:rPr>
      </w:pPr>
      <w:bookmarkStart w:id="690" w:name="_Toc3909"/>
      <w:r>
        <w:rPr>
          <w:rFonts w:hint="eastAsia" w:asciiTheme="majorEastAsia" w:hAnsiTheme="majorEastAsia" w:eastAsiaTheme="majorEastAsia" w:cstheme="majorEastAsia"/>
          <w:b w:val="0"/>
          <w:bCs w:val="0"/>
          <w:sz w:val="24"/>
          <w:szCs w:val="24"/>
          <w:highlight w:val="none"/>
          <w:lang w:val="en-US" w:eastAsia="zh-CN"/>
        </w:rPr>
        <w:t xml:space="preserve">   第二十四条 省级财政部门可以会同中小企业主管部门根据本办法的规定制定具体实施办法。</w:t>
      </w:r>
      <w:r>
        <w:rPr>
          <w:rFonts w:hint="eastAsia" w:asciiTheme="majorEastAsia" w:hAnsiTheme="majorEastAsia" w:eastAsiaTheme="majorEastAsia" w:cstheme="majorEastAsia"/>
          <w:b w:val="0"/>
          <w:bCs w:val="0"/>
          <w:kern w:val="2"/>
          <w:sz w:val="24"/>
          <w:szCs w:val="24"/>
          <w:highlight w:val="none"/>
          <w:lang w:val="en-US" w:eastAsia="zh-CN" w:bidi="ar-SA"/>
        </w:rPr>
        <w:t>第二十五条 本办法自2021年1月1日起施行。《财政部工业和信息化部关于印发〈政府采购促进中小企业发展暂行办法〉的通知》（财库﹝2011﹞181号）</w:t>
      </w:r>
    </w:p>
    <w:p w14:paraId="187B1E4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highlight w:val="none"/>
        </w:rPr>
      </w:pPr>
      <w:r>
        <w:rPr>
          <w:rFonts w:hint="eastAsia" w:asciiTheme="majorEastAsia" w:hAnsiTheme="majorEastAsia" w:eastAsiaTheme="majorEastAsia" w:cstheme="majorEastAsia"/>
          <w:b w:val="0"/>
          <w:bCs w:val="0"/>
          <w:kern w:val="2"/>
          <w:sz w:val="24"/>
          <w:szCs w:val="24"/>
          <w:highlight w:val="none"/>
          <w:lang w:val="en-US" w:eastAsia="zh-CN" w:bidi="ar-SA"/>
        </w:rPr>
        <w:t>同时废止。</w:t>
      </w:r>
      <w:bookmarkEnd w:id="690"/>
    </w:p>
    <w:p w14:paraId="7BC709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p>
    <w:p w14:paraId="3E4058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p>
    <w:p w14:paraId="7C6ECC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p>
    <w:p w14:paraId="7F5876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p>
    <w:p w14:paraId="49BAE9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p>
    <w:p w14:paraId="4C0FE3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14:paraId="0AC77DF3">
      <w:pPr>
        <w:pStyle w:val="9"/>
        <w:ind w:left="0" w:leftChars="0" w:firstLine="0" w:firstLineChars="0"/>
        <w:rPr>
          <w:rFonts w:hint="eastAsia" w:ascii="宋体" w:hAnsi="宋体" w:eastAsia="宋体" w:cs="宋体"/>
          <w:b/>
          <w:sz w:val="28"/>
          <w:szCs w:val="28"/>
          <w:highlight w:val="none"/>
          <w:u w:val="single"/>
        </w:rPr>
      </w:pPr>
    </w:p>
    <w:p w14:paraId="5E54653D">
      <w:pPr>
        <w:pageBreakBefore/>
        <w:adjustRightInd w:val="0"/>
        <w:snapToGrid w:val="0"/>
        <w:spacing w:line="600" w:lineRule="exact"/>
        <w:rPr>
          <w:rFonts w:hint="eastAsia" w:ascii="宋体" w:hAnsi="宋体" w:eastAsia="宋体" w:cs="宋体"/>
          <w:b/>
          <w:bCs/>
          <w:sz w:val="28"/>
          <w:szCs w:val="28"/>
          <w:highlight w:val="none"/>
          <w:u w:val="single"/>
        </w:rPr>
      </w:pPr>
      <w:r>
        <w:rPr>
          <w:rFonts w:hint="eastAsia" w:ascii="宋体" w:hAnsi="宋体" w:eastAsia="宋体" w:cs="宋体"/>
          <w:b/>
          <w:bCs/>
          <w:sz w:val="28"/>
          <w:szCs w:val="28"/>
          <w:highlight w:val="none"/>
          <w:u w:val="single"/>
          <w:lang w:val="en-US" w:eastAsia="zh-CN"/>
        </w:rPr>
        <mc:AlternateContent>
          <mc:Choice Requires="wps">
            <w:drawing>
              <wp:anchor distT="0" distB="0" distL="114300" distR="114300" simplePos="0" relativeHeight="251659264"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文本框 3"/>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4562E8">
                            <w:pPr>
                              <w:rPr>
                                <w:rFonts w:hint="eastAsia"/>
                                <w:sz w:val="30"/>
                                <w:szCs w:val="30"/>
                              </w:rPr>
                            </w:pPr>
                          </w:p>
                          <w:p w14:paraId="44E32CB3">
                            <w:pPr>
                              <w:rPr>
                                <w:sz w:val="30"/>
                                <w:szCs w:val="30"/>
                              </w:rPr>
                            </w:pPr>
                            <w:r>
                              <w:rPr>
                                <w:rFonts w:hint="eastAsia"/>
                                <w:sz w:val="30"/>
                                <w:szCs w:val="30"/>
                              </w:rPr>
                              <w:t>标明正/副本</w:t>
                            </w:r>
                          </w:p>
                        </w:txbxContent>
                      </wps:txbx>
                      <wps:bodyPr wrap="square" upright="1"/>
                    </wps:wsp>
                  </a:graphicData>
                </a:graphic>
              </wp:anchor>
            </w:drawing>
          </mc:Choice>
          <mc:Fallback>
            <w:pict>
              <v:shape id="文本框 3" o:spid="_x0000_s1026" o:spt="202" type="#_x0000_t202" style="position:absolute;left:0pt;margin-left:342.15pt;margin-top:11.3pt;height:70.2pt;width:99pt;z-index:251659264;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8SJOA2AAAAAoBAAAPAAAA&#10;AAAAAAEAIAAAACIAAABkcnMvZG93bnJldi54bWxQSwECFAAUAAAACACHTuJAQDMF2hUCAABEBAAA&#10;DgAAAAAAAAABACAAAAAnAQAAZHJzL2Uyb0RvYy54bWxQSwUGAAAAAAYABgBZAQAArgUAAAAA&#10;">
                <v:fill on="t" focussize="0,0"/>
                <v:stroke color="#000000" joinstyle="miter"/>
                <v:imagedata o:title=""/>
                <o:lock v:ext="edit" aspectratio="f"/>
                <v:textbox>
                  <w:txbxContent>
                    <w:p w14:paraId="4B4562E8">
                      <w:pPr>
                        <w:rPr>
                          <w:rFonts w:hint="eastAsia"/>
                          <w:sz w:val="30"/>
                          <w:szCs w:val="30"/>
                        </w:rPr>
                      </w:pPr>
                    </w:p>
                    <w:p w14:paraId="44E32CB3">
                      <w:pPr>
                        <w:rPr>
                          <w:sz w:val="30"/>
                          <w:szCs w:val="30"/>
                        </w:rPr>
                      </w:pPr>
                      <w:r>
                        <w:rPr>
                          <w:rFonts w:hint="eastAsia"/>
                          <w:sz w:val="30"/>
                          <w:szCs w:val="30"/>
                        </w:rPr>
                        <w:t>标明正/副本</w:t>
                      </w:r>
                    </w:p>
                  </w:txbxContent>
                </v:textbox>
              </v:shape>
            </w:pict>
          </mc:Fallback>
        </mc:AlternateContent>
      </w:r>
      <w:r>
        <w:rPr>
          <w:rFonts w:hint="eastAsia" w:ascii="宋体" w:hAnsi="宋体" w:eastAsia="宋体" w:cs="宋体"/>
          <w:b/>
          <w:bCs/>
          <w:sz w:val="28"/>
          <w:szCs w:val="28"/>
          <w:highlight w:val="none"/>
          <w:u w:val="single"/>
          <w:lang w:val="en-US" w:eastAsia="zh-CN"/>
        </w:rPr>
        <w:t>1.磋商</w:t>
      </w:r>
      <w:r>
        <w:rPr>
          <w:rFonts w:hint="eastAsia" w:ascii="宋体" w:hAnsi="宋体" w:eastAsia="宋体" w:cs="宋体"/>
          <w:b/>
          <w:bCs/>
          <w:sz w:val="28"/>
          <w:szCs w:val="28"/>
          <w:highlight w:val="none"/>
          <w:u w:val="single"/>
        </w:rPr>
        <w:t>响应性文件封面格式</w:t>
      </w:r>
    </w:p>
    <w:p w14:paraId="40A2D425">
      <w:pPr>
        <w:adjustRightInd w:val="0"/>
        <w:snapToGrid w:val="0"/>
        <w:spacing w:line="360" w:lineRule="auto"/>
        <w:jc w:val="left"/>
        <w:rPr>
          <w:rFonts w:hint="eastAsia" w:ascii="宋体" w:hAnsi="宋体" w:eastAsia="宋体" w:cs="宋体"/>
          <w:b/>
          <w:bCs/>
          <w:sz w:val="30"/>
          <w:szCs w:val="30"/>
          <w:highlight w:val="none"/>
        </w:rPr>
      </w:pPr>
    </w:p>
    <w:p w14:paraId="1A4EA109">
      <w:pPr>
        <w:adjustRightInd w:val="0"/>
        <w:snapToGrid w:val="0"/>
        <w:spacing w:line="1000" w:lineRule="exact"/>
        <w:rPr>
          <w:rFonts w:hint="eastAsia" w:ascii="宋体" w:hAnsi="宋体" w:eastAsia="宋体" w:cs="宋体"/>
          <w:bCs/>
          <w:sz w:val="28"/>
          <w:szCs w:val="28"/>
          <w:highlight w:val="none"/>
        </w:rPr>
      </w:pPr>
    </w:p>
    <w:p w14:paraId="3E127A44">
      <w:pPr>
        <w:adjustRightInd w:val="0"/>
        <w:snapToGrid w:val="0"/>
        <w:spacing w:line="1200" w:lineRule="exact"/>
        <w:jc w:val="center"/>
        <w:rPr>
          <w:rFonts w:hint="eastAsia" w:ascii="宋体" w:hAnsi="宋体" w:eastAsia="宋体" w:cs="宋体"/>
          <w:b/>
          <w:bCs/>
          <w:sz w:val="100"/>
          <w:szCs w:val="100"/>
          <w:highlight w:val="none"/>
        </w:rPr>
      </w:pPr>
      <w:r>
        <w:rPr>
          <w:rFonts w:hint="eastAsia" w:ascii="宋体" w:hAnsi="宋体" w:eastAsia="宋体" w:cs="宋体"/>
          <w:b/>
          <w:bCs/>
          <w:sz w:val="100"/>
          <w:szCs w:val="100"/>
          <w:highlight w:val="none"/>
        </w:rPr>
        <w:t>磋商响应性文件</w:t>
      </w:r>
    </w:p>
    <w:p w14:paraId="3F563E21">
      <w:pPr>
        <w:adjustRightInd w:val="0"/>
        <w:snapToGrid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（商务标和技术标）</w:t>
      </w:r>
    </w:p>
    <w:p w14:paraId="020C0E2D">
      <w:pPr>
        <w:adjustRightInd w:val="0"/>
        <w:snapToGrid w:val="0"/>
        <w:spacing w:line="600" w:lineRule="exact"/>
        <w:rPr>
          <w:rFonts w:hint="eastAsia" w:ascii="宋体" w:hAnsi="宋体" w:eastAsia="宋体" w:cs="宋体"/>
          <w:bCs/>
          <w:sz w:val="28"/>
          <w:szCs w:val="28"/>
          <w:highlight w:val="none"/>
        </w:rPr>
      </w:pPr>
    </w:p>
    <w:p w14:paraId="45344596">
      <w:pPr>
        <w:adjustRightInd w:val="0"/>
        <w:snapToGrid w:val="0"/>
        <w:spacing w:line="600" w:lineRule="exact"/>
        <w:rPr>
          <w:rFonts w:hint="eastAsia" w:ascii="宋体" w:hAnsi="宋体" w:eastAsia="宋体" w:cs="宋体"/>
          <w:bCs/>
          <w:sz w:val="28"/>
          <w:szCs w:val="28"/>
          <w:highlight w:val="none"/>
        </w:rPr>
      </w:pPr>
    </w:p>
    <w:p w14:paraId="17CF30F3">
      <w:pPr>
        <w:pStyle w:val="38"/>
        <w:rPr>
          <w:rFonts w:hint="eastAsia" w:ascii="宋体" w:hAnsi="宋体" w:eastAsia="宋体" w:cs="宋体"/>
          <w:highlight w:val="none"/>
        </w:rPr>
      </w:pPr>
    </w:p>
    <w:p w14:paraId="5928C46A">
      <w:pPr>
        <w:adjustRightInd w:val="0"/>
        <w:snapToGrid w:val="0"/>
        <w:spacing w:line="360" w:lineRule="auto"/>
        <w:jc w:val="left"/>
        <w:rPr>
          <w:rFonts w:hint="eastAsia" w:ascii="宋体" w:hAnsi="宋体" w:eastAsia="宋体" w:cs="宋体"/>
          <w:b/>
          <w:bCs/>
          <w:sz w:val="30"/>
          <w:szCs w:val="30"/>
          <w:highlight w:val="none"/>
        </w:rPr>
      </w:pPr>
    </w:p>
    <w:p w14:paraId="428AC2C3">
      <w:pPr>
        <w:pStyle w:val="4"/>
        <w:keepNext/>
        <w:keepLines/>
        <w:pageBreakBefore w:val="0"/>
        <w:widowControl w:val="0"/>
        <w:kinsoku/>
        <w:wordWrap/>
        <w:overflowPunct/>
        <w:topLinePunct w:val="0"/>
        <w:autoSpaceDE/>
        <w:autoSpaceDN/>
        <w:bidi w:val="0"/>
        <w:adjustRightInd w:val="0"/>
        <w:snapToGrid/>
        <w:ind w:firstLine="1405" w:firstLineChars="500"/>
        <w:textAlignment w:val="baseline"/>
        <w:rPr>
          <w:rFonts w:hint="eastAsia" w:ascii="宋体" w:hAnsi="宋体" w:eastAsia="宋体" w:cs="宋体"/>
          <w:highlight w:val="none"/>
          <w:lang w:val="en-US" w:eastAsia="zh-CN"/>
        </w:rPr>
      </w:pPr>
      <w:bookmarkStart w:id="691" w:name="_Toc7973"/>
      <w:r>
        <w:rPr>
          <w:rFonts w:hint="eastAsia" w:ascii="宋体" w:hAnsi="宋体" w:eastAsia="宋体" w:cs="宋体"/>
          <w:highlight w:val="none"/>
          <w:lang w:val="en-US" w:eastAsia="zh-CN"/>
        </w:rPr>
        <w:t>项目名称：</w:t>
      </w:r>
      <w:bookmarkEnd w:id="691"/>
    </w:p>
    <w:p w14:paraId="713340B6">
      <w:pPr>
        <w:pStyle w:val="4"/>
        <w:keepNext/>
        <w:keepLines/>
        <w:pageBreakBefore w:val="0"/>
        <w:widowControl w:val="0"/>
        <w:kinsoku/>
        <w:wordWrap/>
        <w:overflowPunct/>
        <w:topLinePunct w:val="0"/>
        <w:autoSpaceDE/>
        <w:autoSpaceDN/>
        <w:bidi w:val="0"/>
        <w:adjustRightInd w:val="0"/>
        <w:snapToGrid/>
        <w:ind w:firstLine="1405" w:firstLineChars="500"/>
        <w:textAlignment w:val="baseline"/>
        <w:rPr>
          <w:rFonts w:hint="eastAsia" w:ascii="宋体" w:hAnsi="宋体" w:eastAsia="宋体" w:cs="宋体"/>
          <w:highlight w:val="none"/>
          <w:lang w:val="en-US" w:eastAsia="zh-CN"/>
        </w:rPr>
      </w:pPr>
      <w:bookmarkStart w:id="692" w:name="_Toc25817"/>
      <w:r>
        <w:rPr>
          <w:rFonts w:hint="eastAsia" w:ascii="宋体" w:hAnsi="宋体" w:eastAsia="宋体" w:cs="宋体"/>
          <w:highlight w:val="none"/>
          <w:lang w:val="en-US" w:eastAsia="zh-CN"/>
        </w:rPr>
        <w:t>项目编号：</w:t>
      </w:r>
      <w:bookmarkEnd w:id="692"/>
    </w:p>
    <w:p w14:paraId="0C1E40A3">
      <w:pPr>
        <w:adjustRightInd w:val="0"/>
        <w:snapToGrid w:val="0"/>
        <w:spacing w:line="360" w:lineRule="auto"/>
        <w:jc w:val="left"/>
        <w:rPr>
          <w:rFonts w:hint="eastAsia" w:ascii="宋体" w:hAnsi="宋体" w:eastAsia="宋体" w:cs="宋体"/>
          <w:b/>
          <w:bCs/>
          <w:sz w:val="30"/>
          <w:szCs w:val="30"/>
          <w:highlight w:val="none"/>
        </w:rPr>
      </w:pPr>
    </w:p>
    <w:p w14:paraId="4ECBAA09">
      <w:pPr>
        <w:pStyle w:val="9"/>
        <w:rPr>
          <w:rFonts w:hint="eastAsia" w:ascii="宋体" w:hAnsi="宋体" w:eastAsia="宋体" w:cs="宋体"/>
          <w:highlight w:val="none"/>
        </w:rPr>
      </w:pPr>
    </w:p>
    <w:p w14:paraId="62E92ABD">
      <w:pPr>
        <w:pStyle w:val="9"/>
        <w:rPr>
          <w:rFonts w:hint="eastAsia" w:ascii="宋体" w:hAnsi="宋体" w:eastAsia="宋体" w:cs="宋体"/>
          <w:highlight w:val="none"/>
        </w:rPr>
      </w:pPr>
    </w:p>
    <w:p w14:paraId="40FFD461">
      <w:pPr>
        <w:adjustRightInd w:val="0"/>
        <w:snapToGrid w:val="0"/>
        <w:spacing w:line="360" w:lineRule="auto"/>
        <w:jc w:val="left"/>
        <w:rPr>
          <w:rFonts w:hint="eastAsia" w:ascii="宋体" w:hAnsi="宋体" w:eastAsia="宋体" w:cs="宋体"/>
          <w:highlight w:val="none"/>
        </w:rPr>
      </w:pPr>
      <w:r>
        <w:rPr>
          <w:rFonts w:hint="eastAsia" w:ascii="宋体" w:hAnsi="宋体" w:eastAsia="宋体" w:cs="宋体"/>
          <w:b/>
          <w:bCs/>
          <w:sz w:val="30"/>
          <w:szCs w:val="30"/>
          <w:highlight w:val="none"/>
        </w:rPr>
        <w:t xml:space="preserve"> </w:t>
      </w:r>
    </w:p>
    <w:p w14:paraId="31D90779">
      <w:pPr>
        <w:adjustRightInd w:val="0"/>
        <w:snapToGrid w:val="0"/>
        <w:spacing w:line="600" w:lineRule="exact"/>
        <w:rPr>
          <w:rFonts w:hint="eastAsia" w:ascii="宋体" w:hAnsi="宋体" w:eastAsia="宋体" w:cs="宋体"/>
          <w:bCs/>
          <w:sz w:val="28"/>
          <w:szCs w:val="28"/>
          <w:highlight w:val="none"/>
        </w:rPr>
      </w:pPr>
    </w:p>
    <w:p w14:paraId="6F0A5D52">
      <w:pPr>
        <w:adjustRightInd w:val="0"/>
        <w:snapToGrid w:val="0"/>
        <w:spacing w:line="600" w:lineRule="exact"/>
        <w:ind w:left="840" w:firstLine="843" w:firstLineChars="300"/>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供应商：×××××××（加盖公章）</w:t>
      </w:r>
    </w:p>
    <w:p w14:paraId="395A7FBE">
      <w:pPr>
        <w:adjustRightInd w:val="0"/>
        <w:snapToGrid w:val="0"/>
        <w:spacing w:line="600" w:lineRule="exact"/>
        <w:ind w:left="840" w:firstLine="843" w:firstLineChars="300"/>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法定代表人或被授权人：×××（签字）</w:t>
      </w:r>
    </w:p>
    <w:p w14:paraId="2F2D3FB0">
      <w:pPr>
        <w:adjustRightInd w:val="0"/>
        <w:snapToGrid w:val="0"/>
        <w:spacing w:line="600" w:lineRule="exact"/>
        <w:ind w:left="840" w:firstLine="843" w:firstLineChars="300"/>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投标日期：××××年×月×日</w:t>
      </w:r>
    </w:p>
    <w:p w14:paraId="39E6FCD8">
      <w:pPr>
        <w:widowControl/>
        <w:spacing w:line="360" w:lineRule="auto"/>
        <w:jc w:val="left"/>
        <w:rPr>
          <w:rFonts w:hint="eastAsia" w:ascii="宋体" w:hAnsi="宋体" w:eastAsia="宋体" w:cs="宋体"/>
          <w:bCs/>
          <w:color w:val="0D0D0D"/>
          <w:sz w:val="28"/>
          <w:szCs w:val="28"/>
          <w:highlight w:val="none"/>
        </w:rPr>
      </w:pPr>
    </w:p>
    <w:sectPr>
      <w:footerReference r:id="rId16" w:type="first"/>
      <w:footerReference r:id="rId14" w:type="default"/>
      <w:footerReference r:id="rId15" w:type="even"/>
      <w:type w:val="continuous"/>
      <w:pgSz w:w="11905" w:h="16838"/>
      <w:pgMar w:top="1440" w:right="1531" w:bottom="1440" w:left="1531" w:header="850" w:footer="850" w:gutter="0"/>
      <w:pgNumType w:fmt="decimal" w:start="6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0000000000000000000"/>
    <w:charset w:val="7A"/>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700">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ail">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yntax">
    <w:altName w:val="Times New Roman"/>
    <w:panose1 w:val="00000000000000000000"/>
    <w:charset w:val="00"/>
    <w:family w:val="roman"/>
    <w:pitch w:val="default"/>
    <w:sig w:usb0="00000000" w:usb1="00000000" w:usb2="00000000" w:usb3="00000000" w:csb0="00040001" w:csb1="00000000"/>
  </w:font>
  <w:font w:name="Helvetica Neue">
    <w:altName w:val="Segoe Print"/>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Open Sans">
    <w:altName w:val="Arial"/>
    <w:panose1 w:val="020B0606030504020204"/>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37B9">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8744F">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88744F">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CC25">
    <w:pPr>
      <w:pStyle w:val="25"/>
      <w:pBdr>
        <w:top w:val="single" w:color="auto" w:sz="4" w:space="0"/>
      </w:pBdr>
      <w:rPr>
        <w:rFonts w:hint="eastAsia" w:eastAsia="宋体"/>
        <w:sz w:val="21"/>
        <w:szCs w:val="21"/>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7D467B">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L4kufIAQAAmgMAAA4AAAAAAAAAAQAgAAAAHgEAAGRycy9lMm9Eb2Mu&#10;eG1sUEsFBgAAAAAGAAYAWQEAAFgFAAAAAA==&#10;">
              <v:fill on="f" focussize="0,0"/>
              <v:stroke on="f"/>
              <v:imagedata o:title=""/>
              <o:lock v:ext="edit" aspectratio="f"/>
              <v:textbox inset="0mm,0mm,0mm,0mm" style="mso-fit-shape-to-text:t;">
                <w:txbxContent>
                  <w:p w14:paraId="567D467B">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r>
      <w:rPr>
        <w:rFonts w:hint="eastAsia"/>
      </w:rPr>
      <w:t xml:space="preserve"> </w:t>
    </w:r>
    <w:r>
      <w:rPr>
        <w:rFonts w:hint="eastAsia" w:ascii="宋体" w:hAnsi="宋体"/>
        <w:lang w:eastAsia="zh-CN"/>
      </w:rPr>
      <w:t>甘肃金正信工程项目管理咨询有限公司</w:t>
    </w:r>
    <w:r>
      <w:rPr>
        <w:rFonts w:hint="eastAsia" w:ascii="宋体" w:hAnsi="宋体"/>
        <w:sz w:val="21"/>
        <w:szCs w:val="21"/>
      </w:rPr>
      <w:t xml:space="preserve">                                         </w:t>
    </w:r>
    <w:r>
      <w:rPr>
        <w:rFonts w:hint="eastAsia" w:ascii="宋体" w:hAnsi="宋体"/>
      </w:rPr>
      <w:t>Tel：</w:t>
    </w:r>
    <w:r>
      <w:rPr>
        <w:rFonts w:hint="eastAsia" w:ascii="宋体" w:hAnsi="宋体"/>
        <w:lang w:eastAsia="zh-CN"/>
      </w:rPr>
      <w:t>18193312581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FCAB">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8D076">
                          <w:pPr>
                            <w:pStyle w:val="2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188D076">
                    <w:pPr>
                      <w:pStyle w:val="25"/>
                    </w:pPr>
                    <w:r>
                      <w:fldChar w:fldCharType="begin"/>
                    </w:r>
                    <w:r>
                      <w:instrText xml:space="preserve"> PAGE  \* MERGEFORMAT </w:instrText>
                    </w:r>
                    <w:r>
                      <w:fldChar w:fldCharType="separate"/>
                    </w:r>
                    <w:r>
                      <w:t>33</w:t>
                    </w:r>
                    <w:r>
                      <w:fldChar w:fldCharType="end"/>
                    </w:r>
                  </w:p>
                </w:txbxContent>
              </v:textbox>
            </v:shape>
          </w:pict>
        </mc:Fallback>
      </mc:AlternateContent>
    </w:r>
  </w:p>
  <w:p w14:paraId="54E731FD">
    <w:pPr>
      <w:pStyle w:val="25"/>
      <w:rPr>
        <w:rFonts w:eastAsia="仿宋_GB2312"/>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94499">
    <w:pPr>
      <w:pStyle w:val="25"/>
      <w:rPr>
        <w:rFonts w:hint="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AA57A">
                          <w:pPr>
                            <w:pStyle w:val="2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49AA57A">
                    <w:pPr>
                      <w:pStyle w:val="2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0178">
    <w:pPr>
      <w:pStyle w:val="25"/>
      <w:pBdr>
        <w:top w:val="single" w:color="auto" w:sz="4" w:space="1"/>
      </w:pBdr>
    </w:pPr>
    <w:r>
      <w:rPr>
        <w:sz w:val="15"/>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1759A">
                          <w:pPr>
                            <w:pStyle w:val="2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251759A">
                    <w:pPr>
                      <w:pStyle w:val="25"/>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ascii="宋体" w:hAnsi="宋体"/>
        <w:sz w:val="15"/>
        <w:szCs w:val="15"/>
        <w:lang w:eastAsia="zh-CN"/>
      </w:rPr>
      <w:t>甘肃金正信工程项目管理咨询有限公司</w:t>
    </w:r>
    <w:r>
      <w:rPr>
        <w:rFonts w:hint="eastAsia" w:ascii="宋体" w:hAnsi="宋体"/>
        <w:sz w:val="15"/>
        <w:szCs w:val="15"/>
      </w:rPr>
      <w:t xml:space="preserve">                                                              Tel：</w:t>
    </w:r>
    <w:r>
      <w:rPr>
        <w:rFonts w:hint="eastAsia" w:ascii="宋体" w:hAnsi="宋体"/>
        <w:sz w:val="15"/>
        <w:szCs w:val="15"/>
        <w:lang w:eastAsia="zh-CN"/>
      </w:rPr>
      <w:t>18193312581</w:t>
    </w:r>
    <w:r>
      <w:rPr>
        <w:rFonts w:hint="eastAsia" w:ascii="宋体" w:hAnsi="宋体"/>
        <w:sz w:val="15"/>
        <w:szCs w:val="15"/>
      </w:rPr>
      <w:t xml:space="preserve"> </w:t>
    </w:r>
    <w:r>
      <w:rPr>
        <w:rFonts w:hint="eastAsia" w:ascii="宋体" w:hAnsi="宋体"/>
      </w:rPr>
      <w:t xml:space="preserve">                                                  </w:t>
    </w:r>
    <w:r>
      <w:rPr>
        <w:rFonts w:hint="eastAsia" w:ascii="宋体" w:hAnsi="宋体"/>
        <w:sz w:val="22"/>
        <w:szCs w:val="22"/>
      </w:rPr>
      <w:t xml:space="preserve">      </w:t>
    </w:r>
    <w:r>
      <w:rPr>
        <w:rFonts w:hint="eastAsia" w:ascii="宋体" w:hAnsi="宋体"/>
      </w:rPr>
      <w:t xml:space="preserve">                                                 </w:t>
    </w:r>
    <w:r>
      <w:rPr>
        <w:rFonts w:hint="eastAsia" w:ascii="宋体" w:hAnsi="宋体"/>
        <w:sz w:val="22"/>
        <w:szCs w:val="22"/>
      </w:rPr>
      <w:t xml:space="preserve">     </w:t>
    </w:r>
    <w:r>
      <w:rPr>
        <w:rFonts w:hint="eastAsia" w:ascii="宋体" w:hAnsi="宋体"/>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E13D6">
    <w:pPr>
      <w:pStyle w:val="2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FD5C0">
                          <w:pPr>
                            <w:pStyle w:val="2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FDFD5C0">
                    <w:pPr>
                      <w:pStyle w:val="2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3A18">
    <w:pPr>
      <w:pStyle w:val="25"/>
      <w:pBdr>
        <w:top w:val="single" w:color="auto" w:sz="4" w:space="1"/>
      </w:pBdr>
    </w:pPr>
    <w:r>
      <w:rPr>
        <w:sz w:val="15"/>
        <w:szCs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E43B4F">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1rh8kBAACb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zWuHyQEAAJsDAAAOAAAAAAAAAAEAIAAAAB4BAABkcnMvZTJvRG9j&#10;LnhtbFBLBQYAAAAABgAGAFkBAABZBQAAAAA=&#10;">
              <v:fill on="f" focussize="0,0"/>
              <v:stroke on="f"/>
              <v:imagedata o:title=""/>
              <o:lock v:ext="edit" aspectratio="f"/>
              <v:textbox inset="0mm,0mm,0mm,0mm" style="mso-fit-shape-to-text:t;">
                <w:txbxContent>
                  <w:p w14:paraId="19E43B4F">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r>
      <w:rPr>
        <w:rFonts w:hint="eastAsia" w:ascii="宋体" w:hAnsi="宋体"/>
        <w:sz w:val="15"/>
        <w:szCs w:val="15"/>
        <w:lang w:eastAsia="zh-CN"/>
      </w:rPr>
      <w:t>甘肃金正信工程项目管理咨询有限公司</w:t>
    </w:r>
    <w:r>
      <w:rPr>
        <w:rFonts w:hint="eastAsia" w:ascii="宋体" w:hAnsi="宋体"/>
        <w:sz w:val="15"/>
        <w:szCs w:val="15"/>
      </w:rPr>
      <w:t xml:space="preserve">                                                                Tel：</w:t>
    </w:r>
    <w:r>
      <w:rPr>
        <w:rFonts w:hint="eastAsia" w:ascii="宋体" w:hAnsi="宋体"/>
        <w:sz w:val="15"/>
        <w:szCs w:val="15"/>
        <w:lang w:eastAsia="zh-CN"/>
      </w:rPr>
      <w:t>18193312581</w:t>
    </w:r>
    <w:r>
      <w:rPr>
        <w:rFonts w:hint="eastAsia" w:ascii="宋体" w:hAnsi="宋体"/>
        <w:sz w:val="15"/>
        <w:szCs w:val="15"/>
      </w:rPr>
      <w:t xml:space="preserve">     </w:t>
    </w:r>
    <w:r>
      <w:rPr>
        <w:rFonts w:hint="eastAsia" w:ascii="宋体" w:hAnsi="宋体"/>
      </w:rPr>
      <w:t xml:space="preserve">                                              </w:t>
    </w:r>
    <w:r>
      <w:rPr>
        <w:rFonts w:hint="eastAsia" w:ascii="宋体" w:hAnsi="宋体"/>
        <w:sz w:val="22"/>
        <w:szCs w:val="22"/>
      </w:rPr>
      <w:t xml:space="preserve">      </w:t>
    </w:r>
    <w:r>
      <w:rPr>
        <w:rFonts w:hint="eastAsia" w:ascii="宋体" w:hAnsi="宋体"/>
      </w:rPr>
      <w:t xml:space="preserve">                                                 </w:t>
    </w:r>
    <w:r>
      <w:rPr>
        <w:rFonts w:hint="eastAsia" w:ascii="宋体" w:hAnsi="宋体"/>
        <w:sz w:val="22"/>
        <w:szCs w:val="22"/>
      </w:rPr>
      <w:t xml:space="preserve">     </w:t>
    </w:r>
    <w:r>
      <w:rPr>
        <w:rFonts w:hint="eastAsia" w:ascii="宋体" w:hAnsi="宋体"/>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B070E">
    <w:pPr>
      <w:pStyle w:val="25"/>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6F3F6">
                          <w:pPr>
                            <w:pStyle w:val="2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96F3F6">
                    <w:pPr>
                      <w:pStyle w:val="25"/>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ascii="宋体" w:hAnsi="宋体"/>
        <w:sz w:val="15"/>
        <w:szCs w:val="15"/>
      </w:rPr>
      <w:t xml:space="preserve">                                                      </w:t>
    </w:r>
    <w:r>
      <w:rPr>
        <w:rFonts w:hint="eastAsia" w:ascii="宋体" w:hAnsi="宋体"/>
        <w:sz w:val="15"/>
        <w:szCs w:val="15"/>
        <w:lang w:val="en-US" w:eastAsia="zh-CN"/>
      </w:rPr>
      <w:t xml:space="preserve">              </w:t>
    </w:r>
    <w:r>
      <w:rPr>
        <w:rFonts w:hint="eastAsia" w:ascii="宋体" w:hAnsi="宋体"/>
        <w:sz w:val="15"/>
        <w:szCs w:val="15"/>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F9B9">
    <w:pPr>
      <w:pStyle w:val="2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E696D">
                          <w:pPr>
                            <w:pStyle w:val="2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EDE696D">
                    <w:pPr>
                      <w:pStyle w:val="2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DBB1">
    <w:pPr>
      <w:pStyle w:val="25"/>
      <w:framePr w:wrap="around" w:vAnchor="text" w:hAnchor="margin" w:xAlign="right" w:y="1"/>
      <w:spacing w:after="240"/>
      <w:rPr>
        <w:rStyle w:val="44"/>
      </w:rPr>
    </w:pPr>
    <w:r>
      <w:fldChar w:fldCharType="begin"/>
    </w:r>
    <w:r>
      <w:rPr>
        <w:rStyle w:val="44"/>
      </w:rPr>
      <w:instrText xml:space="preserve">PAGE  </w:instrText>
    </w:r>
    <w:r>
      <w:fldChar w:fldCharType="separate"/>
    </w:r>
    <w:r>
      <w:fldChar w:fldCharType="end"/>
    </w:r>
  </w:p>
  <w:p w14:paraId="31C208B5">
    <w:pPr>
      <w:pStyle w:val="25"/>
      <w:spacing w:after="24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16F0">
    <w:pPr>
      <w:pStyle w:val="26"/>
      <w:rPr>
        <w:rFonts w:hint="eastAsia"/>
        <w:lang w:eastAsia="zh-CN"/>
      </w:rPr>
    </w:pPr>
    <w:r>
      <w:rPr>
        <w:rFonts w:hint="eastAsia"/>
        <w:lang w:val="en-US" w:eastAsia="zh-CN"/>
      </w:rPr>
      <w:t>甘肃医学院附属医院</w:t>
    </w:r>
    <w:r>
      <w:rPr>
        <w:rFonts w:hint="eastAsia"/>
        <w:lang w:eastAsia="zh-CN"/>
      </w:rPr>
      <w:t>后勤物资水暖材料采购项目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B1E14">
    <w:pPr>
      <w:pStyle w:val="26"/>
      <w:pBdr>
        <w:bottom w:val="single" w:color="auto" w:sz="4" w:space="1"/>
      </w:pBdr>
      <w:rPr>
        <w:rFonts w:hint="eastAsia"/>
        <w:lang w:eastAsia="zh-CN"/>
      </w:rPr>
    </w:pPr>
    <w:r>
      <w:rPr>
        <w:rFonts w:hint="eastAsia"/>
        <w:lang w:val="en-US" w:eastAsia="zh-CN"/>
      </w:rPr>
      <w:t>甘肃医学院附属医院</w:t>
    </w:r>
    <w:r>
      <w:rPr>
        <w:rFonts w:hint="eastAsia"/>
        <w:lang w:eastAsia="zh-CN"/>
      </w:rPr>
      <w:t>后勤物资水暖材料采购项目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EB4F">
    <w:pPr>
      <w:pStyle w:val="26"/>
      <w:rPr>
        <w:rFonts w:hint="eastAsia"/>
      </w:rPr>
    </w:pPr>
    <w:r>
      <w:rPr>
        <w:rFonts w:hint="eastAsia" w:ascii="仿宋" w:hAnsi="仿宋" w:eastAsia="仿宋" w:cs="仿宋"/>
        <w:lang w:eastAsia="zh-CN"/>
      </w:rPr>
      <w:t>甘肃医学院附属医院应急采购消杀设备项目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A87D">
    <w:pPr>
      <w:pStyle w:val="26"/>
      <w:rPr>
        <w:rFonts w:hint="eastAsia"/>
      </w:rPr>
    </w:pPr>
    <w:r>
      <w:rPr>
        <w:rFonts w:hint="eastAsia"/>
        <w:lang w:val="en-US" w:eastAsia="zh-CN"/>
      </w:rPr>
      <w:t>甘肃医学院附属医院</w:t>
    </w:r>
    <w:r>
      <w:rPr>
        <w:rFonts w:hint="eastAsia"/>
      </w:rPr>
      <w:t>后勤物资水暖材料采购项目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6B1BE"/>
    <w:multiLevelType w:val="singleLevel"/>
    <w:tmpl w:val="8026B1BE"/>
    <w:lvl w:ilvl="0" w:tentative="0">
      <w:start w:val="1"/>
      <w:numFmt w:val="decimal"/>
      <w:lvlText w:val="%1."/>
      <w:lvlJc w:val="left"/>
      <w:pPr>
        <w:tabs>
          <w:tab w:val="left" w:pos="312"/>
        </w:tabs>
      </w:pPr>
    </w:lvl>
  </w:abstractNum>
  <w:abstractNum w:abstractNumId="1">
    <w:nsid w:val="95103BE5"/>
    <w:multiLevelType w:val="singleLevel"/>
    <w:tmpl w:val="95103BE5"/>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chineseCountingThousand"/>
      <w:lvlText w:val="%1、"/>
      <w:lvlJc w:val="left"/>
      <w:pPr>
        <w:ind w:left="420" w:hanging="420"/>
      </w:pPr>
      <w:rPr>
        <w:b/>
        <w:i w:val="0"/>
        <w:caps w:val="0"/>
        <w:outline w:val="0"/>
        <w:shadow w:val="0"/>
        <w:emboss w:val="0"/>
        <w:imprint w:val="0"/>
        <w:vanish w:val="0"/>
        <w:color w:val="auto"/>
        <w:spacing w:val="0"/>
        <w:position w:val="0"/>
        <w:sz w:val="32"/>
        <w:u w:val="none"/>
        <w:vertAlign w:val="baseline"/>
      </w:rPr>
    </w:lvl>
    <w:lvl w:ilvl="1" w:tentative="0">
      <w:start w:val="1"/>
      <w:numFmt w:val="chineseCountingThousand"/>
      <w:suff w:val="nothing"/>
      <w:lvlText w:val="%2、"/>
      <w:lvlJc w:val="left"/>
      <w:pPr>
        <w:ind w:left="851" w:firstLine="0"/>
      </w:pPr>
      <w:rPr>
        <w:rFonts w:hint="eastAsia" w:ascii="宋体-18030" w:hAnsi="宋体-18030" w:eastAsia="宋体-18030" w:cs="宋体-18030"/>
        <w:b/>
        <w:i w:val="0"/>
        <w:caps w:val="0"/>
        <w:outline w:val="0"/>
        <w:shadow w:val="0"/>
        <w:emboss w:val="0"/>
        <w:imprint w:val="0"/>
        <w:vanish w:val="0"/>
        <w:color w:val="auto"/>
        <w:sz w:val="28"/>
        <w:u w:val="none"/>
        <w:vertAlign w:val="baseline"/>
      </w:rPr>
    </w:lvl>
    <w:lvl w:ilvl="2" w:tentative="0">
      <w:start w:val="1"/>
      <w:numFmt w:val="decimal"/>
      <w:suff w:val="space"/>
      <w:lvlText w:val="%3."/>
      <w:lvlJc w:val="left"/>
      <w:pPr>
        <w:ind w:left="-56" w:firstLine="624"/>
      </w:pPr>
      <w:rPr>
        <w:rFonts w:ascii="Times New Roman" w:hAnsi="Times New Roman" w:cs="Times New Roman"/>
        <w:b w:val="0"/>
        <w:bCs w:val="0"/>
        <w:i w:val="0"/>
        <w:iCs w:val="0"/>
        <w:caps w:val="0"/>
        <w:smallCaps w:val="0"/>
        <w:outline w:val="0"/>
        <w:shadow w:val="0"/>
        <w:emboss w:val="0"/>
        <w:imprint w:val="0"/>
        <w:vanish w:val="0"/>
        <w:spacing w:val="0"/>
        <w:kern w:val="0"/>
        <w:position w:val="0"/>
        <w:u w:val="none"/>
        <w:vertAlign w:val="baseline"/>
      </w:rPr>
    </w:lvl>
    <w:lvl w:ilvl="3" w:tentative="0">
      <w:start w:val="1"/>
      <w:numFmt w:val="decimal"/>
      <w:pStyle w:val="5"/>
      <w:suff w:val="space"/>
      <w:lvlText w:val="%3.%4"/>
      <w:lvlJc w:val="left"/>
      <w:pPr>
        <w:ind w:left="-340" w:firstLine="624"/>
      </w:pPr>
      <w:rPr>
        <w:rFonts w:ascii="Times New Roman" w:hAnsi="Times New Roman" w:cs="Times New Roman"/>
        <w:b w:val="0"/>
        <w:bCs w:val="0"/>
        <w:i w:val="0"/>
        <w:iCs w:val="0"/>
        <w:caps w:val="0"/>
        <w:smallCaps w:val="0"/>
        <w:outline w:val="0"/>
        <w:shadow w:val="0"/>
        <w:emboss w:val="0"/>
        <w:imprint w:val="0"/>
        <w:vanish w:val="0"/>
        <w:spacing w:val="0"/>
        <w:kern w:val="0"/>
        <w:position w:val="0"/>
        <w:u w:val="none"/>
        <w:vertAlign w:val="baseline"/>
      </w:rPr>
    </w:lvl>
    <w:lvl w:ilvl="4" w:tentative="0">
      <w:start w:val="1"/>
      <w:numFmt w:val="decimal"/>
      <w:suff w:val="space"/>
      <w:lvlText w:val="%3.%4.%5"/>
      <w:lvlJc w:val="left"/>
      <w:pPr>
        <w:ind w:left="369" w:firstLine="624"/>
      </w:pPr>
      <w:rPr>
        <w:rFonts w:ascii="Times New Roman" w:hAnsi="Times New Roman" w:cs="Times New Roman"/>
        <w:b w:val="0"/>
        <w:bCs w:val="0"/>
        <w:i w:val="0"/>
        <w:iCs w:val="0"/>
        <w:caps w:val="0"/>
        <w:smallCaps w:val="0"/>
        <w:outline w:val="0"/>
        <w:shadow w:val="0"/>
        <w:emboss w:val="0"/>
        <w:imprint w:val="0"/>
        <w:vanish w:val="0"/>
        <w:spacing w:val="0"/>
        <w:kern w:val="0"/>
        <w:position w:val="0"/>
        <w:u w:val="none"/>
        <w:vertAlign w:val="baseline"/>
      </w:rPr>
    </w:lvl>
    <w:lvl w:ilvl="5" w:tentative="0">
      <w:start w:val="1"/>
      <w:numFmt w:val="decimal"/>
      <w:suff w:val="space"/>
      <w:lvlText w:val="(%6)"/>
      <w:lvlJc w:val="left"/>
      <w:pPr>
        <w:ind w:left="107" w:firstLine="624"/>
      </w:pPr>
      <w:rPr>
        <w:rFonts w:ascii="Times New Roman" w:hAnsi="Times New Roman" w:cs="Times New Roman"/>
        <w:b w:val="0"/>
        <w:bCs w:val="0"/>
        <w:i w:val="0"/>
        <w:iCs w:val="0"/>
        <w:caps w:val="0"/>
        <w:smallCaps w:val="0"/>
        <w:outline w:val="0"/>
        <w:shadow w:val="0"/>
        <w:emboss w:val="0"/>
        <w:imprint w:val="0"/>
        <w:vanish w:val="0"/>
        <w:spacing w:val="0"/>
        <w:kern w:val="0"/>
        <w:position w:val="0"/>
        <w:u w:val="none"/>
        <w:vertAlign w:val="baseline"/>
      </w:rPr>
    </w:lvl>
    <w:lvl w:ilvl="6" w:tentative="0">
      <w:start w:val="1"/>
      <w:numFmt w:val="lowerLetter"/>
      <w:suff w:val="space"/>
      <w:lvlText w:val="%7)"/>
      <w:lvlJc w:val="left"/>
      <w:pPr>
        <w:ind w:left="691" w:firstLine="0"/>
      </w:pPr>
      <w:rPr>
        <w:rFonts w:hint="default" w:ascii="Times New Roman" w:hAnsi="Times New Roman" w:eastAsia="微软雅黑" w:cs="Times New Roman"/>
      </w:r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00000008"/>
    <w:multiLevelType w:val="multilevel"/>
    <w:tmpl w:val="00000008"/>
    <w:lvl w:ilvl="0" w:tentative="0">
      <w:start w:val="1"/>
      <w:numFmt w:val="decimal"/>
      <w:suff w:val="nothing"/>
      <w:lvlText w:val="（%1）"/>
      <w:lvlJc w:val="left"/>
      <w:pPr>
        <w:ind w:left="0" w:firstLine="480"/>
      </w:pPr>
      <w:rPr>
        <w:rFonts w:hint="eastAsia"/>
        <w:snapToGrid w:val="0"/>
        <w:spacing w:val="0"/>
        <w:kern w:val="200"/>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0000000C"/>
    <w:multiLevelType w:val="multilevel"/>
    <w:tmpl w:val="0000000C"/>
    <w:lvl w:ilvl="0" w:tentative="0">
      <w:start w:val="1"/>
      <w:numFmt w:val="chineseCountingThousand"/>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chineseCountingThousand"/>
      <w:suff w:val="nothing"/>
      <w:lvlText w:val="%4、"/>
      <w:lvlJc w:val="left"/>
      <w:pPr>
        <w:ind w:left="0" w:firstLine="510"/>
      </w:pPr>
      <w:rPr>
        <w:rFonts w:hint="eastAsia"/>
      </w:r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D"/>
    <w:multiLevelType w:val="multilevel"/>
    <w:tmpl w:val="0000000D"/>
    <w:lvl w:ilvl="0" w:tentative="0">
      <w:start w:val="1"/>
      <w:numFmt w:val="decimal"/>
      <w:suff w:val="nothing"/>
      <w:lvlText w:val="（%1）"/>
      <w:lvlJc w:val="left"/>
      <w:pPr>
        <w:ind w:left="0" w:firstLine="480"/>
      </w:pPr>
      <w:rPr>
        <w:rFonts w:hint="eastAsia"/>
        <w:snapToGrid w:val="0"/>
        <w:spacing w:val="0"/>
        <w:kern w:val="200"/>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6">
    <w:nsid w:val="0000000E"/>
    <w:multiLevelType w:val="multilevel"/>
    <w:tmpl w:val="0000000E"/>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7">
    <w:nsid w:val="0000000F"/>
    <w:multiLevelType w:val="multilevel"/>
    <w:tmpl w:val="0000000F"/>
    <w:lvl w:ilvl="0" w:tentative="0">
      <w:start w:val="6"/>
      <w:numFmt w:val="japaneseCounting"/>
      <w:lvlText w:val="（%1）"/>
      <w:lvlJc w:val="left"/>
      <w:pPr>
        <w:ind w:left="1005" w:hanging="900"/>
      </w:pPr>
      <w:rPr>
        <w:rFonts w:hint="default"/>
        <w:b/>
        <w:sz w:val="28"/>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33201307"/>
    <w:multiLevelType w:val="multilevel"/>
    <w:tmpl w:val="33201307"/>
    <w:lvl w:ilvl="0" w:tentative="0">
      <w:start w:val="1"/>
      <w:numFmt w:val="decimal"/>
      <w:suff w:val="nothing"/>
      <w:lvlText w:val="%1."/>
      <w:lvlJc w:val="left"/>
      <w:pPr>
        <w:ind w:left="87" w:firstLine="480"/>
      </w:pPr>
      <w:rPr>
        <w:rFonts w:hint="eastAsia"/>
        <w:color w:val="0D0D0D"/>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
  </w:num>
  <w:num w:numId="5">
    <w:abstractNumId w:val="5"/>
  </w:num>
  <w:num w:numId="6">
    <w:abstractNumId w:val="7"/>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 w:name="KSO_WPS_MARK_KEY" w:val="4336d9e5-d1ab-47a4-b838-63ec571b9bd3"/>
  </w:docVars>
  <w:rsids>
    <w:rsidRoot w:val="00172A27"/>
    <w:rsid w:val="00002EB1"/>
    <w:rsid w:val="000032E7"/>
    <w:rsid w:val="00003BD3"/>
    <w:rsid w:val="0000714B"/>
    <w:rsid w:val="00007A2A"/>
    <w:rsid w:val="00007AD0"/>
    <w:rsid w:val="0001167C"/>
    <w:rsid w:val="000125C7"/>
    <w:rsid w:val="00012622"/>
    <w:rsid w:val="00012EE5"/>
    <w:rsid w:val="00013548"/>
    <w:rsid w:val="00013E55"/>
    <w:rsid w:val="0001586E"/>
    <w:rsid w:val="000160DD"/>
    <w:rsid w:val="00017CC5"/>
    <w:rsid w:val="0002077E"/>
    <w:rsid w:val="00020B7A"/>
    <w:rsid w:val="00021775"/>
    <w:rsid w:val="00024073"/>
    <w:rsid w:val="000240FC"/>
    <w:rsid w:val="000246CC"/>
    <w:rsid w:val="0002574F"/>
    <w:rsid w:val="0002690C"/>
    <w:rsid w:val="00027AAA"/>
    <w:rsid w:val="00030818"/>
    <w:rsid w:val="00030B91"/>
    <w:rsid w:val="00032DAC"/>
    <w:rsid w:val="00033C12"/>
    <w:rsid w:val="00033F45"/>
    <w:rsid w:val="00035549"/>
    <w:rsid w:val="000366B6"/>
    <w:rsid w:val="0004114F"/>
    <w:rsid w:val="00042615"/>
    <w:rsid w:val="00051B06"/>
    <w:rsid w:val="00051CF5"/>
    <w:rsid w:val="00052886"/>
    <w:rsid w:val="000537E9"/>
    <w:rsid w:val="0005467B"/>
    <w:rsid w:val="00054F50"/>
    <w:rsid w:val="00055B82"/>
    <w:rsid w:val="00055ED6"/>
    <w:rsid w:val="00061211"/>
    <w:rsid w:val="00061F08"/>
    <w:rsid w:val="0006301A"/>
    <w:rsid w:val="00063548"/>
    <w:rsid w:val="00063F8D"/>
    <w:rsid w:val="000651F7"/>
    <w:rsid w:val="00065D84"/>
    <w:rsid w:val="0006755A"/>
    <w:rsid w:val="00072379"/>
    <w:rsid w:val="0007240C"/>
    <w:rsid w:val="0007255F"/>
    <w:rsid w:val="000741B4"/>
    <w:rsid w:val="00080338"/>
    <w:rsid w:val="00081534"/>
    <w:rsid w:val="00081689"/>
    <w:rsid w:val="000819DC"/>
    <w:rsid w:val="000832A5"/>
    <w:rsid w:val="00083E4C"/>
    <w:rsid w:val="00086344"/>
    <w:rsid w:val="00091547"/>
    <w:rsid w:val="00092078"/>
    <w:rsid w:val="00092C26"/>
    <w:rsid w:val="00092C4A"/>
    <w:rsid w:val="0009617A"/>
    <w:rsid w:val="000A2426"/>
    <w:rsid w:val="000A464F"/>
    <w:rsid w:val="000A4EA7"/>
    <w:rsid w:val="000A5631"/>
    <w:rsid w:val="000A7942"/>
    <w:rsid w:val="000A7D6F"/>
    <w:rsid w:val="000B0965"/>
    <w:rsid w:val="000B206E"/>
    <w:rsid w:val="000B237E"/>
    <w:rsid w:val="000B2553"/>
    <w:rsid w:val="000B4230"/>
    <w:rsid w:val="000B4C2D"/>
    <w:rsid w:val="000B673D"/>
    <w:rsid w:val="000C46DB"/>
    <w:rsid w:val="000C7063"/>
    <w:rsid w:val="000E06FD"/>
    <w:rsid w:val="000E209A"/>
    <w:rsid w:val="000E2E88"/>
    <w:rsid w:val="000E6062"/>
    <w:rsid w:val="000E6628"/>
    <w:rsid w:val="000F348F"/>
    <w:rsid w:val="000F3910"/>
    <w:rsid w:val="000F6286"/>
    <w:rsid w:val="000F64FB"/>
    <w:rsid w:val="000F7885"/>
    <w:rsid w:val="0010223C"/>
    <w:rsid w:val="001036F6"/>
    <w:rsid w:val="0011317C"/>
    <w:rsid w:val="00113A78"/>
    <w:rsid w:val="001144AA"/>
    <w:rsid w:val="001166EE"/>
    <w:rsid w:val="00116A88"/>
    <w:rsid w:val="00121FF0"/>
    <w:rsid w:val="00122A6D"/>
    <w:rsid w:val="00123111"/>
    <w:rsid w:val="00124034"/>
    <w:rsid w:val="001244C0"/>
    <w:rsid w:val="00125D4E"/>
    <w:rsid w:val="00126871"/>
    <w:rsid w:val="00126C52"/>
    <w:rsid w:val="001278A1"/>
    <w:rsid w:val="0013093D"/>
    <w:rsid w:val="00130AF8"/>
    <w:rsid w:val="001313AF"/>
    <w:rsid w:val="001345E8"/>
    <w:rsid w:val="001356DC"/>
    <w:rsid w:val="001360AA"/>
    <w:rsid w:val="001369DE"/>
    <w:rsid w:val="00136AFC"/>
    <w:rsid w:val="0014144C"/>
    <w:rsid w:val="001419E9"/>
    <w:rsid w:val="00142F21"/>
    <w:rsid w:val="001440B5"/>
    <w:rsid w:val="00144AF7"/>
    <w:rsid w:val="00146741"/>
    <w:rsid w:val="001515C9"/>
    <w:rsid w:val="001522E7"/>
    <w:rsid w:val="001525BD"/>
    <w:rsid w:val="00152770"/>
    <w:rsid w:val="00153B51"/>
    <w:rsid w:val="00153D5F"/>
    <w:rsid w:val="0015408E"/>
    <w:rsid w:val="00154D11"/>
    <w:rsid w:val="00154D97"/>
    <w:rsid w:val="00163F43"/>
    <w:rsid w:val="00163FB9"/>
    <w:rsid w:val="00170640"/>
    <w:rsid w:val="00170741"/>
    <w:rsid w:val="00170742"/>
    <w:rsid w:val="00173A12"/>
    <w:rsid w:val="0017581D"/>
    <w:rsid w:val="00177619"/>
    <w:rsid w:val="00183D9C"/>
    <w:rsid w:val="00187B97"/>
    <w:rsid w:val="00187EB4"/>
    <w:rsid w:val="0019084F"/>
    <w:rsid w:val="00191F2E"/>
    <w:rsid w:val="0019567F"/>
    <w:rsid w:val="00195B0A"/>
    <w:rsid w:val="0019679B"/>
    <w:rsid w:val="0019795B"/>
    <w:rsid w:val="001A1569"/>
    <w:rsid w:val="001A25AB"/>
    <w:rsid w:val="001A2D70"/>
    <w:rsid w:val="001A4B7C"/>
    <w:rsid w:val="001A5B0A"/>
    <w:rsid w:val="001B3926"/>
    <w:rsid w:val="001B43DC"/>
    <w:rsid w:val="001B5260"/>
    <w:rsid w:val="001B62E8"/>
    <w:rsid w:val="001B64F5"/>
    <w:rsid w:val="001C5282"/>
    <w:rsid w:val="001C61C4"/>
    <w:rsid w:val="001C6D0C"/>
    <w:rsid w:val="001D1B3F"/>
    <w:rsid w:val="001D48AB"/>
    <w:rsid w:val="001D587D"/>
    <w:rsid w:val="001D7E54"/>
    <w:rsid w:val="001E5948"/>
    <w:rsid w:val="001E5DDC"/>
    <w:rsid w:val="001F3F38"/>
    <w:rsid w:val="001F5A50"/>
    <w:rsid w:val="001F5D71"/>
    <w:rsid w:val="001F6183"/>
    <w:rsid w:val="001F68DC"/>
    <w:rsid w:val="001F6985"/>
    <w:rsid w:val="001F7146"/>
    <w:rsid w:val="00202969"/>
    <w:rsid w:val="002035D9"/>
    <w:rsid w:val="0020470B"/>
    <w:rsid w:val="00206509"/>
    <w:rsid w:val="00206CD2"/>
    <w:rsid w:val="00207060"/>
    <w:rsid w:val="00207193"/>
    <w:rsid w:val="0021012B"/>
    <w:rsid w:val="002105E3"/>
    <w:rsid w:val="0021108D"/>
    <w:rsid w:val="00211318"/>
    <w:rsid w:val="0021361B"/>
    <w:rsid w:val="00215395"/>
    <w:rsid w:val="00216C55"/>
    <w:rsid w:val="0022025F"/>
    <w:rsid w:val="0022189B"/>
    <w:rsid w:val="00224097"/>
    <w:rsid w:val="00225E34"/>
    <w:rsid w:val="0022684A"/>
    <w:rsid w:val="00226BB7"/>
    <w:rsid w:val="00227C4F"/>
    <w:rsid w:val="00231321"/>
    <w:rsid w:val="00234F5C"/>
    <w:rsid w:val="00235D7B"/>
    <w:rsid w:val="00236AF7"/>
    <w:rsid w:val="00236BE9"/>
    <w:rsid w:val="002426E5"/>
    <w:rsid w:val="00243614"/>
    <w:rsid w:val="0024419C"/>
    <w:rsid w:val="0024439C"/>
    <w:rsid w:val="002448B3"/>
    <w:rsid w:val="00244DC9"/>
    <w:rsid w:val="00244F94"/>
    <w:rsid w:val="00245317"/>
    <w:rsid w:val="00245D26"/>
    <w:rsid w:val="002534C7"/>
    <w:rsid w:val="00253BC3"/>
    <w:rsid w:val="00255499"/>
    <w:rsid w:val="00255FCE"/>
    <w:rsid w:val="00256A2B"/>
    <w:rsid w:val="00257150"/>
    <w:rsid w:val="00260B89"/>
    <w:rsid w:val="00261478"/>
    <w:rsid w:val="002628EF"/>
    <w:rsid w:val="00262A2C"/>
    <w:rsid w:val="00265893"/>
    <w:rsid w:val="00265C93"/>
    <w:rsid w:val="002668B0"/>
    <w:rsid w:val="00267282"/>
    <w:rsid w:val="00271439"/>
    <w:rsid w:val="00271BFC"/>
    <w:rsid w:val="00272890"/>
    <w:rsid w:val="00275560"/>
    <w:rsid w:val="00276311"/>
    <w:rsid w:val="00280A04"/>
    <w:rsid w:val="0028467C"/>
    <w:rsid w:val="00284FFD"/>
    <w:rsid w:val="002911BD"/>
    <w:rsid w:val="002926FB"/>
    <w:rsid w:val="002941A4"/>
    <w:rsid w:val="00296B27"/>
    <w:rsid w:val="00297F62"/>
    <w:rsid w:val="002A00BF"/>
    <w:rsid w:val="002A4DE3"/>
    <w:rsid w:val="002A5055"/>
    <w:rsid w:val="002A77FD"/>
    <w:rsid w:val="002B1E2B"/>
    <w:rsid w:val="002B2D9D"/>
    <w:rsid w:val="002B3267"/>
    <w:rsid w:val="002B3633"/>
    <w:rsid w:val="002B46F7"/>
    <w:rsid w:val="002B6C0A"/>
    <w:rsid w:val="002B72B7"/>
    <w:rsid w:val="002B731F"/>
    <w:rsid w:val="002C0A1C"/>
    <w:rsid w:val="002C18AC"/>
    <w:rsid w:val="002C52FD"/>
    <w:rsid w:val="002C6184"/>
    <w:rsid w:val="002C6312"/>
    <w:rsid w:val="002C7098"/>
    <w:rsid w:val="002C7379"/>
    <w:rsid w:val="002D19DA"/>
    <w:rsid w:val="002D4BE2"/>
    <w:rsid w:val="002D4C1F"/>
    <w:rsid w:val="002D5603"/>
    <w:rsid w:val="002D6397"/>
    <w:rsid w:val="002D6B5C"/>
    <w:rsid w:val="002D7129"/>
    <w:rsid w:val="002D71DA"/>
    <w:rsid w:val="002E0315"/>
    <w:rsid w:val="002E67AA"/>
    <w:rsid w:val="002E6991"/>
    <w:rsid w:val="002E7C54"/>
    <w:rsid w:val="002F1042"/>
    <w:rsid w:val="002F582C"/>
    <w:rsid w:val="002F605A"/>
    <w:rsid w:val="002F64FB"/>
    <w:rsid w:val="002F7C48"/>
    <w:rsid w:val="002F7CEE"/>
    <w:rsid w:val="003003FD"/>
    <w:rsid w:val="00300B6C"/>
    <w:rsid w:val="00302700"/>
    <w:rsid w:val="00302B5B"/>
    <w:rsid w:val="0030511F"/>
    <w:rsid w:val="003075EB"/>
    <w:rsid w:val="00307B8B"/>
    <w:rsid w:val="0031082E"/>
    <w:rsid w:val="003139EF"/>
    <w:rsid w:val="003158B1"/>
    <w:rsid w:val="00322CD7"/>
    <w:rsid w:val="00323EAA"/>
    <w:rsid w:val="00327662"/>
    <w:rsid w:val="0032769B"/>
    <w:rsid w:val="003303F4"/>
    <w:rsid w:val="00330C9C"/>
    <w:rsid w:val="003316FF"/>
    <w:rsid w:val="00332BCE"/>
    <w:rsid w:val="00332CCD"/>
    <w:rsid w:val="00333940"/>
    <w:rsid w:val="00337240"/>
    <w:rsid w:val="0034123D"/>
    <w:rsid w:val="003412B8"/>
    <w:rsid w:val="003416D7"/>
    <w:rsid w:val="003418D4"/>
    <w:rsid w:val="003432C4"/>
    <w:rsid w:val="00344E34"/>
    <w:rsid w:val="0034624C"/>
    <w:rsid w:val="00350AC9"/>
    <w:rsid w:val="00352B84"/>
    <w:rsid w:val="0035682E"/>
    <w:rsid w:val="00356977"/>
    <w:rsid w:val="00360F5E"/>
    <w:rsid w:val="00361DAA"/>
    <w:rsid w:val="00365BDF"/>
    <w:rsid w:val="00367930"/>
    <w:rsid w:val="003701F5"/>
    <w:rsid w:val="00374A42"/>
    <w:rsid w:val="00380720"/>
    <w:rsid w:val="00382500"/>
    <w:rsid w:val="0038713D"/>
    <w:rsid w:val="003875EC"/>
    <w:rsid w:val="003878CA"/>
    <w:rsid w:val="003912B7"/>
    <w:rsid w:val="003919E2"/>
    <w:rsid w:val="00391C96"/>
    <w:rsid w:val="003958EB"/>
    <w:rsid w:val="00395FFD"/>
    <w:rsid w:val="003A033A"/>
    <w:rsid w:val="003A176E"/>
    <w:rsid w:val="003A2BE1"/>
    <w:rsid w:val="003A4DF5"/>
    <w:rsid w:val="003A54D3"/>
    <w:rsid w:val="003A577A"/>
    <w:rsid w:val="003B0BA3"/>
    <w:rsid w:val="003B168B"/>
    <w:rsid w:val="003B277B"/>
    <w:rsid w:val="003B31BB"/>
    <w:rsid w:val="003B402B"/>
    <w:rsid w:val="003B4FA2"/>
    <w:rsid w:val="003C065B"/>
    <w:rsid w:val="003C0F74"/>
    <w:rsid w:val="003C2032"/>
    <w:rsid w:val="003C52DB"/>
    <w:rsid w:val="003C59D7"/>
    <w:rsid w:val="003C77B1"/>
    <w:rsid w:val="003D216D"/>
    <w:rsid w:val="003D2AD5"/>
    <w:rsid w:val="003D4566"/>
    <w:rsid w:val="003D6856"/>
    <w:rsid w:val="003E383F"/>
    <w:rsid w:val="003E3FAE"/>
    <w:rsid w:val="003E5022"/>
    <w:rsid w:val="003E68A8"/>
    <w:rsid w:val="003E6CDE"/>
    <w:rsid w:val="003F1B30"/>
    <w:rsid w:val="003F27FE"/>
    <w:rsid w:val="003F35C0"/>
    <w:rsid w:val="003F55E2"/>
    <w:rsid w:val="003F5EC0"/>
    <w:rsid w:val="003F77BA"/>
    <w:rsid w:val="003F7D46"/>
    <w:rsid w:val="00400F74"/>
    <w:rsid w:val="00401A7F"/>
    <w:rsid w:val="00402FF1"/>
    <w:rsid w:val="00404BD8"/>
    <w:rsid w:val="00410CF8"/>
    <w:rsid w:val="00410DB8"/>
    <w:rsid w:val="0041335C"/>
    <w:rsid w:val="00414394"/>
    <w:rsid w:val="00414A30"/>
    <w:rsid w:val="004219E5"/>
    <w:rsid w:val="004228FF"/>
    <w:rsid w:val="00422E90"/>
    <w:rsid w:val="004234E0"/>
    <w:rsid w:val="004246DE"/>
    <w:rsid w:val="00424D25"/>
    <w:rsid w:val="00430884"/>
    <w:rsid w:val="00434D6C"/>
    <w:rsid w:val="00434FBA"/>
    <w:rsid w:val="004358A6"/>
    <w:rsid w:val="00435AAC"/>
    <w:rsid w:val="004368AB"/>
    <w:rsid w:val="00444F2E"/>
    <w:rsid w:val="00446D7E"/>
    <w:rsid w:val="00447A41"/>
    <w:rsid w:val="00447FE0"/>
    <w:rsid w:val="004503F7"/>
    <w:rsid w:val="0045217B"/>
    <w:rsid w:val="00456714"/>
    <w:rsid w:val="00457A94"/>
    <w:rsid w:val="00457BE7"/>
    <w:rsid w:val="004608BB"/>
    <w:rsid w:val="0046123B"/>
    <w:rsid w:val="0046478E"/>
    <w:rsid w:val="0046569C"/>
    <w:rsid w:val="00465D98"/>
    <w:rsid w:val="00465F4A"/>
    <w:rsid w:val="00470F44"/>
    <w:rsid w:val="004743DE"/>
    <w:rsid w:val="0047602F"/>
    <w:rsid w:val="004777D0"/>
    <w:rsid w:val="0048001D"/>
    <w:rsid w:val="004818FC"/>
    <w:rsid w:val="00482187"/>
    <w:rsid w:val="00484021"/>
    <w:rsid w:val="00484C7A"/>
    <w:rsid w:val="004910E1"/>
    <w:rsid w:val="0049165E"/>
    <w:rsid w:val="004924A9"/>
    <w:rsid w:val="00493384"/>
    <w:rsid w:val="0049388D"/>
    <w:rsid w:val="00494421"/>
    <w:rsid w:val="004945AC"/>
    <w:rsid w:val="00494706"/>
    <w:rsid w:val="0049685D"/>
    <w:rsid w:val="00497599"/>
    <w:rsid w:val="00497888"/>
    <w:rsid w:val="004A1CE8"/>
    <w:rsid w:val="004A5C09"/>
    <w:rsid w:val="004A78E6"/>
    <w:rsid w:val="004B0BC3"/>
    <w:rsid w:val="004B231E"/>
    <w:rsid w:val="004B29F2"/>
    <w:rsid w:val="004B372A"/>
    <w:rsid w:val="004B48DE"/>
    <w:rsid w:val="004B5404"/>
    <w:rsid w:val="004B5915"/>
    <w:rsid w:val="004B729E"/>
    <w:rsid w:val="004B7B1F"/>
    <w:rsid w:val="004C0A66"/>
    <w:rsid w:val="004C1A70"/>
    <w:rsid w:val="004C1ED5"/>
    <w:rsid w:val="004C2573"/>
    <w:rsid w:val="004C464D"/>
    <w:rsid w:val="004C6465"/>
    <w:rsid w:val="004C75B4"/>
    <w:rsid w:val="004C7B57"/>
    <w:rsid w:val="004C7F5E"/>
    <w:rsid w:val="004D051C"/>
    <w:rsid w:val="004D1895"/>
    <w:rsid w:val="004D1DBC"/>
    <w:rsid w:val="004D1FCF"/>
    <w:rsid w:val="004D40D7"/>
    <w:rsid w:val="004D5F52"/>
    <w:rsid w:val="004E1D3E"/>
    <w:rsid w:val="004E318B"/>
    <w:rsid w:val="004E551F"/>
    <w:rsid w:val="004E660F"/>
    <w:rsid w:val="004E6D0A"/>
    <w:rsid w:val="004F0FF0"/>
    <w:rsid w:val="004F14CC"/>
    <w:rsid w:val="004F2577"/>
    <w:rsid w:val="004F48AC"/>
    <w:rsid w:val="004F4CA7"/>
    <w:rsid w:val="004F4E59"/>
    <w:rsid w:val="004F74E5"/>
    <w:rsid w:val="00505744"/>
    <w:rsid w:val="00507363"/>
    <w:rsid w:val="00511F2C"/>
    <w:rsid w:val="005218BE"/>
    <w:rsid w:val="00525060"/>
    <w:rsid w:val="005259A8"/>
    <w:rsid w:val="00525AE5"/>
    <w:rsid w:val="00532E70"/>
    <w:rsid w:val="00534260"/>
    <w:rsid w:val="00536063"/>
    <w:rsid w:val="00537562"/>
    <w:rsid w:val="00541153"/>
    <w:rsid w:val="00541CAA"/>
    <w:rsid w:val="00543918"/>
    <w:rsid w:val="00543E87"/>
    <w:rsid w:val="005443F0"/>
    <w:rsid w:val="005510AF"/>
    <w:rsid w:val="00552D1F"/>
    <w:rsid w:val="00553BB2"/>
    <w:rsid w:val="00556F9D"/>
    <w:rsid w:val="005617CA"/>
    <w:rsid w:val="0056225F"/>
    <w:rsid w:val="005651F4"/>
    <w:rsid w:val="0056573B"/>
    <w:rsid w:val="005658BE"/>
    <w:rsid w:val="005667AD"/>
    <w:rsid w:val="00567C44"/>
    <w:rsid w:val="00567E18"/>
    <w:rsid w:val="005701DD"/>
    <w:rsid w:val="005704AE"/>
    <w:rsid w:val="005723A2"/>
    <w:rsid w:val="00576042"/>
    <w:rsid w:val="00580683"/>
    <w:rsid w:val="005807A8"/>
    <w:rsid w:val="00580D70"/>
    <w:rsid w:val="00583B6D"/>
    <w:rsid w:val="00583E74"/>
    <w:rsid w:val="00584287"/>
    <w:rsid w:val="0058562E"/>
    <w:rsid w:val="00593556"/>
    <w:rsid w:val="00594101"/>
    <w:rsid w:val="00594C85"/>
    <w:rsid w:val="00595A64"/>
    <w:rsid w:val="00596ADE"/>
    <w:rsid w:val="00596C41"/>
    <w:rsid w:val="005970D7"/>
    <w:rsid w:val="00597736"/>
    <w:rsid w:val="005A1BF3"/>
    <w:rsid w:val="005A260F"/>
    <w:rsid w:val="005A2D37"/>
    <w:rsid w:val="005A321B"/>
    <w:rsid w:val="005A5257"/>
    <w:rsid w:val="005A6D79"/>
    <w:rsid w:val="005A7CEE"/>
    <w:rsid w:val="005B03B9"/>
    <w:rsid w:val="005B2B4E"/>
    <w:rsid w:val="005B5B23"/>
    <w:rsid w:val="005B77E4"/>
    <w:rsid w:val="005C0D86"/>
    <w:rsid w:val="005C191B"/>
    <w:rsid w:val="005C50D5"/>
    <w:rsid w:val="005C616E"/>
    <w:rsid w:val="005C6329"/>
    <w:rsid w:val="005C6BD1"/>
    <w:rsid w:val="005D06C2"/>
    <w:rsid w:val="005D1904"/>
    <w:rsid w:val="005D213E"/>
    <w:rsid w:val="005D4067"/>
    <w:rsid w:val="005D7ABC"/>
    <w:rsid w:val="005E1058"/>
    <w:rsid w:val="005E23F8"/>
    <w:rsid w:val="005E2F48"/>
    <w:rsid w:val="005E3038"/>
    <w:rsid w:val="005E5CE0"/>
    <w:rsid w:val="005E633C"/>
    <w:rsid w:val="005E69AE"/>
    <w:rsid w:val="005E7C65"/>
    <w:rsid w:val="005F0578"/>
    <w:rsid w:val="005F3164"/>
    <w:rsid w:val="005F48A0"/>
    <w:rsid w:val="005F4C9F"/>
    <w:rsid w:val="005F5F47"/>
    <w:rsid w:val="005F63BE"/>
    <w:rsid w:val="005F6603"/>
    <w:rsid w:val="005F738E"/>
    <w:rsid w:val="005F7762"/>
    <w:rsid w:val="0060133B"/>
    <w:rsid w:val="00601C5A"/>
    <w:rsid w:val="00603D60"/>
    <w:rsid w:val="0060562F"/>
    <w:rsid w:val="0060730E"/>
    <w:rsid w:val="0061066F"/>
    <w:rsid w:val="00612F1B"/>
    <w:rsid w:val="0061594E"/>
    <w:rsid w:val="0061740A"/>
    <w:rsid w:val="0062195F"/>
    <w:rsid w:val="00624E58"/>
    <w:rsid w:val="00626539"/>
    <w:rsid w:val="0062742C"/>
    <w:rsid w:val="00627F2B"/>
    <w:rsid w:val="00630EE4"/>
    <w:rsid w:val="00632370"/>
    <w:rsid w:val="00632D56"/>
    <w:rsid w:val="006358AA"/>
    <w:rsid w:val="006364E2"/>
    <w:rsid w:val="006427C7"/>
    <w:rsid w:val="00642ABC"/>
    <w:rsid w:val="00643DBA"/>
    <w:rsid w:val="00644B39"/>
    <w:rsid w:val="006452A3"/>
    <w:rsid w:val="006463FB"/>
    <w:rsid w:val="00646AF9"/>
    <w:rsid w:val="00646CE0"/>
    <w:rsid w:val="006472EC"/>
    <w:rsid w:val="0065020A"/>
    <w:rsid w:val="00652AD3"/>
    <w:rsid w:val="00656721"/>
    <w:rsid w:val="00657564"/>
    <w:rsid w:val="0066396D"/>
    <w:rsid w:val="00663A2B"/>
    <w:rsid w:val="00663E20"/>
    <w:rsid w:val="00665AAD"/>
    <w:rsid w:val="00667D91"/>
    <w:rsid w:val="006707C8"/>
    <w:rsid w:val="00670916"/>
    <w:rsid w:val="0067172C"/>
    <w:rsid w:val="0067252F"/>
    <w:rsid w:val="00673815"/>
    <w:rsid w:val="00673895"/>
    <w:rsid w:val="00673E7D"/>
    <w:rsid w:val="006752C0"/>
    <w:rsid w:val="00675D44"/>
    <w:rsid w:val="00676789"/>
    <w:rsid w:val="00676D89"/>
    <w:rsid w:val="0068022E"/>
    <w:rsid w:val="0068069F"/>
    <w:rsid w:val="00681EA8"/>
    <w:rsid w:val="00682613"/>
    <w:rsid w:val="00686DAE"/>
    <w:rsid w:val="00687162"/>
    <w:rsid w:val="00690495"/>
    <w:rsid w:val="006913BE"/>
    <w:rsid w:val="006938C5"/>
    <w:rsid w:val="00693C34"/>
    <w:rsid w:val="006A2144"/>
    <w:rsid w:val="006A2D3F"/>
    <w:rsid w:val="006A5908"/>
    <w:rsid w:val="006A5BDA"/>
    <w:rsid w:val="006A6A2F"/>
    <w:rsid w:val="006B2BCE"/>
    <w:rsid w:val="006B6CE3"/>
    <w:rsid w:val="006C02B1"/>
    <w:rsid w:val="006C133D"/>
    <w:rsid w:val="006C1FA9"/>
    <w:rsid w:val="006C309A"/>
    <w:rsid w:val="006C34FF"/>
    <w:rsid w:val="006C4733"/>
    <w:rsid w:val="006C52C8"/>
    <w:rsid w:val="006C56C6"/>
    <w:rsid w:val="006D1826"/>
    <w:rsid w:val="006D3ABB"/>
    <w:rsid w:val="006D3B73"/>
    <w:rsid w:val="006D400C"/>
    <w:rsid w:val="006D5F69"/>
    <w:rsid w:val="006D7F3C"/>
    <w:rsid w:val="006E361A"/>
    <w:rsid w:val="006E3936"/>
    <w:rsid w:val="006E417E"/>
    <w:rsid w:val="006E43C1"/>
    <w:rsid w:val="006E46B0"/>
    <w:rsid w:val="006E69D3"/>
    <w:rsid w:val="006E6A6B"/>
    <w:rsid w:val="006F2C1D"/>
    <w:rsid w:val="006F4744"/>
    <w:rsid w:val="006F5192"/>
    <w:rsid w:val="006F5E3F"/>
    <w:rsid w:val="006F60B2"/>
    <w:rsid w:val="00701755"/>
    <w:rsid w:val="0070513A"/>
    <w:rsid w:val="007051DB"/>
    <w:rsid w:val="00706CD8"/>
    <w:rsid w:val="00710DFE"/>
    <w:rsid w:val="00711449"/>
    <w:rsid w:val="00713F51"/>
    <w:rsid w:val="00713F75"/>
    <w:rsid w:val="00715C3B"/>
    <w:rsid w:val="007226FD"/>
    <w:rsid w:val="00723C6E"/>
    <w:rsid w:val="007245BA"/>
    <w:rsid w:val="00725F6B"/>
    <w:rsid w:val="00730152"/>
    <w:rsid w:val="00730E07"/>
    <w:rsid w:val="007318F9"/>
    <w:rsid w:val="0073431A"/>
    <w:rsid w:val="007359CB"/>
    <w:rsid w:val="00736A50"/>
    <w:rsid w:val="007372F7"/>
    <w:rsid w:val="00740AB8"/>
    <w:rsid w:val="00741478"/>
    <w:rsid w:val="007418C8"/>
    <w:rsid w:val="007458E7"/>
    <w:rsid w:val="00745E65"/>
    <w:rsid w:val="007508C2"/>
    <w:rsid w:val="00751BE2"/>
    <w:rsid w:val="00751FD2"/>
    <w:rsid w:val="007527B5"/>
    <w:rsid w:val="007536AA"/>
    <w:rsid w:val="00756A79"/>
    <w:rsid w:val="00757DD7"/>
    <w:rsid w:val="00757E49"/>
    <w:rsid w:val="00762934"/>
    <w:rsid w:val="00763843"/>
    <w:rsid w:val="00763F29"/>
    <w:rsid w:val="00766473"/>
    <w:rsid w:val="007735DA"/>
    <w:rsid w:val="00774144"/>
    <w:rsid w:val="007748EA"/>
    <w:rsid w:val="00775237"/>
    <w:rsid w:val="007762DE"/>
    <w:rsid w:val="00777D0F"/>
    <w:rsid w:val="00780DD5"/>
    <w:rsid w:val="00783BB8"/>
    <w:rsid w:val="007873A6"/>
    <w:rsid w:val="00790AF4"/>
    <w:rsid w:val="00794992"/>
    <w:rsid w:val="00796CCF"/>
    <w:rsid w:val="007970E8"/>
    <w:rsid w:val="007A0319"/>
    <w:rsid w:val="007A060A"/>
    <w:rsid w:val="007A0703"/>
    <w:rsid w:val="007A218A"/>
    <w:rsid w:val="007A382E"/>
    <w:rsid w:val="007B075A"/>
    <w:rsid w:val="007B0A07"/>
    <w:rsid w:val="007B2351"/>
    <w:rsid w:val="007B4805"/>
    <w:rsid w:val="007B4838"/>
    <w:rsid w:val="007B74BC"/>
    <w:rsid w:val="007B7E52"/>
    <w:rsid w:val="007C127E"/>
    <w:rsid w:val="007C26F1"/>
    <w:rsid w:val="007C3A96"/>
    <w:rsid w:val="007C6E4E"/>
    <w:rsid w:val="007C7373"/>
    <w:rsid w:val="007D1D7C"/>
    <w:rsid w:val="007D2B78"/>
    <w:rsid w:val="007D31B4"/>
    <w:rsid w:val="007D39FC"/>
    <w:rsid w:val="007D5E88"/>
    <w:rsid w:val="007E0770"/>
    <w:rsid w:val="007E0D97"/>
    <w:rsid w:val="007E142D"/>
    <w:rsid w:val="007E705E"/>
    <w:rsid w:val="007F18A4"/>
    <w:rsid w:val="007F1AE4"/>
    <w:rsid w:val="007F2317"/>
    <w:rsid w:val="007F3367"/>
    <w:rsid w:val="007F3D41"/>
    <w:rsid w:val="007F4761"/>
    <w:rsid w:val="007F4C31"/>
    <w:rsid w:val="007F558D"/>
    <w:rsid w:val="007F6680"/>
    <w:rsid w:val="008000FD"/>
    <w:rsid w:val="00800FE9"/>
    <w:rsid w:val="00801EE6"/>
    <w:rsid w:val="00803D08"/>
    <w:rsid w:val="0080401C"/>
    <w:rsid w:val="0080529A"/>
    <w:rsid w:val="00805F32"/>
    <w:rsid w:val="0080711B"/>
    <w:rsid w:val="00810035"/>
    <w:rsid w:val="00811B14"/>
    <w:rsid w:val="00811D00"/>
    <w:rsid w:val="008150F9"/>
    <w:rsid w:val="0081602E"/>
    <w:rsid w:val="00816E6F"/>
    <w:rsid w:val="00817CC9"/>
    <w:rsid w:val="00820DCB"/>
    <w:rsid w:val="00823ACD"/>
    <w:rsid w:val="00825999"/>
    <w:rsid w:val="00826A02"/>
    <w:rsid w:val="008271C6"/>
    <w:rsid w:val="0083167E"/>
    <w:rsid w:val="00831B44"/>
    <w:rsid w:val="0083296F"/>
    <w:rsid w:val="00832A64"/>
    <w:rsid w:val="00833783"/>
    <w:rsid w:val="0083687F"/>
    <w:rsid w:val="00836A1C"/>
    <w:rsid w:val="00836EFA"/>
    <w:rsid w:val="0084061F"/>
    <w:rsid w:val="00840657"/>
    <w:rsid w:val="00846B80"/>
    <w:rsid w:val="00847E18"/>
    <w:rsid w:val="008500AA"/>
    <w:rsid w:val="00850688"/>
    <w:rsid w:val="00856AB6"/>
    <w:rsid w:val="00856B66"/>
    <w:rsid w:val="0086249C"/>
    <w:rsid w:val="00862666"/>
    <w:rsid w:val="00862BCA"/>
    <w:rsid w:val="00863E67"/>
    <w:rsid w:val="00865A6B"/>
    <w:rsid w:val="008662E4"/>
    <w:rsid w:val="008717FE"/>
    <w:rsid w:val="00875795"/>
    <w:rsid w:val="00875DE1"/>
    <w:rsid w:val="008807F4"/>
    <w:rsid w:val="00881EE5"/>
    <w:rsid w:val="0088218B"/>
    <w:rsid w:val="00882526"/>
    <w:rsid w:val="00882AB7"/>
    <w:rsid w:val="008870CB"/>
    <w:rsid w:val="00887A2B"/>
    <w:rsid w:val="00891FB9"/>
    <w:rsid w:val="00895073"/>
    <w:rsid w:val="008955E4"/>
    <w:rsid w:val="00895E36"/>
    <w:rsid w:val="00896552"/>
    <w:rsid w:val="00896DC4"/>
    <w:rsid w:val="00897826"/>
    <w:rsid w:val="008A0E2B"/>
    <w:rsid w:val="008A1C40"/>
    <w:rsid w:val="008A445C"/>
    <w:rsid w:val="008A480C"/>
    <w:rsid w:val="008A6A2C"/>
    <w:rsid w:val="008A7451"/>
    <w:rsid w:val="008A7B73"/>
    <w:rsid w:val="008B34DA"/>
    <w:rsid w:val="008B41B4"/>
    <w:rsid w:val="008B4390"/>
    <w:rsid w:val="008B5FE7"/>
    <w:rsid w:val="008B722A"/>
    <w:rsid w:val="008C1498"/>
    <w:rsid w:val="008C4BDD"/>
    <w:rsid w:val="008C7835"/>
    <w:rsid w:val="008D039C"/>
    <w:rsid w:val="008D04C9"/>
    <w:rsid w:val="008D185C"/>
    <w:rsid w:val="008D57DB"/>
    <w:rsid w:val="008D57FF"/>
    <w:rsid w:val="008D58FC"/>
    <w:rsid w:val="008D5D68"/>
    <w:rsid w:val="008D5EC0"/>
    <w:rsid w:val="008D7129"/>
    <w:rsid w:val="008D7AE4"/>
    <w:rsid w:val="008E0589"/>
    <w:rsid w:val="008E0FE1"/>
    <w:rsid w:val="008E1847"/>
    <w:rsid w:val="008E47C1"/>
    <w:rsid w:val="008E50CC"/>
    <w:rsid w:val="008E66BD"/>
    <w:rsid w:val="008E71F3"/>
    <w:rsid w:val="008F1651"/>
    <w:rsid w:val="008F4FCA"/>
    <w:rsid w:val="008F5E1A"/>
    <w:rsid w:val="008F5F36"/>
    <w:rsid w:val="008F5FA4"/>
    <w:rsid w:val="008F76BD"/>
    <w:rsid w:val="00903CCA"/>
    <w:rsid w:val="009045AE"/>
    <w:rsid w:val="00904FC3"/>
    <w:rsid w:val="009059A3"/>
    <w:rsid w:val="009068C8"/>
    <w:rsid w:val="0091106D"/>
    <w:rsid w:val="0091155D"/>
    <w:rsid w:val="009157BA"/>
    <w:rsid w:val="00916A04"/>
    <w:rsid w:val="00916E9E"/>
    <w:rsid w:val="00917324"/>
    <w:rsid w:val="0092207E"/>
    <w:rsid w:val="00922EF1"/>
    <w:rsid w:val="00923C14"/>
    <w:rsid w:val="00923EBD"/>
    <w:rsid w:val="0092409F"/>
    <w:rsid w:val="00926D66"/>
    <w:rsid w:val="00931DCD"/>
    <w:rsid w:val="00932D99"/>
    <w:rsid w:val="0094067B"/>
    <w:rsid w:val="00940800"/>
    <w:rsid w:val="0094321F"/>
    <w:rsid w:val="00945263"/>
    <w:rsid w:val="0094699A"/>
    <w:rsid w:val="00946A83"/>
    <w:rsid w:val="00952359"/>
    <w:rsid w:val="00952FC5"/>
    <w:rsid w:val="00953DCC"/>
    <w:rsid w:val="00956892"/>
    <w:rsid w:val="00960318"/>
    <w:rsid w:val="00965366"/>
    <w:rsid w:val="00965B25"/>
    <w:rsid w:val="00966ACA"/>
    <w:rsid w:val="00967927"/>
    <w:rsid w:val="00967BF6"/>
    <w:rsid w:val="00967D11"/>
    <w:rsid w:val="00970EBB"/>
    <w:rsid w:val="009712A4"/>
    <w:rsid w:val="00971A39"/>
    <w:rsid w:val="00973198"/>
    <w:rsid w:val="00976306"/>
    <w:rsid w:val="00976C8F"/>
    <w:rsid w:val="00977D2E"/>
    <w:rsid w:val="00980011"/>
    <w:rsid w:val="00980122"/>
    <w:rsid w:val="009810C5"/>
    <w:rsid w:val="00981286"/>
    <w:rsid w:val="00982EF6"/>
    <w:rsid w:val="009830EF"/>
    <w:rsid w:val="00985A48"/>
    <w:rsid w:val="00985D9C"/>
    <w:rsid w:val="00986442"/>
    <w:rsid w:val="00987287"/>
    <w:rsid w:val="00987352"/>
    <w:rsid w:val="00991940"/>
    <w:rsid w:val="00995FE2"/>
    <w:rsid w:val="009A2996"/>
    <w:rsid w:val="009A422B"/>
    <w:rsid w:val="009A43BF"/>
    <w:rsid w:val="009A4554"/>
    <w:rsid w:val="009B0CC5"/>
    <w:rsid w:val="009B2468"/>
    <w:rsid w:val="009B2AC6"/>
    <w:rsid w:val="009B335D"/>
    <w:rsid w:val="009B3DFA"/>
    <w:rsid w:val="009B4101"/>
    <w:rsid w:val="009B49B7"/>
    <w:rsid w:val="009B6302"/>
    <w:rsid w:val="009C1481"/>
    <w:rsid w:val="009C18DF"/>
    <w:rsid w:val="009C2FDF"/>
    <w:rsid w:val="009C32EA"/>
    <w:rsid w:val="009C54B9"/>
    <w:rsid w:val="009C6823"/>
    <w:rsid w:val="009C69E0"/>
    <w:rsid w:val="009D105D"/>
    <w:rsid w:val="009D13CC"/>
    <w:rsid w:val="009D1D1A"/>
    <w:rsid w:val="009D6550"/>
    <w:rsid w:val="009D6583"/>
    <w:rsid w:val="009D683D"/>
    <w:rsid w:val="009D7A02"/>
    <w:rsid w:val="009E12DC"/>
    <w:rsid w:val="009E2D52"/>
    <w:rsid w:val="009E503A"/>
    <w:rsid w:val="009E59A9"/>
    <w:rsid w:val="009E6AAC"/>
    <w:rsid w:val="009E77BF"/>
    <w:rsid w:val="009F2972"/>
    <w:rsid w:val="009F4610"/>
    <w:rsid w:val="00A01370"/>
    <w:rsid w:val="00A0175D"/>
    <w:rsid w:val="00A0216B"/>
    <w:rsid w:val="00A041CC"/>
    <w:rsid w:val="00A06009"/>
    <w:rsid w:val="00A11826"/>
    <w:rsid w:val="00A1216B"/>
    <w:rsid w:val="00A12C83"/>
    <w:rsid w:val="00A1487A"/>
    <w:rsid w:val="00A14B80"/>
    <w:rsid w:val="00A17CCF"/>
    <w:rsid w:val="00A17F13"/>
    <w:rsid w:val="00A21B1A"/>
    <w:rsid w:val="00A22A33"/>
    <w:rsid w:val="00A22D54"/>
    <w:rsid w:val="00A24F8A"/>
    <w:rsid w:val="00A34BE9"/>
    <w:rsid w:val="00A40135"/>
    <w:rsid w:val="00A4288A"/>
    <w:rsid w:val="00A51822"/>
    <w:rsid w:val="00A5479A"/>
    <w:rsid w:val="00A54A66"/>
    <w:rsid w:val="00A57E34"/>
    <w:rsid w:val="00A61BB8"/>
    <w:rsid w:val="00A667A6"/>
    <w:rsid w:val="00A66EED"/>
    <w:rsid w:val="00A67352"/>
    <w:rsid w:val="00A70166"/>
    <w:rsid w:val="00A70AB8"/>
    <w:rsid w:val="00A721E1"/>
    <w:rsid w:val="00A729AC"/>
    <w:rsid w:val="00A7303E"/>
    <w:rsid w:val="00A73680"/>
    <w:rsid w:val="00A741F6"/>
    <w:rsid w:val="00A746D1"/>
    <w:rsid w:val="00A74A55"/>
    <w:rsid w:val="00A825FA"/>
    <w:rsid w:val="00A8532C"/>
    <w:rsid w:val="00A86B3E"/>
    <w:rsid w:val="00A92074"/>
    <w:rsid w:val="00A93EF2"/>
    <w:rsid w:val="00AA12A0"/>
    <w:rsid w:val="00AA274B"/>
    <w:rsid w:val="00AA29BB"/>
    <w:rsid w:val="00AA2B13"/>
    <w:rsid w:val="00AA4192"/>
    <w:rsid w:val="00AA51F1"/>
    <w:rsid w:val="00AA523D"/>
    <w:rsid w:val="00AA52DB"/>
    <w:rsid w:val="00AB3D70"/>
    <w:rsid w:val="00AB4C91"/>
    <w:rsid w:val="00AB5704"/>
    <w:rsid w:val="00AB6902"/>
    <w:rsid w:val="00AC04AA"/>
    <w:rsid w:val="00AC1844"/>
    <w:rsid w:val="00AD0B48"/>
    <w:rsid w:val="00AD34C8"/>
    <w:rsid w:val="00AD56A3"/>
    <w:rsid w:val="00AE2715"/>
    <w:rsid w:val="00AF04FC"/>
    <w:rsid w:val="00AF122C"/>
    <w:rsid w:val="00B0301E"/>
    <w:rsid w:val="00B03E31"/>
    <w:rsid w:val="00B04116"/>
    <w:rsid w:val="00B06AA7"/>
    <w:rsid w:val="00B06CE5"/>
    <w:rsid w:val="00B13F64"/>
    <w:rsid w:val="00B14A87"/>
    <w:rsid w:val="00B14DBA"/>
    <w:rsid w:val="00B1676E"/>
    <w:rsid w:val="00B16CA3"/>
    <w:rsid w:val="00B17A37"/>
    <w:rsid w:val="00B22E52"/>
    <w:rsid w:val="00B2335A"/>
    <w:rsid w:val="00B23DE3"/>
    <w:rsid w:val="00B240BB"/>
    <w:rsid w:val="00B25C35"/>
    <w:rsid w:val="00B26EAC"/>
    <w:rsid w:val="00B2707C"/>
    <w:rsid w:val="00B35131"/>
    <w:rsid w:val="00B35434"/>
    <w:rsid w:val="00B3588E"/>
    <w:rsid w:val="00B35A98"/>
    <w:rsid w:val="00B35FB5"/>
    <w:rsid w:val="00B36C8B"/>
    <w:rsid w:val="00B40792"/>
    <w:rsid w:val="00B41AD8"/>
    <w:rsid w:val="00B44C32"/>
    <w:rsid w:val="00B458C4"/>
    <w:rsid w:val="00B462A3"/>
    <w:rsid w:val="00B47C44"/>
    <w:rsid w:val="00B47E9C"/>
    <w:rsid w:val="00B47F91"/>
    <w:rsid w:val="00B50048"/>
    <w:rsid w:val="00B5268D"/>
    <w:rsid w:val="00B5609D"/>
    <w:rsid w:val="00B6022A"/>
    <w:rsid w:val="00B62864"/>
    <w:rsid w:val="00B63956"/>
    <w:rsid w:val="00B66116"/>
    <w:rsid w:val="00B661A8"/>
    <w:rsid w:val="00B67E72"/>
    <w:rsid w:val="00B7042F"/>
    <w:rsid w:val="00B74566"/>
    <w:rsid w:val="00B74E51"/>
    <w:rsid w:val="00B7647C"/>
    <w:rsid w:val="00B770F2"/>
    <w:rsid w:val="00B7773F"/>
    <w:rsid w:val="00B77C00"/>
    <w:rsid w:val="00B80FAE"/>
    <w:rsid w:val="00B81764"/>
    <w:rsid w:val="00B82D53"/>
    <w:rsid w:val="00B83F1E"/>
    <w:rsid w:val="00B85910"/>
    <w:rsid w:val="00B86CF3"/>
    <w:rsid w:val="00B906B9"/>
    <w:rsid w:val="00B93AAB"/>
    <w:rsid w:val="00B956EA"/>
    <w:rsid w:val="00B97178"/>
    <w:rsid w:val="00BA234F"/>
    <w:rsid w:val="00BA25C2"/>
    <w:rsid w:val="00BA305C"/>
    <w:rsid w:val="00BA3229"/>
    <w:rsid w:val="00BA405C"/>
    <w:rsid w:val="00BA4C90"/>
    <w:rsid w:val="00BA6EFB"/>
    <w:rsid w:val="00BB0693"/>
    <w:rsid w:val="00BB23F7"/>
    <w:rsid w:val="00BB36E6"/>
    <w:rsid w:val="00BB42C7"/>
    <w:rsid w:val="00BB5A3A"/>
    <w:rsid w:val="00BB6665"/>
    <w:rsid w:val="00BB7E83"/>
    <w:rsid w:val="00BC071C"/>
    <w:rsid w:val="00BC0BAE"/>
    <w:rsid w:val="00BC40D6"/>
    <w:rsid w:val="00BD0494"/>
    <w:rsid w:val="00BD1AED"/>
    <w:rsid w:val="00BD2370"/>
    <w:rsid w:val="00BD2694"/>
    <w:rsid w:val="00BD3E0A"/>
    <w:rsid w:val="00BD47B4"/>
    <w:rsid w:val="00BD5AE6"/>
    <w:rsid w:val="00BE059E"/>
    <w:rsid w:val="00BE11E4"/>
    <w:rsid w:val="00BE2672"/>
    <w:rsid w:val="00BE2FA0"/>
    <w:rsid w:val="00BE3D38"/>
    <w:rsid w:val="00BE4135"/>
    <w:rsid w:val="00BE5DB7"/>
    <w:rsid w:val="00BE5FED"/>
    <w:rsid w:val="00BE7FA6"/>
    <w:rsid w:val="00BE7FE3"/>
    <w:rsid w:val="00BF0B67"/>
    <w:rsid w:val="00BF0F47"/>
    <w:rsid w:val="00BF0F53"/>
    <w:rsid w:val="00BF3212"/>
    <w:rsid w:val="00BF573B"/>
    <w:rsid w:val="00BF5D6C"/>
    <w:rsid w:val="00BF5F92"/>
    <w:rsid w:val="00BF6982"/>
    <w:rsid w:val="00BF780B"/>
    <w:rsid w:val="00BF7CCD"/>
    <w:rsid w:val="00BF7DF3"/>
    <w:rsid w:val="00C010CA"/>
    <w:rsid w:val="00C03777"/>
    <w:rsid w:val="00C043CD"/>
    <w:rsid w:val="00C10822"/>
    <w:rsid w:val="00C14097"/>
    <w:rsid w:val="00C164CF"/>
    <w:rsid w:val="00C167B2"/>
    <w:rsid w:val="00C171AE"/>
    <w:rsid w:val="00C21969"/>
    <w:rsid w:val="00C22CE0"/>
    <w:rsid w:val="00C23EF4"/>
    <w:rsid w:val="00C2690D"/>
    <w:rsid w:val="00C308A2"/>
    <w:rsid w:val="00C308DC"/>
    <w:rsid w:val="00C30957"/>
    <w:rsid w:val="00C343A8"/>
    <w:rsid w:val="00C3440C"/>
    <w:rsid w:val="00C34D8F"/>
    <w:rsid w:val="00C3768F"/>
    <w:rsid w:val="00C37CD5"/>
    <w:rsid w:val="00C40C45"/>
    <w:rsid w:val="00C4254E"/>
    <w:rsid w:val="00C43894"/>
    <w:rsid w:val="00C450EA"/>
    <w:rsid w:val="00C45A65"/>
    <w:rsid w:val="00C47867"/>
    <w:rsid w:val="00C50CF7"/>
    <w:rsid w:val="00C511DD"/>
    <w:rsid w:val="00C54B35"/>
    <w:rsid w:val="00C54E2D"/>
    <w:rsid w:val="00C555D3"/>
    <w:rsid w:val="00C55DC9"/>
    <w:rsid w:val="00C57562"/>
    <w:rsid w:val="00C579B1"/>
    <w:rsid w:val="00C604F7"/>
    <w:rsid w:val="00C60BE0"/>
    <w:rsid w:val="00C60EFF"/>
    <w:rsid w:val="00C62BCE"/>
    <w:rsid w:val="00C63533"/>
    <w:rsid w:val="00C64351"/>
    <w:rsid w:val="00C64920"/>
    <w:rsid w:val="00C65A87"/>
    <w:rsid w:val="00C67C37"/>
    <w:rsid w:val="00C726DD"/>
    <w:rsid w:val="00C73CCD"/>
    <w:rsid w:val="00C75329"/>
    <w:rsid w:val="00C75FCE"/>
    <w:rsid w:val="00C76FD7"/>
    <w:rsid w:val="00C77DE9"/>
    <w:rsid w:val="00C8047F"/>
    <w:rsid w:val="00C80ED6"/>
    <w:rsid w:val="00C81881"/>
    <w:rsid w:val="00C830FB"/>
    <w:rsid w:val="00C841B0"/>
    <w:rsid w:val="00C84223"/>
    <w:rsid w:val="00C8730C"/>
    <w:rsid w:val="00C90B95"/>
    <w:rsid w:val="00C91D9B"/>
    <w:rsid w:val="00C92942"/>
    <w:rsid w:val="00C92F87"/>
    <w:rsid w:val="00C93345"/>
    <w:rsid w:val="00C936EB"/>
    <w:rsid w:val="00C94B37"/>
    <w:rsid w:val="00C96204"/>
    <w:rsid w:val="00C96B39"/>
    <w:rsid w:val="00C9769E"/>
    <w:rsid w:val="00CA0B04"/>
    <w:rsid w:val="00CA2ECE"/>
    <w:rsid w:val="00CB1BE2"/>
    <w:rsid w:val="00CB2C10"/>
    <w:rsid w:val="00CB4555"/>
    <w:rsid w:val="00CB65A2"/>
    <w:rsid w:val="00CB757C"/>
    <w:rsid w:val="00CB7D5F"/>
    <w:rsid w:val="00CC017D"/>
    <w:rsid w:val="00CC1A97"/>
    <w:rsid w:val="00CC74CB"/>
    <w:rsid w:val="00CD0095"/>
    <w:rsid w:val="00CD447A"/>
    <w:rsid w:val="00CD5940"/>
    <w:rsid w:val="00CE1B41"/>
    <w:rsid w:val="00CE7726"/>
    <w:rsid w:val="00CE7B66"/>
    <w:rsid w:val="00CF0F51"/>
    <w:rsid w:val="00CF17E8"/>
    <w:rsid w:val="00CF1AFD"/>
    <w:rsid w:val="00D01573"/>
    <w:rsid w:val="00D015B7"/>
    <w:rsid w:val="00D01641"/>
    <w:rsid w:val="00D03484"/>
    <w:rsid w:val="00D03CA3"/>
    <w:rsid w:val="00D04D2B"/>
    <w:rsid w:val="00D052FC"/>
    <w:rsid w:val="00D10027"/>
    <w:rsid w:val="00D1065E"/>
    <w:rsid w:val="00D10C6B"/>
    <w:rsid w:val="00D11367"/>
    <w:rsid w:val="00D14514"/>
    <w:rsid w:val="00D20675"/>
    <w:rsid w:val="00D206EF"/>
    <w:rsid w:val="00D242E6"/>
    <w:rsid w:val="00D2493C"/>
    <w:rsid w:val="00D3311F"/>
    <w:rsid w:val="00D354BC"/>
    <w:rsid w:val="00D36006"/>
    <w:rsid w:val="00D36232"/>
    <w:rsid w:val="00D36BD8"/>
    <w:rsid w:val="00D41239"/>
    <w:rsid w:val="00D44E18"/>
    <w:rsid w:val="00D45244"/>
    <w:rsid w:val="00D46130"/>
    <w:rsid w:val="00D46BA4"/>
    <w:rsid w:val="00D472EE"/>
    <w:rsid w:val="00D47B1C"/>
    <w:rsid w:val="00D505EB"/>
    <w:rsid w:val="00D50FDA"/>
    <w:rsid w:val="00D51B0D"/>
    <w:rsid w:val="00D53BCC"/>
    <w:rsid w:val="00D543D1"/>
    <w:rsid w:val="00D56312"/>
    <w:rsid w:val="00D57BC5"/>
    <w:rsid w:val="00D57EE2"/>
    <w:rsid w:val="00D60FB5"/>
    <w:rsid w:val="00D61A71"/>
    <w:rsid w:val="00D6236B"/>
    <w:rsid w:val="00D62663"/>
    <w:rsid w:val="00D63188"/>
    <w:rsid w:val="00D657F0"/>
    <w:rsid w:val="00D66754"/>
    <w:rsid w:val="00D676AA"/>
    <w:rsid w:val="00D676CC"/>
    <w:rsid w:val="00D703DC"/>
    <w:rsid w:val="00D7366A"/>
    <w:rsid w:val="00D761C3"/>
    <w:rsid w:val="00D772E1"/>
    <w:rsid w:val="00D8136C"/>
    <w:rsid w:val="00D81581"/>
    <w:rsid w:val="00D825E2"/>
    <w:rsid w:val="00D839FB"/>
    <w:rsid w:val="00D84880"/>
    <w:rsid w:val="00D848DA"/>
    <w:rsid w:val="00D84A5B"/>
    <w:rsid w:val="00D87CEB"/>
    <w:rsid w:val="00D91457"/>
    <w:rsid w:val="00D9229C"/>
    <w:rsid w:val="00D93035"/>
    <w:rsid w:val="00D9505F"/>
    <w:rsid w:val="00D96654"/>
    <w:rsid w:val="00DA16F2"/>
    <w:rsid w:val="00DA39AC"/>
    <w:rsid w:val="00DA510A"/>
    <w:rsid w:val="00DA5962"/>
    <w:rsid w:val="00DA69AD"/>
    <w:rsid w:val="00DB2518"/>
    <w:rsid w:val="00DB27F0"/>
    <w:rsid w:val="00DB45B1"/>
    <w:rsid w:val="00DC0226"/>
    <w:rsid w:val="00DC0F45"/>
    <w:rsid w:val="00DC15A7"/>
    <w:rsid w:val="00DC2B59"/>
    <w:rsid w:val="00DC4538"/>
    <w:rsid w:val="00DC5DE0"/>
    <w:rsid w:val="00DC6E7F"/>
    <w:rsid w:val="00DD09C3"/>
    <w:rsid w:val="00DD2450"/>
    <w:rsid w:val="00DD24EE"/>
    <w:rsid w:val="00DD25FE"/>
    <w:rsid w:val="00DD2BE6"/>
    <w:rsid w:val="00DD32B5"/>
    <w:rsid w:val="00DD4B4B"/>
    <w:rsid w:val="00DD70B3"/>
    <w:rsid w:val="00DE3377"/>
    <w:rsid w:val="00DE721D"/>
    <w:rsid w:val="00DE7788"/>
    <w:rsid w:val="00DE7822"/>
    <w:rsid w:val="00DF37A8"/>
    <w:rsid w:val="00DF4545"/>
    <w:rsid w:val="00E00B4B"/>
    <w:rsid w:val="00E02141"/>
    <w:rsid w:val="00E07F3B"/>
    <w:rsid w:val="00E1392D"/>
    <w:rsid w:val="00E1500E"/>
    <w:rsid w:val="00E1551C"/>
    <w:rsid w:val="00E17A7E"/>
    <w:rsid w:val="00E214FA"/>
    <w:rsid w:val="00E215B7"/>
    <w:rsid w:val="00E21B9F"/>
    <w:rsid w:val="00E2219B"/>
    <w:rsid w:val="00E23C1D"/>
    <w:rsid w:val="00E2401B"/>
    <w:rsid w:val="00E2443F"/>
    <w:rsid w:val="00E2620A"/>
    <w:rsid w:val="00E3231C"/>
    <w:rsid w:val="00E325A9"/>
    <w:rsid w:val="00E331DF"/>
    <w:rsid w:val="00E33282"/>
    <w:rsid w:val="00E34618"/>
    <w:rsid w:val="00E3492B"/>
    <w:rsid w:val="00E35902"/>
    <w:rsid w:val="00E35A9F"/>
    <w:rsid w:val="00E362D4"/>
    <w:rsid w:val="00E3659C"/>
    <w:rsid w:val="00E36ECE"/>
    <w:rsid w:val="00E3711B"/>
    <w:rsid w:val="00E3797D"/>
    <w:rsid w:val="00E4121B"/>
    <w:rsid w:val="00E4470E"/>
    <w:rsid w:val="00E45C0E"/>
    <w:rsid w:val="00E46499"/>
    <w:rsid w:val="00E468F2"/>
    <w:rsid w:val="00E47411"/>
    <w:rsid w:val="00E50790"/>
    <w:rsid w:val="00E54761"/>
    <w:rsid w:val="00E548C1"/>
    <w:rsid w:val="00E54AF0"/>
    <w:rsid w:val="00E5694B"/>
    <w:rsid w:val="00E56DA5"/>
    <w:rsid w:val="00E57CCB"/>
    <w:rsid w:val="00E60854"/>
    <w:rsid w:val="00E60B41"/>
    <w:rsid w:val="00E61027"/>
    <w:rsid w:val="00E6452E"/>
    <w:rsid w:val="00E65065"/>
    <w:rsid w:val="00E66645"/>
    <w:rsid w:val="00E67335"/>
    <w:rsid w:val="00E67597"/>
    <w:rsid w:val="00E706E6"/>
    <w:rsid w:val="00E70AE1"/>
    <w:rsid w:val="00E7112D"/>
    <w:rsid w:val="00E716B5"/>
    <w:rsid w:val="00E72A53"/>
    <w:rsid w:val="00E735F5"/>
    <w:rsid w:val="00E74D4A"/>
    <w:rsid w:val="00E76ECE"/>
    <w:rsid w:val="00E816D3"/>
    <w:rsid w:val="00E83130"/>
    <w:rsid w:val="00E831A6"/>
    <w:rsid w:val="00E8336E"/>
    <w:rsid w:val="00E83E0F"/>
    <w:rsid w:val="00E8437A"/>
    <w:rsid w:val="00E848FE"/>
    <w:rsid w:val="00E8624C"/>
    <w:rsid w:val="00E8740A"/>
    <w:rsid w:val="00E8784C"/>
    <w:rsid w:val="00E92CC0"/>
    <w:rsid w:val="00E945DC"/>
    <w:rsid w:val="00E94857"/>
    <w:rsid w:val="00E969D8"/>
    <w:rsid w:val="00E970AF"/>
    <w:rsid w:val="00EA1C06"/>
    <w:rsid w:val="00EA2ECD"/>
    <w:rsid w:val="00EA506F"/>
    <w:rsid w:val="00EA6F77"/>
    <w:rsid w:val="00EA7A69"/>
    <w:rsid w:val="00EB13C2"/>
    <w:rsid w:val="00EB1C43"/>
    <w:rsid w:val="00EB1E87"/>
    <w:rsid w:val="00EB1F62"/>
    <w:rsid w:val="00EB42CE"/>
    <w:rsid w:val="00EB795B"/>
    <w:rsid w:val="00EC5981"/>
    <w:rsid w:val="00ED3962"/>
    <w:rsid w:val="00ED48AB"/>
    <w:rsid w:val="00ED52E7"/>
    <w:rsid w:val="00ED5CEF"/>
    <w:rsid w:val="00ED767C"/>
    <w:rsid w:val="00EE07CD"/>
    <w:rsid w:val="00EE08BA"/>
    <w:rsid w:val="00EE1032"/>
    <w:rsid w:val="00EE30B1"/>
    <w:rsid w:val="00EE6D05"/>
    <w:rsid w:val="00EF096E"/>
    <w:rsid w:val="00EF15FE"/>
    <w:rsid w:val="00EF184D"/>
    <w:rsid w:val="00EF3CFC"/>
    <w:rsid w:val="00EF5690"/>
    <w:rsid w:val="00EF5B34"/>
    <w:rsid w:val="00EF7906"/>
    <w:rsid w:val="00F01207"/>
    <w:rsid w:val="00F02DC5"/>
    <w:rsid w:val="00F02ED3"/>
    <w:rsid w:val="00F0544F"/>
    <w:rsid w:val="00F1392A"/>
    <w:rsid w:val="00F15C92"/>
    <w:rsid w:val="00F165DB"/>
    <w:rsid w:val="00F16E25"/>
    <w:rsid w:val="00F268B8"/>
    <w:rsid w:val="00F26A8B"/>
    <w:rsid w:val="00F331DB"/>
    <w:rsid w:val="00F336F1"/>
    <w:rsid w:val="00F40CAD"/>
    <w:rsid w:val="00F4474A"/>
    <w:rsid w:val="00F448AD"/>
    <w:rsid w:val="00F46A25"/>
    <w:rsid w:val="00F46BFB"/>
    <w:rsid w:val="00F4704E"/>
    <w:rsid w:val="00F523BD"/>
    <w:rsid w:val="00F54E84"/>
    <w:rsid w:val="00F62F06"/>
    <w:rsid w:val="00F6637A"/>
    <w:rsid w:val="00F7099A"/>
    <w:rsid w:val="00F70E65"/>
    <w:rsid w:val="00F71639"/>
    <w:rsid w:val="00F735B9"/>
    <w:rsid w:val="00F74868"/>
    <w:rsid w:val="00F75C39"/>
    <w:rsid w:val="00F7715E"/>
    <w:rsid w:val="00F80736"/>
    <w:rsid w:val="00F81D5D"/>
    <w:rsid w:val="00F82141"/>
    <w:rsid w:val="00F853FF"/>
    <w:rsid w:val="00F90646"/>
    <w:rsid w:val="00F921B9"/>
    <w:rsid w:val="00F92D57"/>
    <w:rsid w:val="00F92F84"/>
    <w:rsid w:val="00FA0AE9"/>
    <w:rsid w:val="00FA5EF4"/>
    <w:rsid w:val="00FB1422"/>
    <w:rsid w:val="00FB1DE8"/>
    <w:rsid w:val="00FB27CF"/>
    <w:rsid w:val="00FB71B0"/>
    <w:rsid w:val="00FB7C80"/>
    <w:rsid w:val="00FC0443"/>
    <w:rsid w:val="00FC0F4B"/>
    <w:rsid w:val="00FC149D"/>
    <w:rsid w:val="00FC1842"/>
    <w:rsid w:val="00FC1AA2"/>
    <w:rsid w:val="00FC1C3F"/>
    <w:rsid w:val="00FC3D4D"/>
    <w:rsid w:val="00FC410C"/>
    <w:rsid w:val="00FC635B"/>
    <w:rsid w:val="00FD0EED"/>
    <w:rsid w:val="00FD1AC5"/>
    <w:rsid w:val="00FD6E7B"/>
    <w:rsid w:val="00FD790E"/>
    <w:rsid w:val="00FE38CE"/>
    <w:rsid w:val="00FE3B3C"/>
    <w:rsid w:val="00FE44A0"/>
    <w:rsid w:val="00FE5E82"/>
    <w:rsid w:val="00FE5FC3"/>
    <w:rsid w:val="00FF03F3"/>
    <w:rsid w:val="00FF08B9"/>
    <w:rsid w:val="00FF19A2"/>
    <w:rsid w:val="00FF3EC6"/>
    <w:rsid w:val="00FF631D"/>
    <w:rsid w:val="00FF6620"/>
    <w:rsid w:val="00FF6998"/>
    <w:rsid w:val="010B4FE9"/>
    <w:rsid w:val="012C5D5E"/>
    <w:rsid w:val="012F5EEC"/>
    <w:rsid w:val="01380C54"/>
    <w:rsid w:val="013B785D"/>
    <w:rsid w:val="014679E9"/>
    <w:rsid w:val="014926FD"/>
    <w:rsid w:val="015518FD"/>
    <w:rsid w:val="016145E9"/>
    <w:rsid w:val="018455FE"/>
    <w:rsid w:val="018F4C90"/>
    <w:rsid w:val="01A60D8D"/>
    <w:rsid w:val="01AB271A"/>
    <w:rsid w:val="01AC2C3F"/>
    <w:rsid w:val="01D034B8"/>
    <w:rsid w:val="01E853EB"/>
    <w:rsid w:val="020C5677"/>
    <w:rsid w:val="022B1F45"/>
    <w:rsid w:val="0233564A"/>
    <w:rsid w:val="0238786D"/>
    <w:rsid w:val="02734825"/>
    <w:rsid w:val="027A6B16"/>
    <w:rsid w:val="027E7B75"/>
    <w:rsid w:val="029B3505"/>
    <w:rsid w:val="02B00B3E"/>
    <w:rsid w:val="02B229DC"/>
    <w:rsid w:val="02C15EE7"/>
    <w:rsid w:val="02ED2B1B"/>
    <w:rsid w:val="03186770"/>
    <w:rsid w:val="036823EA"/>
    <w:rsid w:val="03BC5AE5"/>
    <w:rsid w:val="03BF2400"/>
    <w:rsid w:val="03C64B59"/>
    <w:rsid w:val="03D16BEE"/>
    <w:rsid w:val="043178A3"/>
    <w:rsid w:val="045F6F4C"/>
    <w:rsid w:val="046D7876"/>
    <w:rsid w:val="049D4778"/>
    <w:rsid w:val="04C02EC9"/>
    <w:rsid w:val="04CF320C"/>
    <w:rsid w:val="04E46C6E"/>
    <w:rsid w:val="04F823F8"/>
    <w:rsid w:val="050A0AF4"/>
    <w:rsid w:val="05546372"/>
    <w:rsid w:val="05587F4C"/>
    <w:rsid w:val="055F5079"/>
    <w:rsid w:val="05622240"/>
    <w:rsid w:val="0571791E"/>
    <w:rsid w:val="059E4D1C"/>
    <w:rsid w:val="05B47807"/>
    <w:rsid w:val="05D82FD7"/>
    <w:rsid w:val="05D9789D"/>
    <w:rsid w:val="05DB61EA"/>
    <w:rsid w:val="05F17DAF"/>
    <w:rsid w:val="05F601DA"/>
    <w:rsid w:val="05F66F4A"/>
    <w:rsid w:val="0614592C"/>
    <w:rsid w:val="06184825"/>
    <w:rsid w:val="061D7BB6"/>
    <w:rsid w:val="062A64C0"/>
    <w:rsid w:val="063841EF"/>
    <w:rsid w:val="064211D0"/>
    <w:rsid w:val="065B49CB"/>
    <w:rsid w:val="0663435D"/>
    <w:rsid w:val="06706BB5"/>
    <w:rsid w:val="068E0528"/>
    <w:rsid w:val="06D54CE3"/>
    <w:rsid w:val="06F63620"/>
    <w:rsid w:val="06FF7B6A"/>
    <w:rsid w:val="07113F1D"/>
    <w:rsid w:val="07114A5C"/>
    <w:rsid w:val="071B76A1"/>
    <w:rsid w:val="073F07C5"/>
    <w:rsid w:val="0751129A"/>
    <w:rsid w:val="077961C8"/>
    <w:rsid w:val="0786149F"/>
    <w:rsid w:val="07912401"/>
    <w:rsid w:val="079D09AF"/>
    <w:rsid w:val="080914BA"/>
    <w:rsid w:val="081A0A6A"/>
    <w:rsid w:val="081E4FBF"/>
    <w:rsid w:val="08325330"/>
    <w:rsid w:val="08822231"/>
    <w:rsid w:val="0891148B"/>
    <w:rsid w:val="08A17DD9"/>
    <w:rsid w:val="08AE0DFC"/>
    <w:rsid w:val="08B72B7C"/>
    <w:rsid w:val="08BE6D0B"/>
    <w:rsid w:val="095E0389"/>
    <w:rsid w:val="09832E40"/>
    <w:rsid w:val="098B21E0"/>
    <w:rsid w:val="098E6F66"/>
    <w:rsid w:val="09AB4631"/>
    <w:rsid w:val="09B33376"/>
    <w:rsid w:val="09B46D4E"/>
    <w:rsid w:val="09DF051E"/>
    <w:rsid w:val="09F700FE"/>
    <w:rsid w:val="09FA1BFC"/>
    <w:rsid w:val="0A0D4995"/>
    <w:rsid w:val="0A0D7E58"/>
    <w:rsid w:val="0A2704C7"/>
    <w:rsid w:val="0A474E09"/>
    <w:rsid w:val="0A965649"/>
    <w:rsid w:val="0A982512"/>
    <w:rsid w:val="0AB96284"/>
    <w:rsid w:val="0ABC4B32"/>
    <w:rsid w:val="0ABD1B77"/>
    <w:rsid w:val="0ACD394C"/>
    <w:rsid w:val="0AD02884"/>
    <w:rsid w:val="0ADB48AD"/>
    <w:rsid w:val="0ADE1867"/>
    <w:rsid w:val="0AF22C84"/>
    <w:rsid w:val="0AF55941"/>
    <w:rsid w:val="0B0C2FBF"/>
    <w:rsid w:val="0B0D486C"/>
    <w:rsid w:val="0B151F27"/>
    <w:rsid w:val="0B2E4DC4"/>
    <w:rsid w:val="0B36578E"/>
    <w:rsid w:val="0B3A74B5"/>
    <w:rsid w:val="0B6856E8"/>
    <w:rsid w:val="0B950884"/>
    <w:rsid w:val="0B9A3F2F"/>
    <w:rsid w:val="0BB6521B"/>
    <w:rsid w:val="0BC10863"/>
    <w:rsid w:val="0BCE5BE9"/>
    <w:rsid w:val="0BCF6493"/>
    <w:rsid w:val="0BD52AAE"/>
    <w:rsid w:val="0BE425D4"/>
    <w:rsid w:val="0BFE440B"/>
    <w:rsid w:val="0C370B02"/>
    <w:rsid w:val="0C4C57D1"/>
    <w:rsid w:val="0C630A69"/>
    <w:rsid w:val="0C6B6B5F"/>
    <w:rsid w:val="0C8002E9"/>
    <w:rsid w:val="0C8D4FD3"/>
    <w:rsid w:val="0C9C6488"/>
    <w:rsid w:val="0CA42C94"/>
    <w:rsid w:val="0CAA4343"/>
    <w:rsid w:val="0CBB2DDD"/>
    <w:rsid w:val="0CD4140F"/>
    <w:rsid w:val="0CF3434D"/>
    <w:rsid w:val="0CFB4BCE"/>
    <w:rsid w:val="0D58203F"/>
    <w:rsid w:val="0D72664C"/>
    <w:rsid w:val="0D934323"/>
    <w:rsid w:val="0D9418D7"/>
    <w:rsid w:val="0DE84999"/>
    <w:rsid w:val="0E07067B"/>
    <w:rsid w:val="0E1A58A2"/>
    <w:rsid w:val="0E2E6717"/>
    <w:rsid w:val="0E3464CE"/>
    <w:rsid w:val="0E624C7C"/>
    <w:rsid w:val="0E853EE5"/>
    <w:rsid w:val="0E855450"/>
    <w:rsid w:val="0EA6154E"/>
    <w:rsid w:val="0EB45D35"/>
    <w:rsid w:val="0ECA7606"/>
    <w:rsid w:val="0EE101D8"/>
    <w:rsid w:val="0F0D66F3"/>
    <w:rsid w:val="0F1575C9"/>
    <w:rsid w:val="0F1953E7"/>
    <w:rsid w:val="0F1A31E7"/>
    <w:rsid w:val="0F5A1C13"/>
    <w:rsid w:val="0F6D32F3"/>
    <w:rsid w:val="0F7730EC"/>
    <w:rsid w:val="0F9958B9"/>
    <w:rsid w:val="0F9D3483"/>
    <w:rsid w:val="0FF10CE0"/>
    <w:rsid w:val="10016BF4"/>
    <w:rsid w:val="10193DC7"/>
    <w:rsid w:val="1042283A"/>
    <w:rsid w:val="10477698"/>
    <w:rsid w:val="10706238"/>
    <w:rsid w:val="107336CB"/>
    <w:rsid w:val="10A41C43"/>
    <w:rsid w:val="10B730C3"/>
    <w:rsid w:val="10D4286C"/>
    <w:rsid w:val="10DB373B"/>
    <w:rsid w:val="10F03362"/>
    <w:rsid w:val="10FC2DE1"/>
    <w:rsid w:val="11137CEB"/>
    <w:rsid w:val="11411B91"/>
    <w:rsid w:val="115B3B76"/>
    <w:rsid w:val="119B0014"/>
    <w:rsid w:val="11A933F0"/>
    <w:rsid w:val="11C23F40"/>
    <w:rsid w:val="11CD68D7"/>
    <w:rsid w:val="11DA7800"/>
    <w:rsid w:val="11DE3B19"/>
    <w:rsid w:val="12272ED1"/>
    <w:rsid w:val="122E6FF0"/>
    <w:rsid w:val="12326175"/>
    <w:rsid w:val="12334AF8"/>
    <w:rsid w:val="12377004"/>
    <w:rsid w:val="1248318B"/>
    <w:rsid w:val="124A1586"/>
    <w:rsid w:val="124C01AF"/>
    <w:rsid w:val="129F7959"/>
    <w:rsid w:val="12A82A6A"/>
    <w:rsid w:val="12B76778"/>
    <w:rsid w:val="12C65999"/>
    <w:rsid w:val="12D12D40"/>
    <w:rsid w:val="12F5292A"/>
    <w:rsid w:val="130565B3"/>
    <w:rsid w:val="13070B2A"/>
    <w:rsid w:val="13125BC7"/>
    <w:rsid w:val="132E3AB2"/>
    <w:rsid w:val="135F6B62"/>
    <w:rsid w:val="137402A2"/>
    <w:rsid w:val="13B637FE"/>
    <w:rsid w:val="141272F3"/>
    <w:rsid w:val="14201B98"/>
    <w:rsid w:val="143A6F02"/>
    <w:rsid w:val="144D0569"/>
    <w:rsid w:val="14562AF9"/>
    <w:rsid w:val="147E19DD"/>
    <w:rsid w:val="14975EDD"/>
    <w:rsid w:val="14A46A4B"/>
    <w:rsid w:val="14B16476"/>
    <w:rsid w:val="14BB266E"/>
    <w:rsid w:val="14C97D90"/>
    <w:rsid w:val="14E776D0"/>
    <w:rsid w:val="14F76B5A"/>
    <w:rsid w:val="15041C33"/>
    <w:rsid w:val="150E7C4C"/>
    <w:rsid w:val="1515231E"/>
    <w:rsid w:val="15304389"/>
    <w:rsid w:val="153B4961"/>
    <w:rsid w:val="15575A9F"/>
    <w:rsid w:val="15B47E56"/>
    <w:rsid w:val="15E82A48"/>
    <w:rsid w:val="160B1B54"/>
    <w:rsid w:val="163B2272"/>
    <w:rsid w:val="1654596F"/>
    <w:rsid w:val="166F5149"/>
    <w:rsid w:val="167C4F01"/>
    <w:rsid w:val="16A16F67"/>
    <w:rsid w:val="16A22ECE"/>
    <w:rsid w:val="16A82D68"/>
    <w:rsid w:val="17022BFD"/>
    <w:rsid w:val="172F248A"/>
    <w:rsid w:val="173F7F78"/>
    <w:rsid w:val="17581803"/>
    <w:rsid w:val="175B3F8F"/>
    <w:rsid w:val="17866A9C"/>
    <w:rsid w:val="17AF31B9"/>
    <w:rsid w:val="17BB18A4"/>
    <w:rsid w:val="17BB24C5"/>
    <w:rsid w:val="18017F3F"/>
    <w:rsid w:val="181F6236"/>
    <w:rsid w:val="183543E1"/>
    <w:rsid w:val="184C5E8B"/>
    <w:rsid w:val="18751CEF"/>
    <w:rsid w:val="188F27E2"/>
    <w:rsid w:val="18944CEB"/>
    <w:rsid w:val="18957FE1"/>
    <w:rsid w:val="18BC178E"/>
    <w:rsid w:val="18C85380"/>
    <w:rsid w:val="18C86B77"/>
    <w:rsid w:val="18EA77DA"/>
    <w:rsid w:val="18F54F12"/>
    <w:rsid w:val="190565B4"/>
    <w:rsid w:val="192C4CAB"/>
    <w:rsid w:val="193D7288"/>
    <w:rsid w:val="19455CE6"/>
    <w:rsid w:val="196B7E8B"/>
    <w:rsid w:val="197409B9"/>
    <w:rsid w:val="19A64268"/>
    <w:rsid w:val="19D00A54"/>
    <w:rsid w:val="19E50E42"/>
    <w:rsid w:val="19EA06CC"/>
    <w:rsid w:val="19F41672"/>
    <w:rsid w:val="1A0C725D"/>
    <w:rsid w:val="1A1E3B7A"/>
    <w:rsid w:val="1A322CCD"/>
    <w:rsid w:val="1A3B131D"/>
    <w:rsid w:val="1A435F26"/>
    <w:rsid w:val="1A4E09FE"/>
    <w:rsid w:val="1A7577D6"/>
    <w:rsid w:val="1A7D4F8E"/>
    <w:rsid w:val="1A9362FC"/>
    <w:rsid w:val="1A997A07"/>
    <w:rsid w:val="1A9C2F1D"/>
    <w:rsid w:val="1AAE4DFD"/>
    <w:rsid w:val="1ACD5E4B"/>
    <w:rsid w:val="1ACF71EF"/>
    <w:rsid w:val="1B044665"/>
    <w:rsid w:val="1B0E43FD"/>
    <w:rsid w:val="1B3E4957"/>
    <w:rsid w:val="1B432C09"/>
    <w:rsid w:val="1B46278B"/>
    <w:rsid w:val="1B47786B"/>
    <w:rsid w:val="1B4F58F0"/>
    <w:rsid w:val="1B55264E"/>
    <w:rsid w:val="1B652198"/>
    <w:rsid w:val="1B6A114C"/>
    <w:rsid w:val="1B771589"/>
    <w:rsid w:val="1B784A1B"/>
    <w:rsid w:val="1B99624C"/>
    <w:rsid w:val="1BA3162C"/>
    <w:rsid w:val="1BBD64D7"/>
    <w:rsid w:val="1BBF5E04"/>
    <w:rsid w:val="1C237307"/>
    <w:rsid w:val="1C331B4A"/>
    <w:rsid w:val="1C583784"/>
    <w:rsid w:val="1C6F3BE2"/>
    <w:rsid w:val="1C74774E"/>
    <w:rsid w:val="1C8908AC"/>
    <w:rsid w:val="1C923598"/>
    <w:rsid w:val="1CBB7069"/>
    <w:rsid w:val="1CC76B08"/>
    <w:rsid w:val="1CD10B49"/>
    <w:rsid w:val="1CDB60AD"/>
    <w:rsid w:val="1CE23CC1"/>
    <w:rsid w:val="1CE748BE"/>
    <w:rsid w:val="1CFA34AD"/>
    <w:rsid w:val="1D010695"/>
    <w:rsid w:val="1D0E0691"/>
    <w:rsid w:val="1D136A7F"/>
    <w:rsid w:val="1D420F58"/>
    <w:rsid w:val="1D51431F"/>
    <w:rsid w:val="1D7D7D3F"/>
    <w:rsid w:val="1D836D88"/>
    <w:rsid w:val="1D9530A5"/>
    <w:rsid w:val="1D9F3BAC"/>
    <w:rsid w:val="1DC9454E"/>
    <w:rsid w:val="1DCD5405"/>
    <w:rsid w:val="1DCE5311"/>
    <w:rsid w:val="1DE75548"/>
    <w:rsid w:val="1E1A10B4"/>
    <w:rsid w:val="1E1A5AAC"/>
    <w:rsid w:val="1E216EFC"/>
    <w:rsid w:val="1E2E70E3"/>
    <w:rsid w:val="1E59259D"/>
    <w:rsid w:val="1E6C0CB5"/>
    <w:rsid w:val="1EA265F6"/>
    <w:rsid w:val="1EBB28D5"/>
    <w:rsid w:val="1ECC0757"/>
    <w:rsid w:val="1ED63565"/>
    <w:rsid w:val="1EE574AA"/>
    <w:rsid w:val="1EF27CFB"/>
    <w:rsid w:val="1F2A33DA"/>
    <w:rsid w:val="1F350A12"/>
    <w:rsid w:val="1F3834C6"/>
    <w:rsid w:val="1F4A064F"/>
    <w:rsid w:val="1F5962A3"/>
    <w:rsid w:val="1F6C3E0E"/>
    <w:rsid w:val="1F6E4925"/>
    <w:rsid w:val="1FA45545"/>
    <w:rsid w:val="1FAD5AEF"/>
    <w:rsid w:val="1FC316EA"/>
    <w:rsid w:val="1FEB5C73"/>
    <w:rsid w:val="201F3AA9"/>
    <w:rsid w:val="20452C91"/>
    <w:rsid w:val="20582D2C"/>
    <w:rsid w:val="20697E06"/>
    <w:rsid w:val="20A32B11"/>
    <w:rsid w:val="20A81C44"/>
    <w:rsid w:val="20B16DDB"/>
    <w:rsid w:val="20C91296"/>
    <w:rsid w:val="20F27CDC"/>
    <w:rsid w:val="211F73D9"/>
    <w:rsid w:val="213F185C"/>
    <w:rsid w:val="21621878"/>
    <w:rsid w:val="21825C23"/>
    <w:rsid w:val="21A36D17"/>
    <w:rsid w:val="21C47D96"/>
    <w:rsid w:val="21C64173"/>
    <w:rsid w:val="21DB2030"/>
    <w:rsid w:val="21F32E80"/>
    <w:rsid w:val="21F7355D"/>
    <w:rsid w:val="21FF05AF"/>
    <w:rsid w:val="2226691F"/>
    <w:rsid w:val="222D609B"/>
    <w:rsid w:val="224F152B"/>
    <w:rsid w:val="22593A7E"/>
    <w:rsid w:val="225B7628"/>
    <w:rsid w:val="22C548F9"/>
    <w:rsid w:val="22E11E4C"/>
    <w:rsid w:val="22F91E3B"/>
    <w:rsid w:val="232146F8"/>
    <w:rsid w:val="23251143"/>
    <w:rsid w:val="23437A88"/>
    <w:rsid w:val="23580499"/>
    <w:rsid w:val="23675F21"/>
    <w:rsid w:val="236C46EE"/>
    <w:rsid w:val="23985A38"/>
    <w:rsid w:val="23B47970"/>
    <w:rsid w:val="23C1452A"/>
    <w:rsid w:val="23C25EBA"/>
    <w:rsid w:val="23E21FCC"/>
    <w:rsid w:val="242037E7"/>
    <w:rsid w:val="243F7396"/>
    <w:rsid w:val="24564A2F"/>
    <w:rsid w:val="246044B8"/>
    <w:rsid w:val="246B59FB"/>
    <w:rsid w:val="247A19FF"/>
    <w:rsid w:val="248E2180"/>
    <w:rsid w:val="24963FB2"/>
    <w:rsid w:val="249A054C"/>
    <w:rsid w:val="24A46650"/>
    <w:rsid w:val="24BD39AC"/>
    <w:rsid w:val="24ED6303"/>
    <w:rsid w:val="24F74BCA"/>
    <w:rsid w:val="251140E0"/>
    <w:rsid w:val="252560B3"/>
    <w:rsid w:val="253B000E"/>
    <w:rsid w:val="256A0244"/>
    <w:rsid w:val="25730471"/>
    <w:rsid w:val="25747B37"/>
    <w:rsid w:val="258462AE"/>
    <w:rsid w:val="25A66F42"/>
    <w:rsid w:val="25D05223"/>
    <w:rsid w:val="260A37A8"/>
    <w:rsid w:val="262B72A8"/>
    <w:rsid w:val="26677D4E"/>
    <w:rsid w:val="26716407"/>
    <w:rsid w:val="26754F5B"/>
    <w:rsid w:val="267637A8"/>
    <w:rsid w:val="267F6FEC"/>
    <w:rsid w:val="26936FC7"/>
    <w:rsid w:val="26975C1E"/>
    <w:rsid w:val="26A12A12"/>
    <w:rsid w:val="26BA4AC4"/>
    <w:rsid w:val="26BC5326"/>
    <w:rsid w:val="26C80336"/>
    <w:rsid w:val="26CE3562"/>
    <w:rsid w:val="270F4219"/>
    <w:rsid w:val="2719078B"/>
    <w:rsid w:val="275A3AE0"/>
    <w:rsid w:val="276359A8"/>
    <w:rsid w:val="276F52D0"/>
    <w:rsid w:val="27EE3CF9"/>
    <w:rsid w:val="27F714F9"/>
    <w:rsid w:val="27FD0891"/>
    <w:rsid w:val="28206071"/>
    <w:rsid w:val="286557E1"/>
    <w:rsid w:val="28962C77"/>
    <w:rsid w:val="28A2104D"/>
    <w:rsid w:val="28B15A8D"/>
    <w:rsid w:val="28DA3861"/>
    <w:rsid w:val="28EB7DE2"/>
    <w:rsid w:val="29341AF5"/>
    <w:rsid w:val="293F4360"/>
    <w:rsid w:val="293F632E"/>
    <w:rsid w:val="296A35A6"/>
    <w:rsid w:val="296A4716"/>
    <w:rsid w:val="296D3FCE"/>
    <w:rsid w:val="297E6552"/>
    <w:rsid w:val="29814BF7"/>
    <w:rsid w:val="2988724F"/>
    <w:rsid w:val="299827B3"/>
    <w:rsid w:val="299D0639"/>
    <w:rsid w:val="29B44577"/>
    <w:rsid w:val="29BF19DC"/>
    <w:rsid w:val="29C15DBB"/>
    <w:rsid w:val="29C42EE3"/>
    <w:rsid w:val="29CD373B"/>
    <w:rsid w:val="29D02F51"/>
    <w:rsid w:val="2A0352EF"/>
    <w:rsid w:val="2A1A4AC8"/>
    <w:rsid w:val="2A4231D8"/>
    <w:rsid w:val="2A685BE3"/>
    <w:rsid w:val="2A7A7AE6"/>
    <w:rsid w:val="2AA05C9E"/>
    <w:rsid w:val="2AC33672"/>
    <w:rsid w:val="2AC40465"/>
    <w:rsid w:val="2AD55294"/>
    <w:rsid w:val="2AF2289B"/>
    <w:rsid w:val="2AF7709B"/>
    <w:rsid w:val="2AF85AEB"/>
    <w:rsid w:val="2B1D3559"/>
    <w:rsid w:val="2B2C5418"/>
    <w:rsid w:val="2B3C56E8"/>
    <w:rsid w:val="2B8A0619"/>
    <w:rsid w:val="2B8A0FD3"/>
    <w:rsid w:val="2B9200FA"/>
    <w:rsid w:val="2B9F0910"/>
    <w:rsid w:val="2BA05312"/>
    <w:rsid w:val="2BBF1E18"/>
    <w:rsid w:val="2BC041CD"/>
    <w:rsid w:val="2BC90399"/>
    <w:rsid w:val="2BCE7E55"/>
    <w:rsid w:val="2BF55BCF"/>
    <w:rsid w:val="2BFC2D8D"/>
    <w:rsid w:val="2C106D96"/>
    <w:rsid w:val="2C182AE6"/>
    <w:rsid w:val="2C1B562B"/>
    <w:rsid w:val="2C525870"/>
    <w:rsid w:val="2C696C59"/>
    <w:rsid w:val="2C8B0399"/>
    <w:rsid w:val="2CA0793D"/>
    <w:rsid w:val="2CA26353"/>
    <w:rsid w:val="2CCF6AA7"/>
    <w:rsid w:val="2CD61C69"/>
    <w:rsid w:val="2CEE2330"/>
    <w:rsid w:val="2CF077E7"/>
    <w:rsid w:val="2CF626D2"/>
    <w:rsid w:val="2D0C6967"/>
    <w:rsid w:val="2D1F5E8A"/>
    <w:rsid w:val="2D3D230D"/>
    <w:rsid w:val="2D6F2099"/>
    <w:rsid w:val="2D736753"/>
    <w:rsid w:val="2D7C3C29"/>
    <w:rsid w:val="2D956AFA"/>
    <w:rsid w:val="2DB41681"/>
    <w:rsid w:val="2E057911"/>
    <w:rsid w:val="2E0D64DA"/>
    <w:rsid w:val="2E0F7E7C"/>
    <w:rsid w:val="2E145BDA"/>
    <w:rsid w:val="2E174DC3"/>
    <w:rsid w:val="2E2A2616"/>
    <w:rsid w:val="2E3A304E"/>
    <w:rsid w:val="2E81588D"/>
    <w:rsid w:val="2EA04E2C"/>
    <w:rsid w:val="2EC17562"/>
    <w:rsid w:val="2EFD262F"/>
    <w:rsid w:val="2EFE7DD3"/>
    <w:rsid w:val="2F1F181E"/>
    <w:rsid w:val="2F272580"/>
    <w:rsid w:val="2F385121"/>
    <w:rsid w:val="2F724006"/>
    <w:rsid w:val="2F8037F9"/>
    <w:rsid w:val="2F841841"/>
    <w:rsid w:val="2F88039D"/>
    <w:rsid w:val="2FA90B52"/>
    <w:rsid w:val="2FCF7F1B"/>
    <w:rsid w:val="2FD95697"/>
    <w:rsid w:val="2FE708F7"/>
    <w:rsid w:val="303331FF"/>
    <w:rsid w:val="303426C7"/>
    <w:rsid w:val="3060545C"/>
    <w:rsid w:val="307264E8"/>
    <w:rsid w:val="30880517"/>
    <w:rsid w:val="309007BB"/>
    <w:rsid w:val="30970C8A"/>
    <w:rsid w:val="30AA1F97"/>
    <w:rsid w:val="30ED3530"/>
    <w:rsid w:val="31297836"/>
    <w:rsid w:val="314531C9"/>
    <w:rsid w:val="315B79C1"/>
    <w:rsid w:val="31626633"/>
    <w:rsid w:val="3171030E"/>
    <w:rsid w:val="31916917"/>
    <w:rsid w:val="319D4359"/>
    <w:rsid w:val="31C935AF"/>
    <w:rsid w:val="31D11180"/>
    <w:rsid w:val="31E8218F"/>
    <w:rsid w:val="31EF3AD1"/>
    <w:rsid w:val="31FF7C5A"/>
    <w:rsid w:val="32394589"/>
    <w:rsid w:val="324A36D8"/>
    <w:rsid w:val="324C49CB"/>
    <w:rsid w:val="325E4B0F"/>
    <w:rsid w:val="32745F61"/>
    <w:rsid w:val="329C18B9"/>
    <w:rsid w:val="32A82F8F"/>
    <w:rsid w:val="32AD295E"/>
    <w:rsid w:val="32C12042"/>
    <w:rsid w:val="32D2695C"/>
    <w:rsid w:val="32EB04CA"/>
    <w:rsid w:val="32EF4E71"/>
    <w:rsid w:val="32FE0DA7"/>
    <w:rsid w:val="33082102"/>
    <w:rsid w:val="33160C4D"/>
    <w:rsid w:val="332026EE"/>
    <w:rsid w:val="335E6AC5"/>
    <w:rsid w:val="33661572"/>
    <w:rsid w:val="336E6AD7"/>
    <w:rsid w:val="338F0797"/>
    <w:rsid w:val="33946961"/>
    <w:rsid w:val="339F7223"/>
    <w:rsid w:val="33A307F2"/>
    <w:rsid w:val="33BF3D76"/>
    <w:rsid w:val="33CC5295"/>
    <w:rsid w:val="33E737C5"/>
    <w:rsid w:val="33FD1199"/>
    <w:rsid w:val="33FE342B"/>
    <w:rsid w:val="345B6845"/>
    <w:rsid w:val="34816C02"/>
    <w:rsid w:val="34B3009A"/>
    <w:rsid w:val="34BA29BC"/>
    <w:rsid w:val="34D5618A"/>
    <w:rsid w:val="34E40EFA"/>
    <w:rsid w:val="35102102"/>
    <w:rsid w:val="354F7757"/>
    <w:rsid w:val="355E5E3D"/>
    <w:rsid w:val="357B3F52"/>
    <w:rsid w:val="358D2DE9"/>
    <w:rsid w:val="359628AD"/>
    <w:rsid w:val="35991025"/>
    <w:rsid w:val="35AB10B8"/>
    <w:rsid w:val="35B52A49"/>
    <w:rsid w:val="35C35642"/>
    <w:rsid w:val="35DD7A00"/>
    <w:rsid w:val="36001A07"/>
    <w:rsid w:val="36023303"/>
    <w:rsid w:val="36036180"/>
    <w:rsid w:val="362F3FF6"/>
    <w:rsid w:val="3631216C"/>
    <w:rsid w:val="36616660"/>
    <w:rsid w:val="368E208E"/>
    <w:rsid w:val="36AD660E"/>
    <w:rsid w:val="36ED0288"/>
    <w:rsid w:val="36ED19B2"/>
    <w:rsid w:val="36EF4C5A"/>
    <w:rsid w:val="36FE2342"/>
    <w:rsid w:val="37023E52"/>
    <w:rsid w:val="3747407D"/>
    <w:rsid w:val="374A0270"/>
    <w:rsid w:val="37572CF9"/>
    <w:rsid w:val="37825432"/>
    <w:rsid w:val="37934D7A"/>
    <w:rsid w:val="37A93BA3"/>
    <w:rsid w:val="37B259A4"/>
    <w:rsid w:val="37C639B6"/>
    <w:rsid w:val="37C649E2"/>
    <w:rsid w:val="37F2223C"/>
    <w:rsid w:val="37FF3397"/>
    <w:rsid w:val="383A4E71"/>
    <w:rsid w:val="383A5815"/>
    <w:rsid w:val="38630B9F"/>
    <w:rsid w:val="38704BC6"/>
    <w:rsid w:val="38AD4A7B"/>
    <w:rsid w:val="38C970E6"/>
    <w:rsid w:val="38EE7A6D"/>
    <w:rsid w:val="38FD296B"/>
    <w:rsid w:val="3908714E"/>
    <w:rsid w:val="39095249"/>
    <w:rsid w:val="390D53D4"/>
    <w:rsid w:val="391213CE"/>
    <w:rsid w:val="391E5675"/>
    <w:rsid w:val="39244DF9"/>
    <w:rsid w:val="394A5E36"/>
    <w:rsid w:val="39762EB3"/>
    <w:rsid w:val="397C5350"/>
    <w:rsid w:val="397C6EAB"/>
    <w:rsid w:val="39D048F8"/>
    <w:rsid w:val="39F04FD9"/>
    <w:rsid w:val="39FA5F4B"/>
    <w:rsid w:val="3A162B2D"/>
    <w:rsid w:val="3A237B6E"/>
    <w:rsid w:val="3A252E60"/>
    <w:rsid w:val="3A2E4EC0"/>
    <w:rsid w:val="3A3B736C"/>
    <w:rsid w:val="3A4A18E0"/>
    <w:rsid w:val="3A511882"/>
    <w:rsid w:val="3A697E07"/>
    <w:rsid w:val="3A6D122F"/>
    <w:rsid w:val="3A852CBE"/>
    <w:rsid w:val="3ACF3954"/>
    <w:rsid w:val="3ADF4F5A"/>
    <w:rsid w:val="3AF175C7"/>
    <w:rsid w:val="3AFC23BC"/>
    <w:rsid w:val="3AFC7734"/>
    <w:rsid w:val="3B0F129A"/>
    <w:rsid w:val="3B105FBD"/>
    <w:rsid w:val="3B142F43"/>
    <w:rsid w:val="3B1A6215"/>
    <w:rsid w:val="3B4101D2"/>
    <w:rsid w:val="3B627A12"/>
    <w:rsid w:val="3B6E161D"/>
    <w:rsid w:val="3B73020E"/>
    <w:rsid w:val="3B837E0A"/>
    <w:rsid w:val="3BA5353D"/>
    <w:rsid w:val="3C05499D"/>
    <w:rsid w:val="3C2B1255"/>
    <w:rsid w:val="3C2E0EAB"/>
    <w:rsid w:val="3C3220B5"/>
    <w:rsid w:val="3C6F0F2C"/>
    <w:rsid w:val="3C745F57"/>
    <w:rsid w:val="3C8A20AD"/>
    <w:rsid w:val="3CF67DCF"/>
    <w:rsid w:val="3D142CBE"/>
    <w:rsid w:val="3D1E705D"/>
    <w:rsid w:val="3D4E0793"/>
    <w:rsid w:val="3D734375"/>
    <w:rsid w:val="3D7C483C"/>
    <w:rsid w:val="3D910EC6"/>
    <w:rsid w:val="3D9C5B0C"/>
    <w:rsid w:val="3DB5509B"/>
    <w:rsid w:val="3DCD48FE"/>
    <w:rsid w:val="3DD80F8E"/>
    <w:rsid w:val="3DDC6569"/>
    <w:rsid w:val="3DE7208D"/>
    <w:rsid w:val="3DF12DA2"/>
    <w:rsid w:val="3DF702AB"/>
    <w:rsid w:val="3E112179"/>
    <w:rsid w:val="3E114DD8"/>
    <w:rsid w:val="3E1E2185"/>
    <w:rsid w:val="3E200940"/>
    <w:rsid w:val="3E2C327C"/>
    <w:rsid w:val="3E36561F"/>
    <w:rsid w:val="3E7B63ED"/>
    <w:rsid w:val="3E7E2AB7"/>
    <w:rsid w:val="3E961564"/>
    <w:rsid w:val="3EF276A6"/>
    <w:rsid w:val="3EF4126A"/>
    <w:rsid w:val="3F1D30FC"/>
    <w:rsid w:val="3F2013C5"/>
    <w:rsid w:val="3F304D8F"/>
    <w:rsid w:val="3F4B1145"/>
    <w:rsid w:val="3F4B4DBD"/>
    <w:rsid w:val="3F5207F8"/>
    <w:rsid w:val="3F8C2D50"/>
    <w:rsid w:val="3F9C1B5E"/>
    <w:rsid w:val="3FA1497F"/>
    <w:rsid w:val="3FBF798E"/>
    <w:rsid w:val="3FCA516E"/>
    <w:rsid w:val="3FEE6A0B"/>
    <w:rsid w:val="40052343"/>
    <w:rsid w:val="400867B7"/>
    <w:rsid w:val="40396F88"/>
    <w:rsid w:val="403C43BE"/>
    <w:rsid w:val="4044614C"/>
    <w:rsid w:val="404C4420"/>
    <w:rsid w:val="405A2288"/>
    <w:rsid w:val="406C31B8"/>
    <w:rsid w:val="4085377C"/>
    <w:rsid w:val="408610AE"/>
    <w:rsid w:val="40995E94"/>
    <w:rsid w:val="409B3195"/>
    <w:rsid w:val="40A26AE9"/>
    <w:rsid w:val="40A51FB4"/>
    <w:rsid w:val="40A57161"/>
    <w:rsid w:val="40AD6A5C"/>
    <w:rsid w:val="40C93CC0"/>
    <w:rsid w:val="40D479EE"/>
    <w:rsid w:val="40E22758"/>
    <w:rsid w:val="41122329"/>
    <w:rsid w:val="41470364"/>
    <w:rsid w:val="41557700"/>
    <w:rsid w:val="415E0DB4"/>
    <w:rsid w:val="41820E36"/>
    <w:rsid w:val="41936C59"/>
    <w:rsid w:val="41950CB2"/>
    <w:rsid w:val="41A80C34"/>
    <w:rsid w:val="41C86EAB"/>
    <w:rsid w:val="41C972DD"/>
    <w:rsid w:val="41D15692"/>
    <w:rsid w:val="41D918D4"/>
    <w:rsid w:val="41DC02CF"/>
    <w:rsid w:val="41DF6DD5"/>
    <w:rsid w:val="41E33C29"/>
    <w:rsid w:val="41F76CD2"/>
    <w:rsid w:val="420D1A76"/>
    <w:rsid w:val="42250F74"/>
    <w:rsid w:val="42616F2A"/>
    <w:rsid w:val="427E332B"/>
    <w:rsid w:val="42C515D8"/>
    <w:rsid w:val="42FD5C6D"/>
    <w:rsid w:val="43117BB6"/>
    <w:rsid w:val="432A53D6"/>
    <w:rsid w:val="4341770F"/>
    <w:rsid w:val="438B1B68"/>
    <w:rsid w:val="438D5DE9"/>
    <w:rsid w:val="43A122A9"/>
    <w:rsid w:val="43D21F63"/>
    <w:rsid w:val="43DF2C04"/>
    <w:rsid w:val="43E35E7D"/>
    <w:rsid w:val="43F861ED"/>
    <w:rsid w:val="43FC6EC9"/>
    <w:rsid w:val="440841A3"/>
    <w:rsid w:val="441D2BF2"/>
    <w:rsid w:val="442770B8"/>
    <w:rsid w:val="44350505"/>
    <w:rsid w:val="44441930"/>
    <w:rsid w:val="444B0BD9"/>
    <w:rsid w:val="445A35BF"/>
    <w:rsid w:val="445E140A"/>
    <w:rsid w:val="447F7FFD"/>
    <w:rsid w:val="44816BD1"/>
    <w:rsid w:val="44A17F16"/>
    <w:rsid w:val="450F68C7"/>
    <w:rsid w:val="45215539"/>
    <w:rsid w:val="4532139D"/>
    <w:rsid w:val="45661D93"/>
    <w:rsid w:val="457713B9"/>
    <w:rsid w:val="4581203B"/>
    <w:rsid w:val="45920C28"/>
    <w:rsid w:val="45E859A1"/>
    <w:rsid w:val="461342BE"/>
    <w:rsid w:val="4615687E"/>
    <w:rsid w:val="46234C2E"/>
    <w:rsid w:val="463B1519"/>
    <w:rsid w:val="46453266"/>
    <w:rsid w:val="465A15D9"/>
    <w:rsid w:val="46666DE9"/>
    <w:rsid w:val="46716B12"/>
    <w:rsid w:val="468E050F"/>
    <w:rsid w:val="469D2F36"/>
    <w:rsid w:val="46A332A2"/>
    <w:rsid w:val="46AE13B3"/>
    <w:rsid w:val="46D83B9A"/>
    <w:rsid w:val="46E64DFB"/>
    <w:rsid w:val="46F96F10"/>
    <w:rsid w:val="47167C9A"/>
    <w:rsid w:val="472E38AE"/>
    <w:rsid w:val="472E597E"/>
    <w:rsid w:val="4730741F"/>
    <w:rsid w:val="47380424"/>
    <w:rsid w:val="477B0F4D"/>
    <w:rsid w:val="478D7A3D"/>
    <w:rsid w:val="47953345"/>
    <w:rsid w:val="47FA40DC"/>
    <w:rsid w:val="480E6AC2"/>
    <w:rsid w:val="48304295"/>
    <w:rsid w:val="4846714D"/>
    <w:rsid w:val="48567D14"/>
    <w:rsid w:val="486A367D"/>
    <w:rsid w:val="4877011B"/>
    <w:rsid w:val="48827D38"/>
    <w:rsid w:val="48876F85"/>
    <w:rsid w:val="48972C83"/>
    <w:rsid w:val="48C24AE4"/>
    <w:rsid w:val="48D85B86"/>
    <w:rsid w:val="49110C6F"/>
    <w:rsid w:val="49223283"/>
    <w:rsid w:val="49267821"/>
    <w:rsid w:val="492A4EED"/>
    <w:rsid w:val="495830AB"/>
    <w:rsid w:val="49681F64"/>
    <w:rsid w:val="49810B5E"/>
    <w:rsid w:val="498147FB"/>
    <w:rsid w:val="49917E83"/>
    <w:rsid w:val="4996685F"/>
    <w:rsid w:val="49D21C9B"/>
    <w:rsid w:val="49FB2287"/>
    <w:rsid w:val="4A091527"/>
    <w:rsid w:val="4A104968"/>
    <w:rsid w:val="4A287965"/>
    <w:rsid w:val="4A357E65"/>
    <w:rsid w:val="4A44613B"/>
    <w:rsid w:val="4A4C6847"/>
    <w:rsid w:val="4A4F7CA5"/>
    <w:rsid w:val="4A693219"/>
    <w:rsid w:val="4A755393"/>
    <w:rsid w:val="4A78554F"/>
    <w:rsid w:val="4AA52C89"/>
    <w:rsid w:val="4AB97F4E"/>
    <w:rsid w:val="4AE17D72"/>
    <w:rsid w:val="4AF07FE8"/>
    <w:rsid w:val="4AFF196A"/>
    <w:rsid w:val="4B083A67"/>
    <w:rsid w:val="4B325360"/>
    <w:rsid w:val="4B3441CC"/>
    <w:rsid w:val="4B3E1DFC"/>
    <w:rsid w:val="4B413742"/>
    <w:rsid w:val="4B5F43AD"/>
    <w:rsid w:val="4B6F528A"/>
    <w:rsid w:val="4B7818BD"/>
    <w:rsid w:val="4BA56B56"/>
    <w:rsid w:val="4BAE16F7"/>
    <w:rsid w:val="4BCF69A6"/>
    <w:rsid w:val="4BDC4B3D"/>
    <w:rsid w:val="4BF47058"/>
    <w:rsid w:val="4C2130DA"/>
    <w:rsid w:val="4C2344CD"/>
    <w:rsid w:val="4C5D203D"/>
    <w:rsid w:val="4C663C67"/>
    <w:rsid w:val="4C802315"/>
    <w:rsid w:val="4C915E13"/>
    <w:rsid w:val="4CAA67E2"/>
    <w:rsid w:val="4CBD0724"/>
    <w:rsid w:val="4CBE39A9"/>
    <w:rsid w:val="4CD51A35"/>
    <w:rsid w:val="4CD92FE1"/>
    <w:rsid w:val="4CE51C49"/>
    <w:rsid w:val="4CEB3472"/>
    <w:rsid w:val="4CF64B93"/>
    <w:rsid w:val="4CF75B6E"/>
    <w:rsid w:val="4D055D8D"/>
    <w:rsid w:val="4D2925C0"/>
    <w:rsid w:val="4D294162"/>
    <w:rsid w:val="4D4C4DB0"/>
    <w:rsid w:val="4D787413"/>
    <w:rsid w:val="4D836959"/>
    <w:rsid w:val="4D993A30"/>
    <w:rsid w:val="4DC10DBB"/>
    <w:rsid w:val="4E290C9E"/>
    <w:rsid w:val="4E374A2B"/>
    <w:rsid w:val="4E3839C4"/>
    <w:rsid w:val="4E4106DC"/>
    <w:rsid w:val="4E54782F"/>
    <w:rsid w:val="4E552DCE"/>
    <w:rsid w:val="4E6C0C46"/>
    <w:rsid w:val="4E72222C"/>
    <w:rsid w:val="4E797EB2"/>
    <w:rsid w:val="4E857CD6"/>
    <w:rsid w:val="4EBE3A8B"/>
    <w:rsid w:val="4EE26D0F"/>
    <w:rsid w:val="4EFA4AB2"/>
    <w:rsid w:val="4F0B4E77"/>
    <w:rsid w:val="4F1371D0"/>
    <w:rsid w:val="4F192446"/>
    <w:rsid w:val="4F2E5CDA"/>
    <w:rsid w:val="4F394A88"/>
    <w:rsid w:val="4F400BE1"/>
    <w:rsid w:val="4F5C3172"/>
    <w:rsid w:val="4F6B59C1"/>
    <w:rsid w:val="4F9176B4"/>
    <w:rsid w:val="4FAD4CDD"/>
    <w:rsid w:val="4FCF0CA1"/>
    <w:rsid w:val="4FCF77D1"/>
    <w:rsid w:val="4FD45505"/>
    <w:rsid w:val="4FE82E8A"/>
    <w:rsid w:val="4FEE03A0"/>
    <w:rsid w:val="50202EFD"/>
    <w:rsid w:val="50502016"/>
    <w:rsid w:val="5056267C"/>
    <w:rsid w:val="506446DC"/>
    <w:rsid w:val="50683E4B"/>
    <w:rsid w:val="50813E8A"/>
    <w:rsid w:val="50AA0D2D"/>
    <w:rsid w:val="50C4053A"/>
    <w:rsid w:val="50F2402A"/>
    <w:rsid w:val="51001057"/>
    <w:rsid w:val="510C2F3B"/>
    <w:rsid w:val="513267BF"/>
    <w:rsid w:val="51405AE3"/>
    <w:rsid w:val="51502B76"/>
    <w:rsid w:val="51557A19"/>
    <w:rsid w:val="515D4878"/>
    <w:rsid w:val="51681E44"/>
    <w:rsid w:val="51A6216B"/>
    <w:rsid w:val="51A87AE8"/>
    <w:rsid w:val="51B7251D"/>
    <w:rsid w:val="51BA5F5E"/>
    <w:rsid w:val="51C16542"/>
    <w:rsid w:val="51CB770F"/>
    <w:rsid w:val="51D5651A"/>
    <w:rsid w:val="51F4101A"/>
    <w:rsid w:val="523F25AB"/>
    <w:rsid w:val="524B414E"/>
    <w:rsid w:val="524E74E9"/>
    <w:rsid w:val="52716C41"/>
    <w:rsid w:val="52B7005D"/>
    <w:rsid w:val="52E72F05"/>
    <w:rsid w:val="53024C3E"/>
    <w:rsid w:val="533953FB"/>
    <w:rsid w:val="5385283B"/>
    <w:rsid w:val="53D07A71"/>
    <w:rsid w:val="53D43E25"/>
    <w:rsid w:val="54094EE9"/>
    <w:rsid w:val="541B6CF0"/>
    <w:rsid w:val="54236112"/>
    <w:rsid w:val="54247E3B"/>
    <w:rsid w:val="54484523"/>
    <w:rsid w:val="54546898"/>
    <w:rsid w:val="546158D1"/>
    <w:rsid w:val="54651199"/>
    <w:rsid w:val="54692BC4"/>
    <w:rsid w:val="546D5E09"/>
    <w:rsid w:val="54704CFB"/>
    <w:rsid w:val="54886B60"/>
    <w:rsid w:val="54B61B71"/>
    <w:rsid w:val="54BC0877"/>
    <w:rsid w:val="54C35710"/>
    <w:rsid w:val="54CB2E92"/>
    <w:rsid w:val="54CD548B"/>
    <w:rsid w:val="54E9435E"/>
    <w:rsid w:val="54EB4BCF"/>
    <w:rsid w:val="54EC29DF"/>
    <w:rsid w:val="54EF68FE"/>
    <w:rsid w:val="54F00BA7"/>
    <w:rsid w:val="54F12697"/>
    <w:rsid w:val="551406AA"/>
    <w:rsid w:val="551638A0"/>
    <w:rsid w:val="551D0E51"/>
    <w:rsid w:val="55296654"/>
    <w:rsid w:val="552E448D"/>
    <w:rsid w:val="55305BC8"/>
    <w:rsid w:val="55674B6E"/>
    <w:rsid w:val="556C05F6"/>
    <w:rsid w:val="55923B56"/>
    <w:rsid w:val="559E7D0D"/>
    <w:rsid w:val="55A5555F"/>
    <w:rsid w:val="55B26BD4"/>
    <w:rsid w:val="55D56134"/>
    <w:rsid w:val="55E80B29"/>
    <w:rsid w:val="55E8471C"/>
    <w:rsid w:val="55E85F68"/>
    <w:rsid w:val="55EA0EF8"/>
    <w:rsid w:val="55FC03DA"/>
    <w:rsid w:val="561036B9"/>
    <w:rsid w:val="56226173"/>
    <w:rsid w:val="565C4991"/>
    <w:rsid w:val="56A2752B"/>
    <w:rsid w:val="56A80673"/>
    <w:rsid w:val="56B41E5D"/>
    <w:rsid w:val="56BD59AE"/>
    <w:rsid w:val="56CC0756"/>
    <w:rsid w:val="56D91502"/>
    <w:rsid w:val="56E16511"/>
    <w:rsid w:val="56ED6BC2"/>
    <w:rsid w:val="56F045AA"/>
    <w:rsid w:val="56F278C9"/>
    <w:rsid w:val="570237C4"/>
    <w:rsid w:val="5704788B"/>
    <w:rsid w:val="57171FDE"/>
    <w:rsid w:val="572F29C8"/>
    <w:rsid w:val="572F764C"/>
    <w:rsid w:val="573B7C04"/>
    <w:rsid w:val="573D2893"/>
    <w:rsid w:val="57674390"/>
    <w:rsid w:val="578117B8"/>
    <w:rsid w:val="57CC3A32"/>
    <w:rsid w:val="57DC39E6"/>
    <w:rsid w:val="57F1262A"/>
    <w:rsid w:val="58227BAE"/>
    <w:rsid w:val="58353271"/>
    <w:rsid w:val="583D4014"/>
    <w:rsid w:val="58403864"/>
    <w:rsid w:val="58484328"/>
    <w:rsid w:val="585266D6"/>
    <w:rsid w:val="5868555E"/>
    <w:rsid w:val="5875165E"/>
    <w:rsid w:val="58AD2CCB"/>
    <w:rsid w:val="58C07D0B"/>
    <w:rsid w:val="58C235D4"/>
    <w:rsid w:val="58CF0732"/>
    <w:rsid w:val="58D949A8"/>
    <w:rsid w:val="58E365EB"/>
    <w:rsid w:val="58EB35FD"/>
    <w:rsid w:val="58F4778D"/>
    <w:rsid w:val="590C5393"/>
    <w:rsid w:val="593E78A6"/>
    <w:rsid w:val="5946114C"/>
    <w:rsid w:val="595A74CD"/>
    <w:rsid w:val="597C5ABB"/>
    <w:rsid w:val="598942B9"/>
    <w:rsid w:val="598A6EBF"/>
    <w:rsid w:val="59A963D0"/>
    <w:rsid w:val="59B434F0"/>
    <w:rsid w:val="59C35211"/>
    <w:rsid w:val="59E642F0"/>
    <w:rsid w:val="59EC7AA7"/>
    <w:rsid w:val="59F06E39"/>
    <w:rsid w:val="59F94175"/>
    <w:rsid w:val="5A330438"/>
    <w:rsid w:val="5A353AC6"/>
    <w:rsid w:val="5A40747F"/>
    <w:rsid w:val="5A70032F"/>
    <w:rsid w:val="5A84355E"/>
    <w:rsid w:val="5A857A39"/>
    <w:rsid w:val="5A885B59"/>
    <w:rsid w:val="5A984F58"/>
    <w:rsid w:val="5AE97A75"/>
    <w:rsid w:val="5AEF78D0"/>
    <w:rsid w:val="5B09314C"/>
    <w:rsid w:val="5B4C1556"/>
    <w:rsid w:val="5B4D575A"/>
    <w:rsid w:val="5B597010"/>
    <w:rsid w:val="5B597A3D"/>
    <w:rsid w:val="5B80459E"/>
    <w:rsid w:val="5B831296"/>
    <w:rsid w:val="5BBB1C95"/>
    <w:rsid w:val="5BC809BC"/>
    <w:rsid w:val="5BD16CCE"/>
    <w:rsid w:val="5C0E65A3"/>
    <w:rsid w:val="5C344E60"/>
    <w:rsid w:val="5C3C6FBB"/>
    <w:rsid w:val="5C4A3C1C"/>
    <w:rsid w:val="5C5638EF"/>
    <w:rsid w:val="5C641E13"/>
    <w:rsid w:val="5C6810A2"/>
    <w:rsid w:val="5C76715C"/>
    <w:rsid w:val="5C834A27"/>
    <w:rsid w:val="5C94334D"/>
    <w:rsid w:val="5CA405B2"/>
    <w:rsid w:val="5CB15DEC"/>
    <w:rsid w:val="5CB32803"/>
    <w:rsid w:val="5CE91915"/>
    <w:rsid w:val="5CEF2089"/>
    <w:rsid w:val="5CF53C35"/>
    <w:rsid w:val="5D097C77"/>
    <w:rsid w:val="5D524D36"/>
    <w:rsid w:val="5D5A0AC8"/>
    <w:rsid w:val="5D8546F0"/>
    <w:rsid w:val="5DAB374E"/>
    <w:rsid w:val="5DB54F31"/>
    <w:rsid w:val="5DE75660"/>
    <w:rsid w:val="5DEC0A49"/>
    <w:rsid w:val="5DFA66F3"/>
    <w:rsid w:val="5E0845EC"/>
    <w:rsid w:val="5E10635F"/>
    <w:rsid w:val="5E3C0FC2"/>
    <w:rsid w:val="5E696675"/>
    <w:rsid w:val="5E8D0855"/>
    <w:rsid w:val="5EA10EAD"/>
    <w:rsid w:val="5EB9543A"/>
    <w:rsid w:val="5F0F1BFD"/>
    <w:rsid w:val="5F1E1BAD"/>
    <w:rsid w:val="5F252FE9"/>
    <w:rsid w:val="5F483C07"/>
    <w:rsid w:val="5F595C38"/>
    <w:rsid w:val="5F5E3D00"/>
    <w:rsid w:val="5F943872"/>
    <w:rsid w:val="5FBE224B"/>
    <w:rsid w:val="5FD2124B"/>
    <w:rsid w:val="5FEE0DD6"/>
    <w:rsid w:val="602407E4"/>
    <w:rsid w:val="60567FC7"/>
    <w:rsid w:val="606B2884"/>
    <w:rsid w:val="60743ED9"/>
    <w:rsid w:val="60776BB9"/>
    <w:rsid w:val="607F504D"/>
    <w:rsid w:val="60C35639"/>
    <w:rsid w:val="60FA05FE"/>
    <w:rsid w:val="60FB355C"/>
    <w:rsid w:val="61076BF5"/>
    <w:rsid w:val="611834CF"/>
    <w:rsid w:val="614067A7"/>
    <w:rsid w:val="6146216C"/>
    <w:rsid w:val="614A4349"/>
    <w:rsid w:val="615D589F"/>
    <w:rsid w:val="61850265"/>
    <w:rsid w:val="618A4C5A"/>
    <w:rsid w:val="61922938"/>
    <w:rsid w:val="61A54D5F"/>
    <w:rsid w:val="61AF3E33"/>
    <w:rsid w:val="61D32DBD"/>
    <w:rsid w:val="620B7069"/>
    <w:rsid w:val="622D319F"/>
    <w:rsid w:val="622F38FE"/>
    <w:rsid w:val="62434C1B"/>
    <w:rsid w:val="624C719A"/>
    <w:rsid w:val="624E782F"/>
    <w:rsid w:val="62516084"/>
    <w:rsid w:val="628A21AA"/>
    <w:rsid w:val="62A66446"/>
    <w:rsid w:val="62BA0C9A"/>
    <w:rsid w:val="62EE15B6"/>
    <w:rsid w:val="62F43682"/>
    <w:rsid w:val="630031E4"/>
    <w:rsid w:val="633249CB"/>
    <w:rsid w:val="63722766"/>
    <w:rsid w:val="637B3545"/>
    <w:rsid w:val="639672AF"/>
    <w:rsid w:val="63A03FD4"/>
    <w:rsid w:val="63AB6FDC"/>
    <w:rsid w:val="63C27722"/>
    <w:rsid w:val="63CE62EA"/>
    <w:rsid w:val="63D6205D"/>
    <w:rsid w:val="63E458EA"/>
    <w:rsid w:val="63F67BCD"/>
    <w:rsid w:val="64006766"/>
    <w:rsid w:val="64391848"/>
    <w:rsid w:val="643F6AE4"/>
    <w:rsid w:val="644F4CF0"/>
    <w:rsid w:val="646316B8"/>
    <w:rsid w:val="649354FB"/>
    <w:rsid w:val="64B47C25"/>
    <w:rsid w:val="64BA7072"/>
    <w:rsid w:val="64C53B00"/>
    <w:rsid w:val="64C76440"/>
    <w:rsid w:val="64C94C79"/>
    <w:rsid w:val="64EC0139"/>
    <w:rsid w:val="64EC711E"/>
    <w:rsid w:val="65006754"/>
    <w:rsid w:val="653723F1"/>
    <w:rsid w:val="653C5436"/>
    <w:rsid w:val="6549537D"/>
    <w:rsid w:val="655E50E0"/>
    <w:rsid w:val="65771372"/>
    <w:rsid w:val="66030D10"/>
    <w:rsid w:val="661A0EDE"/>
    <w:rsid w:val="661B4F86"/>
    <w:rsid w:val="663751D6"/>
    <w:rsid w:val="663E0010"/>
    <w:rsid w:val="66513255"/>
    <w:rsid w:val="66794348"/>
    <w:rsid w:val="667F3678"/>
    <w:rsid w:val="66865C88"/>
    <w:rsid w:val="668C1A8E"/>
    <w:rsid w:val="66AC3F99"/>
    <w:rsid w:val="66BF176B"/>
    <w:rsid w:val="66D32338"/>
    <w:rsid w:val="66D3402B"/>
    <w:rsid w:val="66E23950"/>
    <w:rsid w:val="66EB70B5"/>
    <w:rsid w:val="66FF2477"/>
    <w:rsid w:val="671650B6"/>
    <w:rsid w:val="67292D2C"/>
    <w:rsid w:val="672B624A"/>
    <w:rsid w:val="672C7F53"/>
    <w:rsid w:val="673D312C"/>
    <w:rsid w:val="674E460A"/>
    <w:rsid w:val="6753700F"/>
    <w:rsid w:val="677677F4"/>
    <w:rsid w:val="67945248"/>
    <w:rsid w:val="67A15092"/>
    <w:rsid w:val="67A67468"/>
    <w:rsid w:val="67B46CE0"/>
    <w:rsid w:val="67C85207"/>
    <w:rsid w:val="67ED4F1B"/>
    <w:rsid w:val="68203F8C"/>
    <w:rsid w:val="682A730E"/>
    <w:rsid w:val="682F2006"/>
    <w:rsid w:val="68374742"/>
    <w:rsid w:val="6875409D"/>
    <w:rsid w:val="687E00BB"/>
    <w:rsid w:val="68A2012E"/>
    <w:rsid w:val="68AF29EA"/>
    <w:rsid w:val="68B26B55"/>
    <w:rsid w:val="68E43FFE"/>
    <w:rsid w:val="68E948E2"/>
    <w:rsid w:val="68EC771B"/>
    <w:rsid w:val="68FB0550"/>
    <w:rsid w:val="69036E12"/>
    <w:rsid w:val="692D47A1"/>
    <w:rsid w:val="69527710"/>
    <w:rsid w:val="695814E6"/>
    <w:rsid w:val="69613369"/>
    <w:rsid w:val="696C1DB3"/>
    <w:rsid w:val="69933617"/>
    <w:rsid w:val="699A0326"/>
    <w:rsid w:val="69AF2533"/>
    <w:rsid w:val="69B605DF"/>
    <w:rsid w:val="69BB006C"/>
    <w:rsid w:val="69BF4CDB"/>
    <w:rsid w:val="69CB6496"/>
    <w:rsid w:val="69DB48FF"/>
    <w:rsid w:val="6A146B4B"/>
    <w:rsid w:val="6A180ED9"/>
    <w:rsid w:val="6A2202BD"/>
    <w:rsid w:val="6A28572D"/>
    <w:rsid w:val="6A2D581B"/>
    <w:rsid w:val="6A2F51B8"/>
    <w:rsid w:val="6A312ED2"/>
    <w:rsid w:val="6A5D361A"/>
    <w:rsid w:val="6AAE10AA"/>
    <w:rsid w:val="6ABD1994"/>
    <w:rsid w:val="6ADE2AE0"/>
    <w:rsid w:val="6AE86E66"/>
    <w:rsid w:val="6AE91BDC"/>
    <w:rsid w:val="6AED5AF6"/>
    <w:rsid w:val="6B1168D8"/>
    <w:rsid w:val="6B1810E5"/>
    <w:rsid w:val="6B32512C"/>
    <w:rsid w:val="6B3E6C0E"/>
    <w:rsid w:val="6B413622"/>
    <w:rsid w:val="6B574D78"/>
    <w:rsid w:val="6B756F2F"/>
    <w:rsid w:val="6B7A7FD1"/>
    <w:rsid w:val="6B801406"/>
    <w:rsid w:val="6BA11D8C"/>
    <w:rsid w:val="6BA3613F"/>
    <w:rsid w:val="6BB23088"/>
    <w:rsid w:val="6BB8174B"/>
    <w:rsid w:val="6BC36E66"/>
    <w:rsid w:val="6C05761A"/>
    <w:rsid w:val="6C0C1102"/>
    <w:rsid w:val="6C0E0337"/>
    <w:rsid w:val="6C2C2C65"/>
    <w:rsid w:val="6C321E43"/>
    <w:rsid w:val="6C3417C5"/>
    <w:rsid w:val="6C585FDF"/>
    <w:rsid w:val="6C701B25"/>
    <w:rsid w:val="6CB87E84"/>
    <w:rsid w:val="6CCB7124"/>
    <w:rsid w:val="6CEB442B"/>
    <w:rsid w:val="6D032A86"/>
    <w:rsid w:val="6D1A0D27"/>
    <w:rsid w:val="6D2103B8"/>
    <w:rsid w:val="6D311B32"/>
    <w:rsid w:val="6D3763FF"/>
    <w:rsid w:val="6D597BFC"/>
    <w:rsid w:val="6D8F6A9E"/>
    <w:rsid w:val="6DA24BE5"/>
    <w:rsid w:val="6DAE55D9"/>
    <w:rsid w:val="6DB15B10"/>
    <w:rsid w:val="6DB6267E"/>
    <w:rsid w:val="6DBC34E6"/>
    <w:rsid w:val="6DC94680"/>
    <w:rsid w:val="6DCD7174"/>
    <w:rsid w:val="6DD24AA1"/>
    <w:rsid w:val="6DE02F0F"/>
    <w:rsid w:val="6DF25E32"/>
    <w:rsid w:val="6DF446B0"/>
    <w:rsid w:val="6E0C1B48"/>
    <w:rsid w:val="6E1B3981"/>
    <w:rsid w:val="6E22773B"/>
    <w:rsid w:val="6E261DED"/>
    <w:rsid w:val="6E46508A"/>
    <w:rsid w:val="6E474D10"/>
    <w:rsid w:val="6E512AB2"/>
    <w:rsid w:val="6E840041"/>
    <w:rsid w:val="6E865F1C"/>
    <w:rsid w:val="6EC61D50"/>
    <w:rsid w:val="6EC703CE"/>
    <w:rsid w:val="6ED4520B"/>
    <w:rsid w:val="6EEB29E7"/>
    <w:rsid w:val="6F1B4D42"/>
    <w:rsid w:val="6F282972"/>
    <w:rsid w:val="6F3F46BF"/>
    <w:rsid w:val="6F6406E9"/>
    <w:rsid w:val="6F8062A4"/>
    <w:rsid w:val="6F897C5B"/>
    <w:rsid w:val="6FB425F0"/>
    <w:rsid w:val="6FCC318D"/>
    <w:rsid w:val="6FE04258"/>
    <w:rsid w:val="6FE53D05"/>
    <w:rsid w:val="700D58CE"/>
    <w:rsid w:val="702D6275"/>
    <w:rsid w:val="70491406"/>
    <w:rsid w:val="70585B3C"/>
    <w:rsid w:val="707B6B4D"/>
    <w:rsid w:val="707F0BEF"/>
    <w:rsid w:val="707F2022"/>
    <w:rsid w:val="70893961"/>
    <w:rsid w:val="708D7806"/>
    <w:rsid w:val="708E3A28"/>
    <w:rsid w:val="709E331A"/>
    <w:rsid w:val="70AF08AE"/>
    <w:rsid w:val="70CC5505"/>
    <w:rsid w:val="70D618BD"/>
    <w:rsid w:val="70DB5D5E"/>
    <w:rsid w:val="710858B8"/>
    <w:rsid w:val="71161AAD"/>
    <w:rsid w:val="712C09EB"/>
    <w:rsid w:val="712E5236"/>
    <w:rsid w:val="71392AAE"/>
    <w:rsid w:val="71423220"/>
    <w:rsid w:val="714C4600"/>
    <w:rsid w:val="716225CB"/>
    <w:rsid w:val="716A4293"/>
    <w:rsid w:val="717D7A32"/>
    <w:rsid w:val="7197307A"/>
    <w:rsid w:val="71D95BA3"/>
    <w:rsid w:val="71E475DB"/>
    <w:rsid w:val="71F035C5"/>
    <w:rsid w:val="720C7B78"/>
    <w:rsid w:val="722D2BCA"/>
    <w:rsid w:val="72747432"/>
    <w:rsid w:val="72845286"/>
    <w:rsid w:val="72A23AF3"/>
    <w:rsid w:val="72BB155C"/>
    <w:rsid w:val="72CF34D8"/>
    <w:rsid w:val="72E73CCF"/>
    <w:rsid w:val="73007338"/>
    <w:rsid w:val="7302746A"/>
    <w:rsid w:val="73045EDE"/>
    <w:rsid w:val="73552A73"/>
    <w:rsid w:val="73D460F1"/>
    <w:rsid w:val="73E63529"/>
    <w:rsid w:val="73EC572C"/>
    <w:rsid w:val="73ED73C2"/>
    <w:rsid w:val="73FC517F"/>
    <w:rsid w:val="740265D6"/>
    <w:rsid w:val="74075AF2"/>
    <w:rsid w:val="74280930"/>
    <w:rsid w:val="74340ABB"/>
    <w:rsid w:val="743703E4"/>
    <w:rsid w:val="74376DE8"/>
    <w:rsid w:val="744273BD"/>
    <w:rsid w:val="744310C0"/>
    <w:rsid w:val="7479020F"/>
    <w:rsid w:val="748B559E"/>
    <w:rsid w:val="74971EAE"/>
    <w:rsid w:val="74C75E77"/>
    <w:rsid w:val="74D214A8"/>
    <w:rsid w:val="74D27DA9"/>
    <w:rsid w:val="74F061BD"/>
    <w:rsid w:val="74F7651B"/>
    <w:rsid w:val="74FC429C"/>
    <w:rsid w:val="7521056E"/>
    <w:rsid w:val="754D1955"/>
    <w:rsid w:val="75544D84"/>
    <w:rsid w:val="755C0F77"/>
    <w:rsid w:val="75730D41"/>
    <w:rsid w:val="75884286"/>
    <w:rsid w:val="75A94012"/>
    <w:rsid w:val="75B11FFD"/>
    <w:rsid w:val="75B33BC7"/>
    <w:rsid w:val="75B74B21"/>
    <w:rsid w:val="75C4181B"/>
    <w:rsid w:val="75F670A3"/>
    <w:rsid w:val="75F9513E"/>
    <w:rsid w:val="760128A8"/>
    <w:rsid w:val="762733CF"/>
    <w:rsid w:val="76280784"/>
    <w:rsid w:val="763B6B55"/>
    <w:rsid w:val="763C1173"/>
    <w:rsid w:val="76414755"/>
    <w:rsid w:val="764574E0"/>
    <w:rsid w:val="76486868"/>
    <w:rsid w:val="76786168"/>
    <w:rsid w:val="769B4BA1"/>
    <w:rsid w:val="769C3A4C"/>
    <w:rsid w:val="76A16C4F"/>
    <w:rsid w:val="76A26134"/>
    <w:rsid w:val="76A91E74"/>
    <w:rsid w:val="76B03456"/>
    <w:rsid w:val="76B406B7"/>
    <w:rsid w:val="76C833E3"/>
    <w:rsid w:val="771147F0"/>
    <w:rsid w:val="771451CF"/>
    <w:rsid w:val="772A57C7"/>
    <w:rsid w:val="773731D4"/>
    <w:rsid w:val="77491CD9"/>
    <w:rsid w:val="7766262A"/>
    <w:rsid w:val="777566A6"/>
    <w:rsid w:val="7783749C"/>
    <w:rsid w:val="778A426C"/>
    <w:rsid w:val="7798774F"/>
    <w:rsid w:val="779F0A52"/>
    <w:rsid w:val="77B55009"/>
    <w:rsid w:val="77D65675"/>
    <w:rsid w:val="77DC7F3A"/>
    <w:rsid w:val="77E54A4F"/>
    <w:rsid w:val="786100C4"/>
    <w:rsid w:val="78931CE3"/>
    <w:rsid w:val="7894563F"/>
    <w:rsid w:val="78CA5A45"/>
    <w:rsid w:val="78CE27BB"/>
    <w:rsid w:val="78E62D3A"/>
    <w:rsid w:val="78F0749D"/>
    <w:rsid w:val="78F512C4"/>
    <w:rsid w:val="78F7019C"/>
    <w:rsid w:val="78FB3D4C"/>
    <w:rsid w:val="78FE6033"/>
    <w:rsid w:val="79195A84"/>
    <w:rsid w:val="791B2F7E"/>
    <w:rsid w:val="79256643"/>
    <w:rsid w:val="79295F94"/>
    <w:rsid w:val="79334EF2"/>
    <w:rsid w:val="793555B2"/>
    <w:rsid w:val="79470C9B"/>
    <w:rsid w:val="79752358"/>
    <w:rsid w:val="79E17796"/>
    <w:rsid w:val="7A0809CE"/>
    <w:rsid w:val="7A377D92"/>
    <w:rsid w:val="7A414855"/>
    <w:rsid w:val="7A9D668D"/>
    <w:rsid w:val="7AA90C06"/>
    <w:rsid w:val="7AAC4AE3"/>
    <w:rsid w:val="7ACB13EA"/>
    <w:rsid w:val="7AD202FD"/>
    <w:rsid w:val="7AD23024"/>
    <w:rsid w:val="7AD63C8A"/>
    <w:rsid w:val="7B0010B9"/>
    <w:rsid w:val="7B0D3CA0"/>
    <w:rsid w:val="7B1414BF"/>
    <w:rsid w:val="7B327625"/>
    <w:rsid w:val="7B365F43"/>
    <w:rsid w:val="7B507E96"/>
    <w:rsid w:val="7B5A45B7"/>
    <w:rsid w:val="7B7144AF"/>
    <w:rsid w:val="7B8939F7"/>
    <w:rsid w:val="7B98529F"/>
    <w:rsid w:val="7B9A34DA"/>
    <w:rsid w:val="7B9F5641"/>
    <w:rsid w:val="7BD81680"/>
    <w:rsid w:val="7BE3037F"/>
    <w:rsid w:val="7BF11A70"/>
    <w:rsid w:val="7C0717C1"/>
    <w:rsid w:val="7C29194F"/>
    <w:rsid w:val="7C393AA7"/>
    <w:rsid w:val="7C4B68D6"/>
    <w:rsid w:val="7C77455F"/>
    <w:rsid w:val="7CB76DBB"/>
    <w:rsid w:val="7CD212FE"/>
    <w:rsid w:val="7CF1537C"/>
    <w:rsid w:val="7CF304C7"/>
    <w:rsid w:val="7D0C3DCA"/>
    <w:rsid w:val="7D171D0E"/>
    <w:rsid w:val="7D1C7BB4"/>
    <w:rsid w:val="7D1D521E"/>
    <w:rsid w:val="7D23437D"/>
    <w:rsid w:val="7D2715A7"/>
    <w:rsid w:val="7D364622"/>
    <w:rsid w:val="7D3A6CC4"/>
    <w:rsid w:val="7D5E1F27"/>
    <w:rsid w:val="7D644A3F"/>
    <w:rsid w:val="7D6B06D0"/>
    <w:rsid w:val="7D9276BF"/>
    <w:rsid w:val="7DBF3CDF"/>
    <w:rsid w:val="7DCA281E"/>
    <w:rsid w:val="7DFC3749"/>
    <w:rsid w:val="7E2400D6"/>
    <w:rsid w:val="7E4D7BCE"/>
    <w:rsid w:val="7E78309E"/>
    <w:rsid w:val="7E812281"/>
    <w:rsid w:val="7E820DC7"/>
    <w:rsid w:val="7E8A5863"/>
    <w:rsid w:val="7EBE6DDF"/>
    <w:rsid w:val="7EC03067"/>
    <w:rsid w:val="7EE55731"/>
    <w:rsid w:val="7F172BFE"/>
    <w:rsid w:val="7F423F4E"/>
    <w:rsid w:val="7F6D74CF"/>
    <w:rsid w:val="7F8E483E"/>
    <w:rsid w:val="7FB56A35"/>
    <w:rsid w:val="7FD65F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6"/>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139"/>
    <w:qFormat/>
    <w:uiPriority w:val="0"/>
    <w:pPr>
      <w:keepNext/>
      <w:keepLines/>
      <w:adjustRightInd w:val="0"/>
      <w:spacing w:before="240" w:beforeLines="0" w:line="360" w:lineRule="auto"/>
      <w:jc w:val="center"/>
      <w:textAlignment w:val="baseline"/>
      <w:outlineLvl w:val="1"/>
    </w:pPr>
    <w:rPr>
      <w:rFonts w:ascii="Arial" w:hAnsi="Arial"/>
      <w:b/>
      <w:kern w:val="0"/>
      <w:sz w:val="30"/>
    </w:rPr>
  </w:style>
  <w:style w:type="paragraph" w:styleId="4">
    <w:name w:val="heading 3"/>
    <w:basedOn w:val="1"/>
    <w:next w:val="1"/>
    <w:link w:val="135"/>
    <w:qFormat/>
    <w:uiPriority w:val="0"/>
    <w:pPr>
      <w:keepNext/>
      <w:keepLines/>
      <w:adjustRightInd w:val="0"/>
      <w:spacing w:before="240" w:beforeLines="0" w:after="120" w:afterLines="0" w:line="300" w:lineRule="auto"/>
      <w:jc w:val="left"/>
      <w:textAlignment w:val="baseline"/>
      <w:outlineLvl w:val="2"/>
    </w:pPr>
    <w:rPr>
      <w:b/>
      <w:kern w:val="0"/>
      <w:sz w:val="28"/>
    </w:rPr>
  </w:style>
  <w:style w:type="paragraph" w:styleId="5">
    <w:name w:val="heading 4"/>
    <w:basedOn w:val="1"/>
    <w:next w:val="1"/>
    <w:link w:val="140"/>
    <w:qFormat/>
    <w:uiPriority w:val="0"/>
    <w:pPr>
      <w:widowControl/>
      <w:numPr>
        <w:ilvl w:val="3"/>
        <w:numId w:val="1"/>
      </w:numPr>
      <w:suppressLineNumbers/>
      <w:suppressAutoHyphens/>
      <w:adjustRightInd w:val="0"/>
      <w:snapToGrid w:val="0"/>
      <w:spacing w:beforeLines="50" w:afterLines="50"/>
      <w:ind w:left="0" w:firstLine="284"/>
      <w:outlineLvl w:val="3"/>
    </w:pPr>
    <w:rPr>
      <w:rFonts w:ascii="Times New Roman" w:hAnsi="Times New Roman" w:eastAsia="宋体" w:cs="Times New Roman"/>
      <w:b/>
      <w:szCs w:val="24"/>
    </w:rPr>
  </w:style>
  <w:style w:type="paragraph" w:styleId="6">
    <w:name w:val="heading 5"/>
    <w:basedOn w:val="1"/>
    <w:next w:val="1"/>
    <w:link w:val="14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42">
    <w:name w:val="Default Paragraph Font"/>
    <w:qFormat/>
    <w:uiPriority w:val="0"/>
    <w:rPr>
      <w:rFonts w:ascii="Times New Roman" w:hAnsi="Times New Roman" w:eastAsia="宋体" w:cs="Times New Roman"/>
    </w:rPr>
  </w:style>
  <w:style w:type="table" w:default="1" w:styleId="4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Calibri" w:hAnsi="Calibri" w:eastAsia="宋体" w:cs="Times New Roman"/>
      <w:sz w:val="18"/>
      <w:szCs w:val="18"/>
    </w:rPr>
  </w:style>
  <w:style w:type="paragraph" w:styleId="8">
    <w:name w:val="table of authorities"/>
    <w:basedOn w:val="1"/>
    <w:next w:val="1"/>
    <w:qFormat/>
    <w:uiPriority w:val="0"/>
    <w:pPr>
      <w:spacing w:line="400" w:lineRule="exact"/>
      <w:ind w:left="420" w:leftChars="200" w:firstLine="200" w:firstLineChars="200"/>
      <w:jc w:val="both"/>
    </w:pPr>
    <w:rPr>
      <w:rFonts w:ascii="Calibri" w:hAnsi="Calibri" w:eastAsia="宋体" w:cs="Times New Roman"/>
      <w:kern w:val="2"/>
      <w:szCs w:val="24"/>
    </w:rPr>
  </w:style>
  <w:style w:type="paragraph" w:styleId="9">
    <w:name w:val="Normal Indent"/>
    <w:basedOn w:val="1"/>
    <w:qFormat/>
    <w:uiPriority w:val="0"/>
    <w:pPr>
      <w:ind w:firstLine="420"/>
    </w:pPr>
    <w:rPr>
      <w:rFonts w:ascii="Times New Roman" w:hAnsi="Times New Roman" w:eastAsia="宋体" w:cs="Times New Roman"/>
    </w:rPr>
  </w:style>
  <w:style w:type="paragraph" w:styleId="10">
    <w:name w:val="Document Map"/>
    <w:basedOn w:val="1"/>
    <w:link w:val="128"/>
    <w:qFormat/>
    <w:uiPriority w:val="0"/>
    <w:rPr>
      <w:rFonts w:ascii="宋体" w:hAnsi="宋体"/>
      <w:sz w:val="18"/>
      <w:szCs w:val="18"/>
    </w:rPr>
  </w:style>
  <w:style w:type="paragraph" w:styleId="11">
    <w:name w:val="annotation text"/>
    <w:basedOn w:val="1"/>
    <w:link w:val="138"/>
    <w:qFormat/>
    <w:uiPriority w:val="0"/>
    <w:pPr>
      <w:adjustRightInd w:val="0"/>
      <w:spacing w:line="360" w:lineRule="atLeast"/>
      <w:jc w:val="left"/>
      <w:textAlignment w:val="baseline"/>
    </w:pPr>
    <w:rPr>
      <w:kern w:val="0"/>
      <w:sz w:val="24"/>
    </w:rPr>
  </w:style>
  <w:style w:type="paragraph" w:styleId="12">
    <w:name w:val="Body Text"/>
    <w:basedOn w:val="1"/>
    <w:next w:val="13"/>
    <w:link w:val="131"/>
    <w:qFormat/>
    <w:uiPriority w:val="0"/>
    <w:rPr>
      <w:sz w:val="28"/>
      <w:szCs w:val="20"/>
    </w:rPr>
  </w:style>
  <w:style w:type="paragraph" w:customStyle="1" w:styleId="13">
    <w:name w:val="一级条标题"/>
    <w:basedOn w:val="14"/>
    <w:next w:val="15"/>
    <w:qFormat/>
    <w:uiPriority w:val="0"/>
    <w:pPr>
      <w:spacing w:line="240" w:lineRule="auto"/>
      <w:ind w:left="420"/>
      <w:outlineLvl w:val="2"/>
    </w:pPr>
  </w:style>
  <w:style w:type="paragraph" w:customStyle="1" w:styleId="14">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15">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6">
    <w:name w:val="Body Text Indent"/>
    <w:basedOn w:val="1"/>
    <w:next w:val="17"/>
    <w:link w:val="127"/>
    <w:qFormat/>
    <w:uiPriority w:val="0"/>
    <w:pPr>
      <w:spacing w:after="120"/>
      <w:ind w:left="420" w:leftChars="200"/>
    </w:pPr>
  </w:style>
  <w:style w:type="paragraph" w:styleId="17">
    <w:name w:val="envelope return"/>
    <w:basedOn w:val="1"/>
    <w:qFormat/>
    <w:uiPriority w:val="0"/>
    <w:pPr>
      <w:snapToGrid w:val="0"/>
    </w:pPr>
    <w:rPr>
      <w:rFonts w:ascii="Arial" w:hAnsi="Arial"/>
    </w:rPr>
  </w:style>
  <w:style w:type="paragraph" w:styleId="18">
    <w:name w:val="toc 5"/>
    <w:basedOn w:val="1"/>
    <w:next w:val="1"/>
    <w:qFormat/>
    <w:uiPriority w:val="0"/>
    <w:pPr>
      <w:ind w:left="840"/>
      <w:jc w:val="left"/>
    </w:pPr>
    <w:rPr>
      <w:rFonts w:ascii="Calibri" w:hAnsi="Calibri" w:eastAsia="宋体" w:cs="Times New Roman"/>
      <w:sz w:val="18"/>
      <w:szCs w:val="18"/>
    </w:rPr>
  </w:style>
  <w:style w:type="paragraph" w:styleId="19">
    <w:name w:val="toc 3"/>
    <w:basedOn w:val="1"/>
    <w:next w:val="1"/>
    <w:qFormat/>
    <w:uiPriority w:val="0"/>
    <w:pPr>
      <w:ind w:left="420"/>
      <w:jc w:val="left"/>
    </w:pPr>
    <w:rPr>
      <w:rFonts w:ascii="Calibri" w:hAnsi="Calibri" w:eastAsia="宋体" w:cs="Times New Roman"/>
      <w:i/>
      <w:iCs/>
      <w:sz w:val="20"/>
      <w:szCs w:val="20"/>
    </w:rPr>
  </w:style>
  <w:style w:type="paragraph" w:styleId="20">
    <w:name w:val="Plain Text"/>
    <w:basedOn w:val="1"/>
    <w:link w:val="142"/>
    <w:qFormat/>
    <w:uiPriority w:val="0"/>
    <w:rPr>
      <w:rFonts w:ascii="宋体" w:hAnsi="Courier New"/>
    </w:rPr>
  </w:style>
  <w:style w:type="paragraph" w:styleId="21">
    <w:name w:val="toc 8"/>
    <w:basedOn w:val="1"/>
    <w:next w:val="1"/>
    <w:qFormat/>
    <w:uiPriority w:val="0"/>
    <w:pPr>
      <w:ind w:left="1470"/>
      <w:jc w:val="left"/>
    </w:pPr>
    <w:rPr>
      <w:rFonts w:ascii="Calibri" w:hAnsi="Calibri" w:eastAsia="宋体" w:cs="Times New Roman"/>
      <w:sz w:val="18"/>
      <w:szCs w:val="18"/>
    </w:rPr>
  </w:style>
  <w:style w:type="paragraph" w:styleId="22">
    <w:name w:val="Date"/>
    <w:basedOn w:val="1"/>
    <w:next w:val="1"/>
    <w:link w:val="143"/>
    <w:qFormat/>
    <w:uiPriority w:val="0"/>
  </w:style>
  <w:style w:type="paragraph" w:styleId="23">
    <w:name w:val="Body Text Indent 2"/>
    <w:basedOn w:val="1"/>
    <w:next w:val="12"/>
    <w:qFormat/>
    <w:uiPriority w:val="0"/>
    <w:pPr>
      <w:spacing w:line="480" w:lineRule="auto"/>
      <w:ind w:left="420" w:leftChars="200"/>
    </w:pPr>
    <w:rPr>
      <w:rFonts w:hAnsi="Calibri" w:eastAsia="宋体" w:cs="Times New Roman"/>
      <w:szCs w:val="22"/>
    </w:rPr>
  </w:style>
  <w:style w:type="paragraph" w:styleId="24">
    <w:name w:val="Balloon Text"/>
    <w:basedOn w:val="1"/>
    <w:link w:val="130"/>
    <w:qFormat/>
    <w:uiPriority w:val="0"/>
    <w:rPr>
      <w:rFonts w:ascii="Times New Roman" w:hAnsi="Times New Roman" w:eastAsia="宋体" w:cs="Times New Roman"/>
      <w:sz w:val="18"/>
      <w:szCs w:val="18"/>
    </w:rPr>
  </w:style>
  <w:style w:type="paragraph" w:styleId="25">
    <w:name w:val="footer"/>
    <w:basedOn w:val="1"/>
    <w:link w:val="134"/>
    <w:qFormat/>
    <w:uiPriority w:val="0"/>
    <w:pPr>
      <w:tabs>
        <w:tab w:val="center" w:pos="4153"/>
        <w:tab w:val="right" w:pos="8306"/>
      </w:tabs>
      <w:snapToGrid w:val="0"/>
      <w:jc w:val="left"/>
    </w:pPr>
    <w:rPr>
      <w:sz w:val="18"/>
      <w:szCs w:val="18"/>
    </w:rPr>
  </w:style>
  <w:style w:type="paragraph" w:styleId="26">
    <w:name w:val="header"/>
    <w:basedOn w:val="1"/>
    <w:link w:val="137"/>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120" w:after="120"/>
      <w:jc w:val="left"/>
    </w:pPr>
    <w:rPr>
      <w:rFonts w:ascii="Calibri" w:hAnsi="Calibri" w:eastAsia="宋体" w:cs="Times New Roman"/>
      <w:b/>
      <w:bCs/>
      <w:caps/>
      <w:sz w:val="20"/>
      <w:szCs w:val="20"/>
    </w:rPr>
  </w:style>
  <w:style w:type="paragraph" w:styleId="28">
    <w:name w:val="toc 4"/>
    <w:basedOn w:val="1"/>
    <w:next w:val="1"/>
    <w:qFormat/>
    <w:uiPriority w:val="0"/>
    <w:pPr>
      <w:ind w:left="630"/>
      <w:jc w:val="left"/>
    </w:pPr>
    <w:rPr>
      <w:rFonts w:ascii="Calibri" w:hAnsi="Calibri" w:eastAsia="宋体" w:cs="Times New Roman"/>
      <w:sz w:val="18"/>
      <w:szCs w:val="18"/>
    </w:rPr>
  </w:style>
  <w:style w:type="paragraph" w:styleId="2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qFormat/>
    <w:uiPriority w:val="0"/>
    <w:pPr>
      <w:ind w:left="1050"/>
      <w:jc w:val="left"/>
    </w:pPr>
    <w:rPr>
      <w:rFonts w:ascii="Calibri" w:hAnsi="Calibri" w:eastAsia="宋体" w:cs="Times New Roman"/>
      <w:sz w:val="18"/>
      <w:szCs w:val="18"/>
    </w:rPr>
  </w:style>
  <w:style w:type="paragraph" w:styleId="31">
    <w:name w:val="Body Text Indent 3"/>
    <w:basedOn w:val="1"/>
    <w:link w:val="144"/>
    <w:qFormat/>
    <w:uiPriority w:val="0"/>
    <w:pPr>
      <w:spacing w:after="120" w:afterLines="0"/>
      <w:ind w:left="420" w:leftChars="200"/>
    </w:pPr>
    <w:rPr>
      <w:rFonts w:ascii="Times New Roman" w:hAnsi="Times New Roman" w:eastAsia="宋体" w:cs="Times New Roman"/>
      <w:sz w:val="16"/>
      <w:szCs w:val="16"/>
    </w:rPr>
  </w:style>
  <w:style w:type="paragraph" w:styleId="32">
    <w:name w:val="toc 2"/>
    <w:basedOn w:val="1"/>
    <w:next w:val="1"/>
    <w:qFormat/>
    <w:uiPriority w:val="0"/>
    <w:pPr>
      <w:ind w:left="210"/>
      <w:jc w:val="left"/>
    </w:pPr>
    <w:rPr>
      <w:rFonts w:ascii="Calibri" w:hAnsi="Calibri" w:eastAsia="宋体" w:cs="Times New Roman"/>
      <w:smallCaps/>
      <w:sz w:val="20"/>
      <w:szCs w:val="20"/>
    </w:rPr>
  </w:style>
  <w:style w:type="paragraph" w:styleId="33">
    <w:name w:val="toc 9"/>
    <w:basedOn w:val="1"/>
    <w:next w:val="1"/>
    <w:qFormat/>
    <w:uiPriority w:val="0"/>
    <w:pPr>
      <w:ind w:left="1680"/>
      <w:jc w:val="left"/>
    </w:pPr>
    <w:rPr>
      <w:rFonts w:ascii="Calibri" w:hAnsi="Calibri" w:eastAsia="宋体" w:cs="Times New Roman"/>
      <w:sz w:val="18"/>
      <w:szCs w:val="18"/>
    </w:rPr>
  </w:style>
  <w:style w:type="paragraph" w:styleId="34">
    <w:name w:val="Body Text 2"/>
    <w:basedOn w:val="1"/>
    <w:qFormat/>
    <w:uiPriority w:val="0"/>
    <w:pPr>
      <w:spacing w:after="120" w:line="480" w:lineRule="auto"/>
    </w:pPr>
  </w:style>
  <w:style w:type="paragraph" w:styleId="3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6">
    <w:name w:val="Title"/>
    <w:basedOn w:val="1"/>
    <w:next w:val="1"/>
    <w:link w:val="133"/>
    <w:qFormat/>
    <w:uiPriority w:val="0"/>
    <w:pPr>
      <w:spacing w:before="240" w:beforeLines="0" w:after="60" w:afterLines="0"/>
      <w:jc w:val="center"/>
      <w:outlineLvl w:val="0"/>
    </w:pPr>
    <w:rPr>
      <w:rFonts w:ascii="Cambria" w:hAnsi="Cambria"/>
      <w:b/>
      <w:bCs/>
      <w:sz w:val="32"/>
      <w:szCs w:val="32"/>
    </w:rPr>
  </w:style>
  <w:style w:type="paragraph" w:styleId="37">
    <w:name w:val="annotation subject"/>
    <w:basedOn w:val="11"/>
    <w:next w:val="11"/>
    <w:link w:val="145"/>
    <w:qFormat/>
    <w:uiPriority w:val="0"/>
    <w:pPr>
      <w:adjustRightInd/>
      <w:spacing w:line="240" w:lineRule="auto"/>
      <w:textAlignment w:val="auto"/>
    </w:pPr>
  </w:style>
  <w:style w:type="paragraph" w:styleId="38">
    <w:name w:val="Body Text First Indent"/>
    <w:basedOn w:val="12"/>
    <w:next w:val="39"/>
    <w:qFormat/>
    <w:uiPriority w:val="0"/>
    <w:pPr>
      <w:spacing w:line="240" w:lineRule="auto"/>
      <w:ind w:firstLine="420" w:firstLineChars="100"/>
    </w:pPr>
    <w:rPr>
      <w:rFonts w:ascii="Calibri" w:hAnsi="Calibri"/>
      <w:kern w:val="0"/>
    </w:rPr>
  </w:style>
  <w:style w:type="paragraph" w:styleId="39">
    <w:name w:val="Body Text First Indent 2"/>
    <w:basedOn w:val="16"/>
    <w:next w:val="1"/>
    <w:qFormat/>
    <w:uiPriority w:val="99"/>
    <w:pPr>
      <w:ind w:firstLine="420" w:firstLineChars="200"/>
    </w:pPr>
  </w:style>
  <w:style w:type="table" w:styleId="41">
    <w:name w:val="Table Grid"/>
    <w:basedOn w:val="4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rFonts w:ascii="Times New Roman" w:hAnsi="Times New Roman" w:eastAsia="宋体" w:cs="Times New Roman"/>
      <w:b/>
      <w:bCs/>
    </w:rPr>
  </w:style>
  <w:style w:type="character" w:styleId="44">
    <w:name w:val="page number"/>
    <w:qFormat/>
    <w:uiPriority w:val="0"/>
    <w:rPr>
      <w:rFonts w:ascii="Times New Roman" w:hAnsi="Times New Roman" w:eastAsia="宋体" w:cs="Times New Roman"/>
    </w:rPr>
  </w:style>
  <w:style w:type="character" w:styleId="45">
    <w:name w:val="FollowedHyperlink"/>
    <w:qFormat/>
    <w:uiPriority w:val="0"/>
    <w:rPr>
      <w:rFonts w:ascii="Times New Roman" w:hAnsi="Times New Roman" w:eastAsia="宋体" w:cs="Times New Roman"/>
      <w:color w:val="555555"/>
      <w:u w:val="none"/>
    </w:rPr>
  </w:style>
  <w:style w:type="character" w:styleId="46">
    <w:name w:val="Emphasis"/>
    <w:qFormat/>
    <w:uiPriority w:val="0"/>
    <w:rPr>
      <w:rFonts w:ascii="Times New Roman" w:hAnsi="Times New Roman" w:eastAsia="宋体" w:cs="Times New Roman"/>
    </w:rPr>
  </w:style>
  <w:style w:type="character" w:styleId="47">
    <w:name w:val="HTML Definition"/>
    <w:qFormat/>
    <w:uiPriority w:val="0"/>
    <w:rPr>
      <w:rFonts w:ascii="Times New Roman" w:hAnsi="Times New Roman" w:eastAsia="宋体" w:cs="Times New Roman"/>
    </w:rPr>
  </w:style>
  <w:style w:type="character" w:styleId="48">
    <w:name w:val="HTML Acronym"/>
    <w:qFormat/>
    <w:uiPriority w:val="0"/>
    <w:rPr>
      <w:rFonts w:ascii="Times New Roman" w:hAnsi="Times New Roman" w:eastAsia="宋体" w:cs="Times New Roman"/>
    </w:rPr>
  </w:style>
  <w:style w:type="character" w:styleId="49">
    <w:name w:val="HTML Variable"/>
    <w:qFormat/>
    <w:uiPriority w:val="0"/>
    <w:rPr>
      <w:rFonts w:ascii="Times New Roman" w:hAnsi="Times New Roman" w:eastAsia="宋体" w:cs="Times New Roman"/>
    </w:rPr>
  </w:style>
  <w:style w:type="character" w:styleId="50">
    <w:name w:val="Hyperlink"/>
    <w:qFormat/>
    <w:uiPriority w:val="0"/>
    <w:rPr>
      <w:rFonts w:ascii="Times New Roman" w:hAnsi="Times New Roman" w:eastAsia="宋体" w:cs="Times New Roman"/>
      <w:color w:val="555555"/>
      <w:u w:val="non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rFonts w:ascii="Times New Roman" w:hAnsi="Times New Roman" w:eastAsia="宋体" w:cs="Times New Roman"/>
      <w:sz w:val="21"/>
      <w:szCs w:val="21"/>
    </w:rPr>
  </w:style>
  <w:style w:type="character" w:styleId="53">
    <w:name w:val="HTML Cite"/>
    <w:qFormat/>
    <w:uiPriority w:val="0"/>
    <w:rPr>
      <w:rFonts w:ascii="Times New Roman" w:hAnsi="Times New Roman" w:eastAsia="宋体" w:cs="Times New Roman"/>
    </w:rPr>
  </w:style>
  <w:style w:type="character" w:styleId="54">
    <w:name w:val="footnote reference"/>
    <w:qFormat/>
    <w:uiPriority w:val="0"/>
    <w:rPr>
      <w:rFonts w:ascii="Times New Roman" w:hAnsi="Times New Roman" w:eastAsia="宋体" w:cs="Times New Roman"/>
      <w:vertAlign w:val="superscript"/>
    </w:rPr>
  </w:style>
  <w:style w:type="character" w:styleId="55">
    <w:name w:val="HTML Keyboard"/>
    <w:qFormat/>
    <w:uiPriority w:val="0"/>
    <w:rPr>
      <w:rFonts w:ascii="Courier New" w:hAnsi="Courier New" w:eastAsia="Courier New" w:cs="Courier New"/>
      <w:sz w:val="20"/>
    </w:rPr>
  </w:style>
  <w:style w:type="character" w:styleId="56">
    <w:name w:val="HTML Sample"/>
    <w:qFormat/>
    <w:uiPriority w:val="0"/>
    <w:rPr>
      <w:rFonts w:ascii="Courier New" w:hAnsi="Courier New" w:eastAsia="Courier New" w:cs="Courier New"/>
    </w:rPr>
  </w:style>
  <w:style w:type="character" w:customStyle="1" w:styleId="57">
    <w:name w:val="标题 3 字符"/>
    <w:link w:val="4"/>
    <w:qFormat/>
    <w:uiPriority w:val="0"/>
    <w:rPr>
      <w:rFonts w:ascii="Times New Roman" w:hAnsi="Times New Roman" w:eastAsia="宋体" w:cs="Times New Roman"/>
      <w:b/>
      <w:sz w:val="28"/>
      <w:szCs w:val="24"/>
    </w:rPr>
  </w:style>
  <w:style w:type="paragraph" w:customStyle="1" w:styleId="58">
    <w:name w:val="_Style 2"/>
    <w:basedOn w:val="1"/>
    <w:next w:val="1"/>
    <w:qFormat/>
    <w:uiPriority w:val="0"/>
    <w:pPr>
      <w:ind w:firstLine="420" w:firstLineChars="200"/>
    </w:pPr>
    <w:rPr>
      <w:rFonts w:ascii="Times New Roman" w:hAnsi="Times New Roman" w:eastAsia="宋体" w:cs="Times New Roman"/>
    </w:rPr>
  </w:style>
  <w:style w:type="character" w:customStyle="1" w:styleId="59">
    <w:name w:val="正文文本 字符"/>
    <w:link w:val="12"/>
    <w:qFormat/>
    <w:uiPriority w:val="0"/>
    <w:rPr>
      <w:rFonts w:ascii="Times New Roman" w:hAnsi="Times New Roman" w:eastAsia="宋体" w:cs="Times New Roman"/>
      <w:kern w:val="2"/>
      <w:sz w:val="28"/>
    </w:rPr>
  </w:style>
  <w:style w:type="character" w:customStyle="1" w:styleId="60">
    <w:name w:val="标题 1 字符"/>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宋体" w:cs="Times New Roman"/>
      <w:b/>
      <w:sz w:val="30"/>
      <w:szCs w:val="24"/>
    </w:rPr>
  </w:style>
  <w:style w:type="character" w:customStyle="1" w:styleId="62">
    <w:name w:val="文档结构图 字符"/>
    <w:link w:val="10"/>
    <w:qFormat/>
    <w:uiPriority w:val="0"/>
    <w:rPr>
      <w:rFonts w:ascii="宋体" w:hAnsi="宋体" w:eastAsia="宋体" w:cs="Times New Roman"/>
      <w:kern w:val="2"/>
      <w:sz w:val="18"/>
      <w:szCs w:val="18"/>
    </w:rPr>
  </w:style>
  <w:style w:type="character" w:customStyle="1" w:styleId="63">
    <w:name w:val="批注文字 字符"/>
    <w:link w:val="11"/>
    <w:qFormat/>
    <w:uiPriority w:val="0"/>
    <w:rPr>
      <w:rFonts w:ascii="Times New Roman" w:hAnsi="Times New Roman" w:eastAsia="宋体" w:cs="Times New Roman"/>
      <w:sz w:val="24"/>
      <w:szCs w:val="24"/>
    </w:rPr>
  </w:style>
  <w:style w:type="character" w:customStyle="1" w:styleId="64">
    <w:name w:val="正文文本缩进 字符"/>
    <w:link w:val="16"/>
    <w:qFormat/>
    <w:uiPriority w:val="0"/>
    <w:rPr>
      <w:rFonts w:ascii="Times New Roman" w:hAnsi="Times New Roman" w:eastAsia="宋体" w:cs="Times New Roman"/>
      <w:kern w:val="2"/>
      <w:sz w:val="21"/>
      <w:szCs w:val="24"/>
    </w:rPr>
  </w:style>
  <w:style w:type="character" w:customStyle="1" w:styleId="65">
    <w:name w:val="纯文本 字符"/>
    <w:link w:val="20"/>
    <w:qFormat/>
    <w:uiPriority w:val="0"/>
    <w:rPr>
      <w:rFonts w:ascii="宋体" w:hAnsi="Courier New" w:eastAsia="宋体" w:cs="Times New Roman"/>
      <w:kern w:val="2"/>
      <w:sz w:val="21"/>
      <w:szCs w:val="24"/>
    </w:rPr>
  </w:style>
  <w:style w:type="character" w:customStyle="1" w:styleId="66">
    <w:name w:val="日期 字符"/>
    <w:link w:val="22"/>
    <w:qFormat/>
    <w:uiPriority w:val="0"/>
    <w:rPr>
      <w:rFonts w:ascii="Times New Roman" w:hAnsi="Times New Roman" w:eastAsia="宋体" w:cs="Times New Roman"/>
      <w:kern w:val="2"/>
      <w:sz w:val="21"/>
      <w:szCs w:val="24"/>
      <w:lang w:val="en-US" w:eastAsia="zh-CN" w:bidi="ar-SA"/>
    </w:rPr>
  </w:style>
  <w:style w:type="character" w:customStyle="1" w:styleId="67">
    <w:name w:val="页脚 字符"/>
    <w:link w:val="25"/>
    <w:qFormat/>
    <w:uiPriority w:val="0"/>
    <w:rPr>
      <w:rFonts w:ascii="Times New Roman" w:hAnsi="Times New Roman" w:eastAsia="宋体" w:cs="Times New Roman"/>
      <w:kern w:val="2"/>
      <w:sz w:val="18"/>
      <w:szCs w:val="18"/>
      <w:lang w:val="en-US" w:eastAsia="zh-CN" w:bidi="ar-SA"/>
    </w:rPr>
  </w:style>
  <w:style w:type="character" w:customStyle="1" w:styleId="68">
    <w:name w:val="页眉 字符"/>
    <w:link w:val="26"/>
    <w:qFormat/>
    <w:uiPriority w:val="0"/>
    <w:rPr>
      <w:rFonts w:ascii="Times New Roman" w:hAnsi="Times New Roman" w:eastAsia="宋体" w:cs="Times New Roman"/>
      <w:kern w:val="2"/>
      <w:sz w:val="18"/>
      <w:szCs w:val="18"/>
      <w:lang w:val="en-US" w:eastAsia="zh-CN" w:bidi="ar-SA"/>
    </w:rPr>
  </w:style>
  <w:style w:type="character" w:customStyle="1" w:styleId="69">
    <w:name w:val="标题 字符"/>
    <w:link w:val="36"/>
    <w:qFormat/>
    <w:uiPriority w:val="0"/>
    <w:rPr>
      <w:rFonts w:ascii="Cambria" w:hAnsi="Cambria" w:eastAsia="宋体" w:cs="Times New Roman"/>
      <w:b/>
      <w:bCs/>
      <w:kern w:val="2"/>
      <w:sz w:val="32"/>
      <w:szCs w:val="32"/>
    </w:rPr>
  </w:style>
  <w:style w:type="character" w:customStyle="1" w:styleId="70">
    <w:name w:val="批注主题 字符"/>
    <w:link w:val="37"/>
    <w:qFormat/>
    <w:uiPriority w:val="0"/>
    <w:rPr>
      <w:rFonts w:ascii="Times New Roman" w:hAnsi="Times New Roman" w:eastAsia="宋体" w:cs="Times New Roman"/>
      <w:sz w:val="24"/>
      <w:szCs w:val="24"/>
    </w:rPr>
  </w:style>
  <w:style w:type="character" w:customStyle="1" w:styleId="71">
    <w:name w:val="desc"/>
    <w:qFormat/>
    <w:uiPriority w:val="0"/>
    <w:rPr>
      <w:rFonts w:ascii="Times New Roman" w:hAnsi="Times New Roman" w:eastAsia="宋体" w:cs="Times New Roman"/>
      <w:color w:val="000000"/>
      <w:sz w:val="18"/>
      <w:szCs w:val="18"/>
    </w:rPr>
  </w:style>
  <w:style w:type="character" w:customStyle="1" w:styleId="72">
    <w:name w:val="plus"/>
    <w:qFormat/>
    <w:uiPriority w:val="0"/>
    <w:rPr>
      <w:rFonts w:ascii="Times New Roman" w:hAnsi="Times New Roman" w:eastAsia="宋体" w:cs="Times New Roman"/>
      <w:b/>
      <w:vanish/>
      <w:color w:val="1F8DEF"/>
      <w:sz w:val="24"/>
      <w:szCs w:val="24"/>
    </w:rPr>
  </w:style>
  <w:style w:type="character" w:customStyle="1" w:styleId="73">
    <w:name w:val="font31"/>
    <w:basedOn w:val="42"/>
    <w:qFormat/>
    <w:uiPriority w:val="0"/>
    <w:rPr>
      <w:rFonts w:hint="default" w:ascii="font-weight : 400" w:hAnsi="font-weight : 400" w:eastAsia="font-weight : 400" w:cs="font-weight : 400"/>
      <w:color w:val="000000"/>
      <w:sz w:val="20"/>
      <w:szCs w:val="20"/>
      <w:u w:val="none"/>
    </w:rPr>
  </w:style>
  <w:style w:type="character" w:customStyle="1" w:styleId="74">
    <w:name w:val="font51"/>
    <w:qFormat/>
    <w:uiPriority w:val="0"/>
    <w:rPr>
      <w:rFonts w:ascii="font-weight : 700" w:hAnsi="font-weight : 700" w:eastAsia="font-weight : 700" w:cs="font-weight : 700"/>
      <w:color w:val="000000"/>
      <w:sz w:val="20"/>
      <w:szCs w:val="20"/>
      <w:u w:val="none"/>
    </w:rPr>
  </w:style>
  <w:style w:type="character" w:customStyle="1" w:styleId="75">
    <w:name w:val="lemmatitleh1"/>
    <w:qFormat/>
    <w:uiPriority w:val="0"/>
    <w:rPr>
      <w:rFonts w:ascii="Times New Roman" w:hAnsi="Times New Roman" w:eastAsia="宋体" w:cs="Times New Roman"/>
    </w:rPr>
  </w:style>
  <w:style w:type="character" w:customStyle="1" w:styleId="76">
    <w:name w:val="bds_more3"/>
    <w:qFormat/>
    <w:uiPriority w:val="0"/>
    <w:rPr>
      <w:rFonts w:ascii="Times New Roman" w:hAnsi="Times New Roman" w:eastAsia="宋体" w:cs="Times New Roman"/>
    </w:rPr>
  </w:style>
  <w:style w:type="character" w:customStyle="1" w:styleId="77">
    <w:name w:val="标书正文格式 Char"/>
    <w:link w:val="78"/>
    <w:qFormat/>
    <w:uiPriority w:val="0"/>
    <w:rPr>
      <w:rFonts w:ascii="楷体_GB2312" w:eastAsia="楷体_GB2312"/>
      <w:sz w:val="24"/>
      <w:szCs w:val="24"/>
      <w:lang w:val="en-US" w:eastAsia="zh-CN" w:bidi="ar-SA"/>
    </w:rPr>
  </w:style>
  <w:style w:type="paragraph" w:customStyle="1" w:styleId="78">
    <w:name w:val="标书正文格式"/>
    <w:link w:val="77"/>
    <w:qFormat/>
    <w:uiPriority w:val="0"/>
    <w:pPr>
      <w:spacing w:line="360" w:lineRule="auto"/>
      <w:ind w:firstLine="200" w:firstLineChars="200"/>
    </w:pPr>
    <w:rPr>
      <w:rFonts w:ascii="楷体_GB2312" w:hAnsi="Times New Roman" w:eastAsia="楷体_GB2312" w:cs="Times New Roman"/>
      <w:sz w:val="24"/>
      <w:szCs w:val="24"/>
      <w:lang w:val="en-US" w:eastAsia="zh-CN" w:bidi="ar-SA"/>
    </w:rPr>
  </w:style>
  <w:style w:type="character" w:customStyle="1" w:styleId="79">
    <w:name w:val="无间隔 字符"/>
    <w:link w:val="80"/>
    <w:qFormat/>
    <w:uiPriority w:val="0"/>
    <w:rPr>
      <w:rFonts w:ascii="Calibri" w:hAnsi="Calibri"/>
      <w:sz w:val="22"/>
      <w:szCs w:val="22"/>
      <w:lang w:val="en-US" w:eastAsia="zh-CN" w:bidi="ar-SA"/>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sidecatalog-index2"/>
    <w:qFormat/>
    <w:uiPriority w:val="0"/>
    <w:rPr>
      <w:rFonts w:ascii="Arail" w:hAnsi="Arail" w:eastAsia="Arail" w:cs="Arail"/>
      <w:color w:val="999999"/>
      <w:sz w:val="21"/>
      <w:szCs w:val="21"/>
    </w:rPr>
  </w:style>
  <w:style w:type="character" w:customStyle="1" w:styleId="82">
    <w:name w:val="polysemyred"/>
    <w:qFormat/>
    <w:uiPriority w:val="0"/>
    <w:rPr>
      <w:rFonts w:ascii="Times New Roman" w:hAnsi="Times New Roman" w:eastAsia="宋体" w:cs="Times New Roman"/>
      <w:color w:val="FF6666"/>
      <w:sz w:val="18"/>
      <w:szCs w:val="18"/>
    </w:rPr>
  </w:style>
  <w:style w:type="character" w:customStyle="1" w:styleId="83">
    <w:name w:val="polysemyexp"/>
    <w:qFormat/>
    <w:uiPriority w:val="0"/>
    <w:rPr>
      <w:rFonts w:ascii="Times New Roman" w:hAnsi="Times New Roman" w:eastAsia="宋体" w:cs="Times New Roman"/>
      <w:color w:val="AAAAAA"/>
      <w:sz w:val="18"/>
      <w:szCs w:val="18"/>
    </w:rPr>
  </w:style>
  <w:style w:type="character" w:customStyle="1" w:styleId="84">
    <w:name w:val="bds_nopic1"/>
    <w:qFormat/>
    <w:uiPriority w:val="0"/>
    <w:rPr>
      <w:rFonts w:ascii="Times New Roman" w:hAnsi="Times New Roman" w:eastAsia="宋体" w:cs="Times New Roman"/>
    </w:rPr>
  </w:style>
  <w:style w:type="character" w:customStyle="1" w:styleId="85">
    <w:name w:val="bds_more4"/>
    <w:qFormat/>
    <w:uiPriority w:val="0"/>
    <w:rPr>
      <w:rFonts w:ascii="Times New Roman" w:hAnsi="Times New Roman" w:eastAsia="宋体" w:cs="Times New Roman"/>
    </w:rPr>
  </w:style>
  <w:style w:type="character" w:customStyle="1" w:styleId="86">
    <w:name w:val="morelink-item"/>
    <w:qFormat/>
    <w:uiPriority w:val="0"/>
    <w:rPr>
      <w:rFonts w:ascii="Times New Roman" w:hAnsi="Times New Roman" w:eastAsia="宋体" w:cs="Times New Roman"/>
    </w:rPr>
  </w:style>
  <w:style w:type="character" w:customStyle="1" w:styleId="87">
    <w:name w:val="bds_more"/>
    <w:qFormat/>
    <w:uiPriority w:val="0"/>
    <w:rPr>
      <w:rFonts w:ascii="Times New Roman" w:hAnsi="Times New Roman" w:eastAsia="宋体" w:cs="Times New Roman"/>
    </w:rPr>
  </w:style>
  <w:style w:type="character" w:customStyle="1" w:styleId="88">
    <w:name w:val="bds_nopic"/>
    <w:qFormat/>
    <w:uiPriority w:val="0"/>
    <w:rPr>
      <w:rFonts w:ascii="Times New Roman" w:hAnsi="Times New Roman" w:eastAsia="宋体" w:cs="Times New Roman"/>
    </w:rPr>
  </w:style>
  <w:style w:type="character" w:customStyle="1" w:styleId="89">
    <w:name w:val="sort1"/>
    <w:qFormat/>
    <w:uiPriority w:val="0"/>
    <w:rPr>
      <w:rFonts w:ascii="Times New Roman" w:hAnsi="Times New Roman" w:eastAsia="宋体" w:cs="Times New Roman"/>
    </w:rPr>
  </w:style>
  <w:style w:type="character" w:customStyle="1" w:styleId="90">
    <w:name w:val="fontstyle01"/>
    <w:qFormat/>
    <w:uiPriority w:val="0"/>
    <w:rPr>
      <w:rFonts w:hint="eastAsia" w:ascii="仿宋" w:hAnsi="仿宋" w:eastAsia="仿宋" w:cs="Times New Roman"/>
      <w:color w:val="000000"/>
      <w:sz w:val="32"/>
      <w:szCs w:val="32"/>
    </w:rPr>
  </w:style>
  <w:style w:type="character" w:customStyle="1" w:styleId="91">
    <w:name w:val="font01"/>
    <w:qFormat/>
    <w:uiPriority w:val="0"/>
    <w:rPr>
      <w:rFonts w:hint="default" w:ascii="font-weight : 700" w:hAnsi="font-weight : 700" w:eastAsia="font-weight : 700" w:cs="font-weight : 700"/>
      <w:color w:val="000000"/>
      <w:sz w:val="20"/>
      <w:szCs w:val="20"/>
      <w:u w:val="none"/>
    </w:rPr>
  </w:style>
  <w:style w:type="character" w:customStyle="1" w:styleId="92">
    <w:name w:val="sidecatalog-dot1"/>
    <w:qFormat/>
    <w:uiPriority w:val="0"/>
    <w:rPr>
      <w:rFonts w:ascii="Times New Roman" w:hAnsi="Times New Roman" w:eastAsia="宋体" w:cs="Times New Roman"/>
    </w:rPr>
  </w:style>
  <w:style w:type="character" w:customStyle="1" w:styleId="93">
    <w:name w:val=" Char Char4"/>
    <w:qFormat/>
    <w:uiPriority w:val="0"/>
    <w:rPr>
      <w:rFonts w:ascii="Times New Roman" w:hAnsi="Times New Roman" w:eastAsia="宋体" w:cs="Times New Roman"/>
      <w:kern w:val="2"/>
      <w:sz w:val="18"/>
      <w:szCs w:val="18"/>
      <w:lang w:val="en-US" w:eastAsia="zh-CN" w:bidi="ar-SA"/>
    </w:rPr>
  </w:style>
  <w:style w:type="character" w:customStyle="1" w:styleId="94">
    <w:name w:val="sidecatalog-index1"/>
    <w:qFormat/>
    <w:uiPriority w:val="0"/>
    <w:rPr>
      <w:rFonts w:ascii="Arial" w:hAnsi="Arial" w:eastAsia="宋体" w:cs="Arial"/>
      <w:b/>
      <w:color w:val="999999"/>
      <w:sz w:val="21"/>
      <w:szCs w:val="21"/>
    </w:rPr>
  </w:style>
  <w:style w:type="character" w:customStyle="1" w:styleId="95">
    <w:name w:val="font21"/>
    <w:qFormat/>
    <w:uiPriority w:val="0"/>
    <w:rPr>
      <w:rFonts w:hint="default" w:ascii="font-weight : 400" w:hAnsi="font-weight : 400" w:eastAsia="font-weight : 400" w:cs="font-weight : 400"/>
      <w:color w:val="000000"/>
      <w:sz w:val="20"/>
      <w:szCs w:val="20"/>
      <w:u w:val="none"/>
    </w:rPr>
  </w:style>
  <w:style w:type="character" w:customStyle="1" w:styleId="96">
    <w:name w:val="文档结构图 Char1"/>
    <w:qFormat/>
    <w:uiPriority w:val="0"/>
    <w:rPr>
      <w:rFonts w:ascii="宋体" w:hAnsi="Times New Roman" w:eastAsia="宋体" w:cs="Times New Roman"/>
      <w:kern w:val="2"/>
      <w:sz w:val="18"/>
      <w:szCs w:val="18"/>
    </w:rPr>
  </w:style>
  <w:style w:type="character" w:customStyle="1" w:styleId="97">
    <w:name w:val="sidecatalog-dot"/>
    <w:qFormat/>
    <w:uiPriority w:val="0"/>
    <w:rPr>
      <w:rFonts w:ascii="Times New Roman" w:hAnsi="Times New Roman" w:eastAsia="宋体" w:cs="Times New Roman"/>
    </w:rPr>
  </w:style>
  <w:style w:type="character" w:customStyle="1" w:styleId="98">
    <w:name w:val="纯文本 Char1"/>
    <w:qFormat/>
    <w:uiPriority w:val="0"/>
    <w:rPr>
      <w:rFonts w:ascii="宋体" w:hAnsi="Courier New" w:eastAsia="宋体" w:cs="Times New Roman"/>
      <w:kern w:val="2"/>
      <w:sz w:val="21"/>
    </w:rPr>
  </w:style>
  <w:style w:type="character" w:customStyle="1" w:styleId="99">
    <w:name w:val="bds_nopic2"/>
    <w:qFormat/>
    <w:uiPriority w:val="0"/>
    <w:rPr>
      <w:rFonts w:ascii="Times New Roman" w:hAnsi="Times New Roman" w:eastAsia="宋体" w:cs="Times New Roman"/>
    </w:rPr>
  </w:style>
  <w:style w:type="character" w:customStyle="1" w:styleId="100">
    <w:name w:val="lemmatitleh12"/>
    <w:qFormat/>
    <w:uiPriority w:val="0"/>
    <w:rPr>
      <w:rFonts w:ascii="Times New Roman" w:hAnsi="Times New Roman" w:eastAsia="宋体" w:cs="Times New Roman"/>
    </w:rPr>
  </w:style>
  <w:style w:type="character" w:customStyle="1" w:styleId="101">
    <w:name w:val="bds_more2"/>
    <w:qFormat/>
    <w:uiPriority w:val="0"/>
    <w:rPr>
      <w:rFonts w:ascii="Times New Roman" w:hAnsi="Times New Roman" w:eastAsia="宋体" w:cs="Times New Roman"/>
    </w:rPr>
  </w:style>
  <w:style w:type="character" w:customStyle="1" w:styleId="102">
    <w:name w:val="bds_more1"/>
    <w:qFormat/>
    <w:uiPriority w:val="0"/>
    <w:rPr>
      <w:rFonts w:hint="eastAsia" w:ascii="宋体" w:hAnsi="宋体" w:eastAsia="宋体" w:cs="宋体"/>
    </w:rPr>
  </w:style>
  <w:style w:type="character" w:customStyle="1" w:styleId="103">
    <w:name w:val="th_font1"/>
    <w:qFormat/>
    <w:uiPriority w:val="0"/>
    <w:rPr>
      <w:rFonts w:ascii="Times New Roman" w:hAnsi="Times New Roman" w:eastAsia="宋体" w:cs="Times New Roman"/>
      <w:color w:val="333333"/>
      <w:sz w:val="18"/>
      <w:szCs w:val="18"/>
      <w:u w:val="none"/>
    </w:rPr>
  </w:style>
  <w:style w:type="character" w:customStyle="1" w:styleId="104">
    <w:name w:val="apple-converted-space"/>
    <w:qFormat/>
    <w:uiPriority w:val="0"/>
    <w:rPr>
      <w:rFonts w:ascii="Times New Roman" w:hAnsi="Times New Roman" w:eastAsia="宋体" w:cs="Times New Roman"/>
    </w:rPr>
  </w:style>
  <w:style w:type="character" w:customStyle="1" w:styleId="105">
    <w:name w:val="font41"/>
    <w:qFormat/>
    <w:uiPriority w:val="0"/>
    <w:rPr>
      <w:rFonts w:ascii="font-weight : 400" w:hAnsi="font-weight : 400" w:eastAsia="font-weight : 400" w:cs="font-weight : 400"/>
      <w:color w:val="000000"/>
      <w:sz w:val="20"/>
      <w:szCs w:val="20"/>
      <w:u w:val="none"/>
    </w:rPr>
  </w:style>
  <w:style w:type="character" w:customStyle="1" w:styleId="106">
    <w:name w:val="sort"/>
    <w:qFormat/>
    <w:uiPriority w:val="0"/>
    <w:rPr>
      <w:rFonts w:ascii="Times New Roman" w:hAnsi="Times New Roman" w:eastAsia="宋体" w:cs="Times New Roman"/>
      <w:color w:val="FFFFFF"/>
      <w:bdr w:val="single" w:color="auto" w:sz="24" w:space="0"/>
    </w:rPr>
  </w:style>
  <w:style w:type="paragraph" w:customStyle="1" w:styleId="107">
    <w:name w:val="Char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108">
    <w:name w:val="Table Paragraph"/>
    <w:basedOn w:val="1"/>
    <w:qFormat/>
    <w:uiPriority w:val="0"/>
    <w:pPr>
      <w:autoSpaceDE w:val="0"/>
      <w:autoSpaceDN w:val="0"/>
      <w:jc w:val="left"/>
    </w:pPr>
    <w:rPr>
      <w:rFonts w:hint="eastAsia" w:ascii="宋体" w:hAnsi="宋体"/>
      <w:kern w:val="0"/>
      <w:sz w:val="22"/>
    </w:rPr>
  </w:style>
  <w:style w:type="paragraph" w:customStyle="1" w:styleId="109">
    <w:name w:val="p0"/>
    <w:basedOn w:val="1"/>
    <w:qFormat/>
    <w:uiPriority w:val="0"/>
    <w:pPr>
      <w:widowControl/>
    </w:pPr>
    <w:rPr>
      <w:rFonts w:ascii="Times New Roman" w:hAnsi="Times New Roman" w:eastAsia="宋体" w:cs="Times New Roman"/>
      <w:kern w:val="0"/>
      <w:szCs w:val="20"/>
    </w:rPr>
  </w:style>
  <w:style w:type="paragraph" w:customStyle="1" w:styleId="110">
    <w:name w:val="10 f"/>
    <w:basedOn w:val="1"/>
    <w:qFormat/>
    <w:uiPriority w:val="0"/>
    <w:pPr>
      <w:widowControl/>
      <w:tabs>
        <w:tab w:val="left" w:pos="2835"/>
        <w:tab w:val="left" w:pos="3119"/>
        <w:tab w:val="left" w:pos="3402"/>
        <w:tab w:val="left" w:pos="3686"/>
        <w:tab w:val="left" w:pos="3969"/>
        <w:tab w:val="left" w:pos="4253"/>
      </w:tabs>
      <w:spacing w:after="120" w:afterLines="0"/>
      <w:ind w:left="2552"/>
      <w:jc w:val="left"/>
    </w:pPr>
    <w:rPr>
      <w:rFonts w:ascii="Syntax" w:hAnsi="Syntax" w:eastAsia="宋体" w:cs="Times New Roman"/>
      <w:b/>
      <w:kern w:val="0"/>
      <w:sz w:val="20"/>
      <w:szCs w:val="20"/>
      <w:lang w:val="de-DE" w:eastAsia="de-DE"/>
    </w:rPr>
  </w:style>
  <w:style w:type="paragraph" w:customStyle="1" w:styleId="111">
    <w:name w:val="ASU3000plus正文"/>
    <w:basedOn w:val="1"/>
    <w:next w:val="1"/>
    <w:qFormat/>
    <w:uiPriority w:val="0"/>
    <w:pPr>
      <w:widowControl/>
      <w:spacing w:line="300" w:lineRule="auto"/>
    </w:pPr>
    <w:rPr>
      <w:rFonts w:ascii="Arial" w:hAnsi="Arial" w:eastAsia="宋体" w:cs="Arial"/>
      <w:kern w:val="0"/>
      <w:sz w:val="24"/>
      <w:szCs w:val="20"/>
    </w:rPr>
  </w:style>
  <w:style w:type="paragraph" w:customStyle="1" w:styleId="112">
    <w:name w:val="_Style 102"/>
    <w:basedOn w:val="2"/>
    <w:next w:val="1"/>
    <w:qFormat/>
    <w:uiPriority w:val="0"/>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113">
    <w:name w:val="GP正文(无首行缩进)"/>
    <w:qFormat/>
    <w:uiPriority w:val="0"/>
    <w:pPr>
      <w:widowControl w:val="0"/>
      <w:pBdr>
        <w:top w:val="none" w:color="FFFFFF" w:sz="0" w:space="31"/>
        <w:left w:val="none" w:color="FFFFFF" w:sz="0" w:space="31"/>
        <w:bottom w:val="none" w:color="FFFFFF" w:sz="0" w:space="31"/>
        <w:right w:val="none" w:color="FFFFFF" w:sz="0" w:space="31"/>
      </w:pBdr>
      <w:spacing w:line="360" w:lineRule="auto"/>
      <w:ind w:firstLine="480"/>
    </w:pPr>
    <w:rPr>
      <w:rFonts w:ascii="Times New Roman" w:hAnsi="Times New Roman" w:eastAsia="宋体" w:cs="Times New Roman"/>
      <w:color w:val="000000"/>
      <w:kern w:val="2"/>
      <w:sz w:val="24"/>
      <w:szCs w:val="24"/>
      <w:u w:val="none" w:color="000000"/>
      <w:lang w:val="en-US" w:eastAsia="zh-CN" w:bidi="ar-SA"/>
    </w:rPr>
  </w:style>
  <w:style w:type="paragraph" w:customStyle="1" w:styleId="114">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customStyle="1" w:styleId="115">
    <w:name w:val="GP正文(首行缩进)"/>
    <w:qFormat/>
    <w:uiPriority w:val="0"/>
    <w:pPr>
      <w:widowControl w:val="0"/>
      <w:pBdr>
        <w:top w:val="none" w:color="FFFFFF" w:sz="0" w:space="31"/>
        <w:left w:val="none" w:color="FFFFFF" w:sz="0" w:space="31"/>
        <w:bottom w:val="none" w:color="FFFFFF" w:sz="0" w:space="31"/>
        <w:right w:val="none" w:color="FFFFFF" w:sz="0" w:space="31"/>
      </w:pBdr>
      <w:spacing w:line="360" w:lineRule="auto"/>
      <w:ind w:firstLine="480"/>
    </w:pPr>
    <w:rPr>
      <w:rFonts w:ascii="Times New Roman" w:hAnsi="Times New Roman" w:eastAsia="宋体" w:cs="Times New Roman"/>
      <w:color w:val="000000"/>
      <w:kern w:val="2"/>
      <w:sz w:val="24"/>
      <w:szCs w:val="24"/>
      <w:u w:val="none" w:color="000000"/>
      <w:lang w:val="en-US" w:eastAsia="zh-CN" w:bidi="ar-SA"/>
    </w:rPr>
  </w:style>
  <w:style w:type="paragraph" w:customStyle="1" w:styleId="116">
    <w:name w:val="List Paragraph1"/>
    <w:basedOn w:val="1"/>
    <w:qFormat/>
    <w:uiPriority w:val="0"/>
    <w:pPr>
      <w:ind w:firstLine="420" w:firstLineChars="200"/>
    </w:pPr>
    <w:rPr>
      <w:rFonts w:ascii="Times New Roman" w:hAnsi="Times New Roman" w:eastAsia="宋体" w:cs="Times New Roman"/>
    </w:rPr>
  </w:style>
  <w:style w:type="paragraph" w:customStyle="1" w:styleId="11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rPr>
  </w:style>
  <w:style w:type="paragraph" w:customStyle="1" w:styleId="118">
    <w:name w:val="p17"/>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119">
    <w:name w:val=" Char Char1 Char Char Char Char Char Char Char Char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120">
    <w:name w:val="页眉与页脚"/>
    <w:qFormat/>
    <w:uiPriority w:val="0"/>
    <w:pPr>
      <w:framePr w:wrap="around" w:vAnchor="margin" w:hAnchor="text" w:yAlign="top"/>
      <w:tabs>
        <w:tab w:val="right" w:pos="9020"/>
      </w:tabs>
    </w:pPr>
    <w:rPr>
      <w:rFonts w:ascii="Helvetica Neue" w:hAnsi="Helvetica Neue" w:eastAsia="Arial Unicode MS" w:cs="Arial Unicode MS"/>
      <w:color w:val="000000"/>
      <w:sz w:val="24"/>
      <w:szCs w:val="24"/>
      <w:u w:val="none" w:color="000000"/>
      <w:lang w:val="en-US" w:eastAsia="zh-CN" w:bidi="ar-SA"/>
    </w:rPr>
  </w:style>
  <w:style w:type="paragraph" w:customStyle="1" w:styleId="121">
    <w:name w:val="Normal_22"/>
    <w:qFormat/>
    <w:uiPriority w:val="0"/>
    <w:pPr>
      <w:spacing w:before="120" w:after="240"/>
      <w:jc w:val="both"/>
    </w:pPr>
    <w:rPr>
      <w:rFonts w:ascii="Calibri" w:hAnsi="Calibri" w:eastAsia="Calibri" w:cs="Times New Roman"/>
      <w:sz w:val="22"/>
      <w:szCs w:val="22"/>
      <w:lang w:val="en-US" w:eastAsia="en-US" w:bidi="ar-SA"/>
    </w:rPr>
  </w:style>
  <w:style w:type="paragraph" w:styleId="122">
    <w:name w:val="List Paragraph"/>
    <w:basedOn w:val="1"/>
    <w:qFormat/>
    <w:uiPriority w:val="0"/>
    <w:pPr>
      <w:ind w:firstLine="420" w:firstLineChars="200"/>
    </w:pPr>
    <w:rPr>
      <w:rFonts w:ascii="Times New Roman" w:hAnsi="Times New Roman" w:eastAsia="宋体" w:cs="Times New Roman"/>
    </w:rPr>
  </w:style>
  <w:style w:type="paragraph" w:customStyle="1" w:styleId="123">
    <w:name w:val="列出段落1"/>
    <w:basedOn w:val="1"/>
    <w:qFormat/>
    <w:uiPriority w:val="0"/>
    <w:pPr>
      <w:ind w:firstLine="420" w:firstLineChars="200"/>
    </w:pPr>
    <w:rPr>
      <w:rFonts w:ascii="Calibri" w:hAnsi="Calibri" w:eastAsia="宋体" w:cs="Times New Roman"/>
      <w:szCs w:val="20"/>
    </w:rPr>
  </w:style>
  <w:style w:type="paragraph" w:customStyle="1" w:styleId="124">
    <w:name w:val="Standard o abs"/>
    <w:basedOn w:val="1"/>
    <w:qFormat/>
    <w:uiPriority w:val="0"/>
    <w:pPr>
      <w:widowControl/>
      <w:tabs>
        <w:tab w:val="left" w:pos="2835"/>
        <w:tab w:val="left" w:pos="3119"/>
        <w:tab w:val="left" w:pos="3402"/>
        <w:tab w:val="left" w:pos="3686"/>
        <w:tab w:val="left" w:pos="3969"/>
        <w:tab w:val="left" w:pos="4253"/>
      </w:tabs>
      <w:ind w:left="2552"/>
      <w:jc w:val="left"/>
    </w:pPr>
    <w:rPr>
      <w:rFonts w:ascii="Syntax" w:hAnsi="Syntax" w:eastAsia="宋体" w:cs="Times New Roman"/>
      <w:kern w:val="0"/>
      <w:sz w:val="20"/>
      <w:szCs w:val="20"/>
      <w:lang w:val="de-DE" w:eastAsia="de-DE"/>
    </w:rPr>
  </w:style>
  <w:style w:type="paragraph" w:customStyle="1" w:styleId="1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6">
    <w:name w:val="Normal_18"/>
    <w:qFormat/>
    <w:uiPriority w:val="0"/>
    <w:pPr>
      <w:spacing w:before="120" w:after="240"/>
      <w:jc w:val="both"/>
    </w:pPr>
    <w:rPr>
      <w:rFonts w:ascii="Calibri" w:hAnsi="Calibri" w:eastAsia="Calibri" w:cs="Times New Roman"/>
      <w:sz w:val="22"/>
      <w:szCs w:val="22"/>
      <w:lang w:val="en-US" w:eastAsia="en-US" w:bidi="ar-SA"/>
    </w:rPr>
  </w:style>
  <w:style w:type="character" w:customStyle="1" w:styleId="127">
    <w:name w:val="正文文本缩进 Char"/>
    <w:basedOn w:val="42"/>
    <w:link w:val="16"/>
    <w:qFormat/>
    <w:uiPriority w:val="0"/>
    <w:rPr>
      <w:kern w:val="2"/>
      <w:sz w:val="21"/>
      <w:szCs w:val="24"/>
    </w:rPr>
  </w:style>
  <w:style w:type="character" w:customStyle="1" w:styleId="128">
    <w:name w:val="文档结构图 Char"/>
    <w:basedOn w:val="42"/>
    <w:link w:val="10"/>
    <w:qFormat/>
    <w:uiPriority w:val="0"/>
    <w:rPr>
      <w:kern w:val="2"/>
      <w:sz w:val="21"/>
      <w:szCs w:val="24"/>
      <w:shd w:val="clear" w:fill="000080"/>
    </w:rPr>
  </w:style>
  <w:style w:type="character" w:customStyle="1" w:styleId="129">
    <w:name w:val="tpc_content1"/>
    <w:basedOn w:val="42"/>
    <w:qFormat/>
    <w:uiPriority w:val="0"/>
    <w:rPr>
      <w:sz w:val="20"/>
      <w:szCs w:val="20"/>
    </w:rPr>
  </w:style>
  <w:style w:type="character" w:customStyle="1" w:styleId="130">
    <w:name w:val="批注框文本 Char"/>
    <w:basedOn w:val="42"/>
    <w:link w:val="24"/>
    <w:qFormat/>
    <w:uiPriority w:val="0"/>
    <w:rPr>
      <w:kern w:val="2"/>
      <w:sz w:val="18"/>
      <w:szCs w:val="18"/>
    </w:rPr>
  </w:style>
  <w:style w:type="character" w:customStyle="1" w:styleId="131">
    <w:name w:val="正文文本 Char"/>
    <w:basedOn w:val="42"/>
    <w:link w:val="12"/>
    <w:qFormat/>
    <w:uiPriority w:val="0"/>
    <w:rPr>
      <w:kern w:val="2"/>
      <w:sz w:val="24"/>
      <w:szCs w:val="24"/>
    </w:rPr>
  </w:style>
  <w:style w:type="character" w:customStyle="1" w:styleId="132">
    <w:name w:val="无间隔 Char"/>
    <w:basedOn w:val="42"/>
    <w:qFormat/>
    <w:uiPriority w:val="0"/>
    <w:rPr>
      <w:rFonts w:hint="default" w:ascii="Calibri" w:hAnsi="Calibri" w:cs="Calibri"/>
      <w:sz w:val="22"/>
      <w:szCs w:val="22"/>
    </w:rPr>
  </w:style>
  <w:style w:type="character" w:customStyle="1" w:styleId="133">
    <w:name w:val="标题 Char"/>
    <w:basedOn w:val="42"/>
    <w:link w:val="36"/>
    <w:qFormat/>
    <w:uiPriority w:val="0"/>
    <w:rPr>
      <w:rFonts w:hint="default" w:ascii="Cambria" w:hAnsi="Cambria" w:eastAsia="仿宋_GB2312" w:cs="Cambria"/>
      <w:b/>
      <w:bCs/>
      <w:kern w:val="2"/>
      <w:sz w:val="44"/>
      <w:szCs w:val="32"/>
    </w:rPr>
  </w:style>
  <w:style w:type="character" w:customStyle="1" w:styleId="134">
    <w:name w:val="页脚 Char"/>
    <w:basedOn w:val="42"/>
    <w:link w:val="25"/>
    <w:qFormat/>
    <w:uiPriority w:val="0"/>
    <w:rPr>
      <w:kern w:val="2"/>
      <w:sz w:val="18"/>
      <w:szCs w:val="18"/>
    </w:rPr>
  </w:style>
  <w:style w:type="character" w:customStyle="1" w:styleId="135">
    <w:name w:val="标题 3 Char"/>
    <w:basedOn w:val="42"/>
    <w:link w:val="4"/>
    <w:qFormat/>
    <w:uiPriority w:val="0"/>
    <w:rPr>
      <w:b/>
      <w:bCs/>
      <w:kern w:val="2"/>
      <w:sz w:val="24"/>
      <w:szCs w:val="32"/>
    </w:rPr>
  </w:style>
  <w:style w:type="character" w:customStyle="1" w:styleId="136">
    <w:name w:val="标题 1 Char"/>
    <w:basedOn w:val="42"/>
    <w:link w:val="2"/>
    <w:qFormat/>
    <w:uiPriority w:val="0"/>
    <w:rPr>
      <w:rFonts w:hint="eastAsia" w:ascii="仿宋_GB2312" w:eastAsia="仿宋_GB2312" w:cs="仿宋_GB2312"/>
      <w:b/>
      <w:bCs/>
      <w:kern w:val="44"/>
      <w:sz w:val="32"/>
      <w:szCs w:val="44"/>
    </w:rPr>
  </w:style>
  <w:style w:type="character" w:customStyle="1" w:styleId="137">
    <w:name w:val="页眉 Char"/>
    <w:basedOn w:val="42"/>
    <w:link w:val="26"/>
    <w:qFormat/>
    <w:uiPriority w:val="0"/>
    <w:rPr>
      <w:kern w:val="2"/>
      <w:sz w:val="18"/>
      <w:szCs w:val="18"/>
    </w:rPr>
  </w:style>
  <w:style w:type="character" w:customStyle="1" w:styleId="138">
    <w:name w:val="批注文字 Char"/>
    <w:basedOn w:val="42"/>
    <w:link w:val="11"/>
    <w:qFormat/>
    <w:uiPriority w:val="0"/>
    <w:rPr>
      <w:kern w:val="2"/>
      <w:sz w:val="21"/>
      <w:szCs w:val="24"/>
    </w:rPr>
  </w:style>
  <w:style w:type="character" w:customStyle="1" w:styleId="139">
    <w:name w:val="标题 2 Char"/>
    <w:basedOn w:val="42"/>
    <w:link w:val="3"/>
    <w:qFormat/>
    <w:uiPriority w:val="0"/>
    <w:rPr>
      <w:rFonts w:ascii="Arial" w:hAnsi="Arial" w:eastAsia="仿宋_GB2312" w:cs="Arial"/>
      <w:b/>
      <w:bCs/>
      <w:kern w:val="2"/>
      <w:sz w:val="30"/>
      <w:szCs w:val="32"/>
    </w:rPr>
  </w:style>
  <w:style w:type="character" w:customStyle="1" w:styleId="140">
    <w:name w:val="标题 4 Char"/>
    <w:basedOn w:val="42"/>
    <w:link w:val="5"/>
    <w:qFormat/>
    <w:uiPriority w:val="0"/>
    <w:rPr>
      <w:rFonts w:hint="default" w:ascii="Arial" w:hAnsi="Arial" w:cs="Arial"/>
      <w:b/>
      <w:bCs/>
      <w:kern w:val="2"/>
      <w:sz w:val="21"/>
      <w:szCs w:val="28"/>
    </w:rPr>
  </w:style>
  <w:style w:type="character" w:customStyle="1" w:styleId="141">
    <w:name w:val="标题 5 Char"/>
    <w:basedOn w:val="42"/>
    <w:link w:val="6"/>
    <w:qFormat/>
    <w:uiPriority w:val="0"/>
    <w:rPr>
      <w:b/>
      <w:bCs/>
      <w:kern w:val="2"/>
      <w:sz w:val="28"/>
      <w:szCs w:val="28"/>
    </w:rPr>
  </w:style>
  <w:style w:type="character" w:customStyle="1" w:styleId="142">
    <w:name w:val="纯文本 Char"/>
    <w:basedOn w:val="42"/>
    <w:link w:val="20"/>
    <w:qFormat/>
    <w:uiPriority w:val="0"/>
    <w:rPr>
      <w:rFonts w:hint="eastAsia" w:ascii="宋体" w:hAnsi="Courier New" w:eastAsia="宋体" w:cs="宋体"/>
      <w:kern w:val="2"/>
      <w:sz w:val="21"/>
      <w:szCs w:val="21"/>
    </w:rPr>
  </w:style>
  <w:style w:type="character" w:customStyle="1" w:styleId="143">
    <w:name w:val="日期 Char"/>
    <w:basedOn w:val="42"/>
    <w:link w:val="22"/>
    <w:qFormat/>
    <w:uiPriority w:val="0"/>
    <w:rPr>
      <w:kern w:val="2"/>
      <w:sz w:val="21"/>
      <w:szCs w:val="24"/>
    </w:rPr>
  </w:style>
  <w:style w:type="character" w:customStyle="1" w:styleId="144">
    <w:name w:val="正文文本缩进 3 Char"/>
    <w:basedOn w:val="42"/>
    <w:link w:val="31"/>
    <w:qFormat/>
    <w:uiPriority w:val="0"/>
    <w:rPr>
      <w:kern w:val="2"/>
      <w:sz w:val="16"/>
      <w:szCs w:val="16"/>
    </w:rPr>
  </w:style>
  <w:style w:type="character" w:customStyle="1" w:styleId="145">
    <w:name w:val="批注主题 Char"/>
    <w:basedOn w:val="138"/>
    <w:link w:val="37"/>
    <w:qFormat/>
    <w:uiPriority w:val="0"/>
    <w:rPr>
      <w:b/>
      <w:bCs/>
      <w:kern w:val="2"/>
      <w:sz w:val="21"/>
      <w:szCs w:val="24"/>
    </w:rPr>
  </w:style>
  <w:style w:type="character" w:customStyle="1" w:styleId="146">
    <w:name w:val="日期 Char1"/>
    <w:basedOn w:val="42"/>
    <w:qFormat/>
    <w:uiPriority w:val="0"/>
    <w:rPr>
      <w:kern w:val="2"/>
      <w:sz w:val="21"/>
      <w:szCs w:val="24"/>
    </w:rPr>
  </w:style>
  <w:style w:type="character" w:customStyle="1" w:styleId="147">
    <w:name w:val="page number"/>
    <w:basedOn w:val="42"/>
    <w:qFormat/>
    <w:uiPriority w:val="0"/>
    <w:rPr>
      <w:rFonts w:hint="default" w:ascii="Times New Roman" w:hAnsi="Times New Roman" w:cs="Times New Roman"/>
    </w:rPr>
  </w:style>
  <w:style w:type="character" w:customStyle="1" w:styleId="148">
    <w:name w:val="标题 Char1"/>
    <w:basedOn w:val="42"/>
    <w:qFormat/>
    <w:uiPriority w:val="0"/>
    <w:rPr>
      <w:rFonts w:hint="default" w:ascii="Cambria" w:hAnsi="Cambria" w:eastAsia="Cambria" w:cs="Times New Roman"/>
      <w:b/>
      <w:bCs/>
      <w:kern w:val="2"/>
      <w:sz w:val="32"/>
      <w:szCs w:val="32"/>
    </w:rPr>
  </w:style>
  <w:style w:type="character" w:customStyle="1" w:styleId="149">
    <w:name w:val="font11"/>
    <w:basedOn w:val="42"/>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14957</Words>
  <Characters>15343</Characters>
  <Lines>1194</Lines>
  <Paragraphs>1087</Paragraphs>
  <TotalTime>0</TotalTime>
  <ScaleCrop>false</ScaleCrop>
  <LinksUpToDate>false</LinksUpToDate>
  <CharactersWithSpaces>15458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2020-12-28T02:44:00Z</dcterms:created>
  <dc:creator>招标部</dc:creator>
  <cp:lastModifiedBy>眼泪终点</cp:lastModifiedBy>
  <cp:lastPrinted>2024-09-27T08:29:00Z</cp:lastPrinted>
  <dcterms:modified xsi:type="dcterms:W3CDTF">2025-08-07T11:15:45Z</dcterms:modified>
  <dc:subject>普通货物类</dc:subject>
  <dc:title>金诚国际公开招标文件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4EB6D629B04448FEAF5DD23464FBC903_13</vt:lpwstr>
  </property>
  <property fmtid="{D5CDD505-2E9C-101B-9397-08002B2CF9AE}" pid="4" name="KSOTemplateDocerSaveRecord">
    <vt:lpwstr>eyJoZGlkIjoiM2IzMGFhZTJhN2MwODg3OWY4NmVlYjdiYTRkYmM5Y2UiLCJ1c2VySWQiOiI0MDE4NDU0NjMifQ==</vt:lpwstr>
  </property>
</Properties>
</file>