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32DB5B">
      <w:pPr>
        <w:spacing w:line="560" w:lineRule="exact"/>
        <w:ind w:firstLine="0" w:firstLineChars="0"/>
        <w:rPr>
          <w:rFonts w:hint="eastAsia" w:ascii="黑体" w:hAnsi="黑体" w:eastAsia="黑体" w:cs="黑体"/>
          <w:sz w:val="32"/>
          <w:szCs w:val="32"/>
        </w:rPr>
      </w:pPr>
      <w:r>
        <w:rPr>
          <w:rFonts w:hint="eastAsia" w:ascii="黑体" w:hAnsi="黑体" w:eastAsia="黑体" w:cs="黑体"/>
          <w:sz w:val="32"/>
          <w:szCs w:val="32"/>
        </w:rPr>
        <w:t>附件2</w:t>
      </w:r>
    </w:p>
    <w:p w14:paraId="0B15E816">
      <w:pPr>
        <w:ind w:firstLine="0" w:firstLineChars="0"/>
        <w:jc w:val="center"/>
        <w:rPr>
          <w:rFonts w:hint="eastAsia" w:ascii="方正小标宋简体" w:hAnsi="方正小标宋简体" w:eastAsia="方正小标宋简体" w:cs="方正小标宋简体"/>
          <w:sz w:val="40"/>
          <w:szCs w:val="40"/>
        </w:rPr>
      </w:pPr>
      <w:bookmarkStart w:id="0" w:name="_GoBack"/>
      <w:r>
        <w:rPr>
          <w:rFonts w:hint="eastAsia" w:ascii="方正小标宋简体" w:hAnsi="方正小标宋简体" w:eastAsia="方正小标宋简体" w:cs="方正小标宋简体"/>
          <w:sz w:val="40"/>
          <w:szCs w:val="40"/>
        </w:rPr>
        <w:t>酒泉市公立医院改革与高质量发展示范项目信息化部分市场调研报名表</w:t>
      </w:r>
    </w:p>
    <w:bookmarkEnd w:id="0"/>
    <w:p w14:paraId="6275460B">
      <w:pPr>
        <w:ind w:firstLine="880"/>
        <w:jc w:val="center"/>
        <w:rPr>
          <w:rFonts w:hint="eastAsia" w:ascii="黑体" w:hAnsi="黑体" w:eastAsia="黑体" w:cs="黑体"/>
          <w:sz w:val="44"/>
          <w:szCs w:val="44"/>
        </w:rPr>
      </w:pPr>
    </w:p>
    <w:tbl>
      <w:tblPr>
        <w:tblStyle w:val="3"/>
        <w:tblW w:w="14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5373"/>
        <w:gridCol w:w="1025"/>
        <w:gridCol w:w="1537"/>
        <w:gridCol w:w="1338"/>
        <w:gridCol w:w="3060"/>
      </w:tblGrid>
      <w:tr w14:paraId="00733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696" w:type="dxa"/>
            <w:vAlign w:val="center"/>
          </w:tcPr>
          <w:p w14:paraId="480CFAB9">
            <w:pPr>
              <w:ind w:firstLine="0" w:firstLineChars="0"/>
              <w:jc w:val="center"/>
              <w:rPr>
                <w:rFonts w:hint="eastAsia" w:ascii="仿宋" w:hAnsi="仿宋" w:eastAsia="仿宋" w:cs="仿宋"/>
                <w:b/>
                <w:bCs/>
                <w:sz w:val="24"/>
              </w:rPr>
            </w:pPr>
            <w:r>
              <w:rPr>
                <w:rFonts w:hint="eastAsia" w:ascii="仿宋" w:hAnsi="仿宋" w:eastAsia="仿宋" w:cs="仿宋"/>
                <w:b/>
                <w:bCs/>
                <w:sz w:val="24"/>
              </w:rPr>
              <w:t>公司名称</w:t>
            </w:r>
          </w:p>
        </w:tc>
        <w:tc>
          <w:tcPr>
            <w:tcW w:w="5373" w:type="dxa"/>
            <w:vAlign w:val="center"/>
          </w:tcPr>
          <w:p w14:paraId="34FB662C">
            <w:pPr>
              <w:ind w:firstLine="0" w:firstLineChars="0"/>
              <w:jc w:val="center"/>
              <w:rPr>
                <w:rFonts w:hint="eastAsia" w:ascii="仿宋" w:hAnsi="仿宋" w:eastAsia="仿宋" w:cs="仿宋"/>
                <w:b/>
                <w:bCs/>
                <w:sz w:val="24"/>
              </w:rPr>
            </w:pPr>
          </w:p>
        </w:tc>
        <w:tc>
          <w:tcPr>
            <w:tcW w:w="1025" w:type="dxa"/>
            <w:vAlign w:val="center"/>
          </w:tcPr>
          <w:p w14:paraId="2B8B6D18">
            <w:pPr>
              <w:ind w:firstLine="0" w:firstLineChars="0"/>
              <w:jc w:val="center"/>
              <w:rPr>
                <w:rFonts w:hint="eastAsia" w:ascii="仿宋" w:hAnsi="仿宋" w:eastAsia="仿宋" w:cs="仿宋"/>
                <w:b/>
                <w:bCs/>
                <w:sz w:val="24"/>
              </w:rPr>
            </w:pPr>
            <w:r>
              <w:rPr>
                <w:rFonts w:hint="eastAsia" w:ascii="仿宋" w:hAnsi="仿宋" w:eastAsia="仿宋" w:cs="仿宋"/>
                <w:b/>
                <w:bCs/>
                <w:sz w:val="24"/>
              </w:rPr>
              <w:t>联系人</w:t>
            </w:r>
          </w:p>
        </w:tc>
        <w:tc>
          <w:tcPr>
            <w:tcW w:w="1537" w:type="dxa"/>
            <w:vAlign w:val="center"/>
          </w:tcPr>
          <w:p w14:paraId="1EE4F3A8">
            <w:pPr>
              <w:ind w:firstLine="0" w:firstLineChars="0"/>
              <w:jc w:val="center"/>
              <w:rPr>
                <w:rFonts w:hint="eastAsia" w:ascii="仿宋" w:hAnsi="仿宋" w:eastAsia="仿宋" w:cs="仿宋"/>
                <w:b/>
                <w:bCs/>
                <w:sz w:val="24"/>
              </w:rPr>
            </w:pPr>
          </w:p>
        </w:tc>
        <w:tc>
          <w:tcPr>
            <w:tcW w:w="1338" w:type="dxa"/>
            <w:vAlign w:val="center"/>
          </w:tcPr>
          <w:p w14:paraId="506447E0">
            <w:pPr>
              <w:ind w:firstLine="0" w:firstLineChars="0"/>
              <w:jc w:val="center"/>
              <w:rPr>
                <w:rFonts w:hint="eastAsia" w:ascii="仿宋" w:hAnsi="仿宋" w:eastAsia="仿宋" w:cs="仿宋"/>
                <w:b/>
                <w:bCs/>
                <w:sz w:val="24"/>
              </w:rPr>
            </w:pPr>
            <w:r>
              <w:rPr>
                <w:rFonts w:hint="eastAsia" w:ascii="仿宋" w:hAnsi="仿宋" w:eastAsia="仿宋" w:cs="仿宋"/>
                <w:b/>
                <w:bCs/>
                <w:sz w:val="24"/>
              </w:rPr>
              <w:t>联系方式</w:t>
            </w:r>
          </w:p>
        </w:tc>
        <w:tc>
          <w:tcPr>
            <w:tcW w:w="3060" w:type="dxa"/>
            <w:vAlign w:val="center"/>
          </w:tcPr>
          <w:p w14:paraId="32264008">
            <w:pPr>
              <w:ind w:firstLine="0" w:firstLineChars="0"/>
              <w:jc w:val="center"/>
              <w:rPr>
                <w:rFonts w:hint="eastAsia" w:ascii="仿宋" w:hAnsi="仿宋" w:eastAsia="仿宋" w:cs="仿宋"/>
                <w:b/>
                <w:bCs/>
                <w:sz w:val="24"/>
              </w:rPr>
            </w:pPr>
          </w:p>
        </w:tc>
      </w:tr>
      <w:tr w14:paraId="6004F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3" w:hRule="atLeast"/>
        </w:trPr>
        <w:tc>
          <w:tcPr>
            <w:tcW w:w="1696" w:type="dxa"/>
            <w:vAlign w:val="center"/>
          </w:tcPr>
          <w:p w14:paraId="5FECE8BC">
            <w:pPr>
              <w:ind w:firstLine="0" w:firstLineChars="0"/>
              <w:jc w:val="center"/>
              <w:rPr>
                <w:rFonts w:hint="eastAsia" w:ascii="仿宋" w:hAnsi="仿宋" w:eastAsia="仿宋" w:cs="仿宋"/>
                <w:b/>
                <w:bCs/>
                <w:sz w:val="24"/>
              </w:rPr>
            </w:pPr>
            <w:r>
              <w:rPr>
                <w:rFonts w:hint="eastAsia" w:ascii="仿宋" w:hAnsi="仿宋" w:eastAsia="仿宋" w:cs="仿宋"/>
                <w:b/>
                <w:bCs/>
                <w:sz w:val="24"/>
              </w:rPr>
              <w:t>公司简介</w:t>
            </w:r>
          </w:p>
        </w:tc>
        <w:tc>
          <w:tcPr>
            <w:tcW w:w="12333" w:type="dxa"/>
            <w:gridSpan w:val="5"/>
          </w:tcPr>
          <w:p w14:paraId="1EA94D3E">
            <w:pPr>
              <w:ind w:firstLine="480"/>
              <w:rPr>
                <w:rFonts w:hint="eastAsia" w:ascii="仿宋" w:hAnsi="仿宋" w:eastAsia="仿宋" w:cs="仿宋"/>
                <w:sz w:val="24"/>
              </w:rPr>
            </w:pPr>
            <w:r>
              <w:rPr>
                <w:rFonts w:hint="eastAsia" w:ascii="仿宋" w:hAnsi="仿宋" w:eastAsia="仿宋" w:cs="仿宋"/>
                <w:color w:val="FF0000"/>
                <w:sz w:val="24"/>
              </w:rPr>
              <w:t>不超过300字</w:t>
            </w:r>
          </w:p>
        </w:tc>
      </w:tr>
      <w:tr w14:paraId="259A9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8" w:hRule="atLeast"/>
        </w:trPr>
        <w:tc>
          <w:tcPr>
            <w:tcW w:w="1696" w:type="dxa"/>
            <w:vAlign w:val="center"/>
          </w:tcPr>
          <w:p w14:paraId="38FA92E1">
            <w:pPr>
              <w:ind w:firstLine="0" w:firstLineChars="0"/>
              <w:jc w:val="center"/>
              <w:rPr>
                <w:rFonts w:hint="eastAsia" w:ascii="仿宋" w:hAnsi="仿宋" w:eastAsia="仿宋" w:cs="仿宋"/>
                <w:b/>
                <w:bCs/>
                <w:sz w:val="24"/>
              </w:rPr>
            </w:pPr>
            <w:r>
              <w:rPr>
                <w:rFonts w:hint="eastAsia" w:ascii="仿宋" w:hAnsi="仿宋" w:eastAsia="仿宋" w:cs="仿宋"/>
                <w:b/>
                <w:bCs/>
                <w:sz w:val="24"/>
              </w:rPr>
              <w:t>自研产品</w:t>
            </w:r>
          </w:p>
          <w:p w14:paraId="7FE1A11E">
            <w:pPr>
              <w:ind w:firstLine="0" w:firstLineChars="0"/>
              <w:jc w:val="center"/>
              <w:rPr>
                <w:rFonts w:hint="eastAsia" w:ascii="仿宋" w:hAnsi="仿宋" w:eastAsia="仿宋" w:cs="仿宋"/>
                <w:b/>
                <w:bCs/>
                <w:sz w:val="24"/>
              </w:rPr>
            </w:pPr>
            <w:r>
              <w:rPr>
                <w:rFonts w:hint="eastAsia" w:ascii="仿宋" w:hAnsi="仿宋" w:eastAsia="仿宋" w:cs="仿宋"/>
                <w:b/>
                <w:bCs/>
                <w:sz w:val="24"/>
              </w:rPr>
              <w:t>（解决方案）简介</w:t>
            </w:r>
          </w:p>
        </w:tc>
        <w:tc>
          <w:tcPr>
            <w:tcW w:w="12333" w:type="dxa"/>
            <w:gridSpan w:val="5"/>
          </w:tcPr>
          <w:p w14:paraId="0DEF04DF">
            <w:pPr>
              <w:ind w:firstLine="480"/>
              <w:rPr>
                <w:rFonts w:hint="eastAsia" w:ascii="仿宋" w:hAnsi="仿宋" w:eastAsia="仿宋" w:cs="仿宋"/>
                <w:b/>
                <w:bCs/>
                <w:sz w:val="24"/>
              </w:rPr>
            </w:pPr>
            <w:r>
              <w:rPr>
                <w:rFonts w:hint="eastAsia" w:ascii="仿宋" w:hAnsi="仿宋" w:eastAsia="仿宋" w:cs="仿宋"/>
                <w:color w:val="FF0000"/>
                <w:sz w:val="24"/>
              </w:rPr>
              <w:t>不超过500字</w:t>
            </w:r>
          </w:p>
        </w:tc>
      </w:tr>
      <w:tr w14:paraId="4027F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7" w:hRule="atLeast"/>
        </w:trPr>
        <w:tc>
          <w:tcPr>
            <w:tcW w:w="1696" w:type="dxa"/>
            <w:vAlign w:val="center"/>
          </w:tcPr>
          <w:p w14:paraId="362C147F">
            <w:pPr>
              <w:ind w:firstLine="0" w:firstLineChars="0"/>
              <w:jc w:val="center"/>
              <w:rPr>
                <w:rFonts w:hint="eastAsia" w:ascii="仿宋" w:hAnsi="仿宋" w:eastAsia="仿宋" w:cs="仿宋"/>
                <w:b/>
                <w:bCs/>
                <w:sz w:val="24"/>
              </w:rPr>
            </w:pPr>
            <w:r>
              <w:rPr>
                <w:rFonts w:hint="eastAsia" w:ascii="仿宋" w:hAnsi="仿宋" w:eastAsia="仿宋" w:cs="仿宋"/>
                <w:b/>
                <w:bCs/>
                <w:sz w:val="24"/>
              </w:rPr>
              <w:t>自研产品</w:t>
            </w:r>
          </w:p>
          <w:p w14:paraId="541B1FD5">
            <w:pPr>
              <w:ind w:firstLine="0" w:firstLineChars="0"/>
              <w:jc w:val="center"/>
              <w:rPr>
                <w:rFonts w:hint="eastAsia" w:ascii="仿宋" w:hAnsi="仿宋" w:eastAsia="仿宋" w:cs="仿宋"/>
                <w:b/>
                <w:bCs/>
                <w:sz w:val="24"/>
              </w:rPr>
            </w:pPr>
            <w:r>
              <w:rPr>
                <w:rFonts w:hint="eastAsia" w:ascii="仿宋" w:hAnsi="仿宋" w:eastAsia="仿宋" w:cs="仿宋"/>
                <w:b/>
                <w:bCs/>
                <w:sz w:val="24"/>
              </w:rPr>
              <w:t>（解决方案）类别</w:t>
            </w:r>
          </w:p>
          <w:p w14:paraId="2FA10419">
            <w:pPr>
              <w:ind w:firstLine="0" w:firstLineChars="0"/>
              <w:jc w:val="center"/>
              <w:rPr>
                <w:rFonts w:hint="eastAsia" w:ascii="仿宋" w:hAnsi="仿宋" w:eastAsia="仿宋" w:cs="仿宋"/>
                <w:b/>
                <w:bCs/>
                <w:sz w:val="24"/>
              </w:rPr>
            </w:pPr>
            <w:r>
              <w:rPr>
                <w:rFonts w:hint="eastAsia" w:ascii="仿宋" w:hAnsi="仿宋" w:eastAsia="仿宋" w:cs="仿宋"/>
                <w:b/>
                <w:bCs/>
                <w:color w:val="FF0000"/>
                <w:sz w:val="24"/>
              </w:rPr>
              <w:t>（可多选）</w:t>
            </w:r>
          </w:p>
        </w:tc>
        <w:tc>
          <w:tcPr>
            <w:tcW w:w="12333" w:type="dxa"/>
            <w:gridSpan w:val="5"/>
          </w:tcPr>
          <w:p w14:paraId="4F270521">
            <w:pPr>
              <w:spacing w:line="240" w:lineRule="auto"/>
              <w:ind w:firstLine="0" w:firstLineChars="0"/>
              <w:rPr>
                <w:rFonts w:hint="eastAsia" w:ascii="仿宋" w:hAnsi="仿宋" w:eastAsia="仿宋" w:cs="仿宋"/>
                <w:sz w:val="24"/>
              </w:rPr>
            </w:pPr>
            <w:r>
              <w:rPr>
                <w:rFonts w:hint="eastAsia" w:ascii="仿宋" w:hAnsi="仿宋" w:eastAsia="仿宋" w:cs="仿宋"/>
                <w:b/>
                <w:bCs/>
                <w:sz w:val="24"/>
              </w:rPr>
              <w:t>基础设施类：（</w:t>
            </w:r>
            <w:r>
              <w:rPr>
                <w:rFonts w:hint="eastAsia" w:ascii="仿宋" w:hAnsi="仿宋" w:eastAsia="仿宋" w:cs="仿宋"/>
                <w:sz w:val="24"/>
              </w:rPr>
              <w:t>云）计算□（云）存储□网络□信息安全□国产替代□密评密改□灾备□；</w:t>
            </w:r>
          </w:p>
          <w:p w14:paraId="26FC98DC">
            <w:pPr>
              <w:spacing w:line="240" w:lineRule="auto"/>
              <w:ind w:firstLine="0" w:firstLineChars="0"/>
              <w:rPr>
                <w:rFonts w:hint="eastAsia" w:ascii="仿宋" w:hAnsi="仿宋" w:eastAsia="仿宋" w:cs="仿宋"/>
                <w:sz w:val="24"/>
              </w:rPr>
            </w:pPr>
            <w:r>
              <w:rPr>
                <w:rFonts w:hint="eastAsia" w:ascii="仿宋" w:hAnsi="仿宋" w:eastAsia="仿宋" w:cs="仿宋"/>
                <w:b/>
                <w:bCs/>
                <w:sz w:val="24"/>
              </w:rPr>
              <w:t>数据类（含服务）</w:t>
            </w:r>
            <w:r>
              <w:rPr>
                <w:rFonts w:hint="eastAsia" w:ascii="仿宋" w:hAnsi="仿宋" w:eastAsia="仿宋" w:cs="仿宋"/>
                <w:sz w:val="24"/>
              </w:rPr>
              <w:t>：健康大数据平台□数据治理□数据中台□AI中台□数据标准建设□；</w:t>
            </w:r>
          </w:p>
          <w:p w14:paraId="4380E98B">
            <w:pPr>
              <w:spacing w:line="240" w:lineRule="auto"/>
              <w:ind w:left="1687" w:hanging="1687" w:hangingChars="700"/>
              <w:rPr>
                <w:rFonts w:hint="eastAsia" w:ascii="仿宋" w:hAnsi="仿宋" w:eastAsia="仿宋" w:cs="仿宋"/>
                <w:sz w:val="24"/>
              </w:rPr>
            </w:pPr>
            <w:r>
              <w:rPr>
                <w:rFonts w:hint="eastAsia" w:ascii="仿宋" w:hAnsi="仿宋" w:eastAsia="仿宋" w:cs="仿宋"/>
                <w:b/>
                <w:bCs/>
                <w:sz w:val="24"/>
              </w:rPr>
              <w:t>区域平台应用</w:t>
            </w:r>
            <w:r>
              <w:rPr>
                <w:rFonts w:hint="eastAsia" w:ascii="仿宋" w:hAnsi="仿宋" w:eastAsia="仿宋" w:cs="仿宋"/>
                <w:sz w:val="24"/>
              </w:rPr>
              <w:t>：医护调度中心□药物配送中心□检查检验中心□审方中心□远程会诊中心□患者服务中心□双向转诊□多学科会诊系统(MDT)□肿瘤防治□慢病管理□微创介入□基层公共卫生□</w:t>
            </w:r>
          </w:p>
          <w:p w14:paraId="438C471F">
            <w:pPr>
              <w:spacing w:line="240" w:lineRule="auto"/>
              <w:ind w:left="1529" w:leftChars="546" w:firstLine="0" w:firstLineChars="0"/>
              <w:rPr>
                <w:rFonts w:hint="eastAsia" w:ascii="仿宋" w:hAnsi="仿宋" w:eastAsia="仿宋" w:cs="仿宋"/>
                <w:sz w:val="24"/>
              </w:rPr>
            </w:pPr>
            <w:r>
              <w:rPr>
                <w:rFonts w:hint="eastAsia" w:ascii="仿宋" w:hAnsi="仿宋" w:eastAsia="仿宋" w:cs="仿宋"/>
                <w:sz w:val="24"/>
              </w:rPr>
              <w:t>医政业务监管□全生命周期健康服务</w:t>
            </w:r>
            <w:r>
              <w:rPr>
                <w:rFonts w:hint="eastAsia" w:ascii="仿宋" w:hAnsi="仿宋" w:eastAsia="仿宋" w:cs="仿宋"/>
                <w:sz w:val="24"/>
              </w:rPr>
              <w:sym w:font="Wingdings 2" w:char="00A3"/>
            </w:r>
            <w:r>
              <w:rPr>
                <w:rFonts w:hint="eastAsia" w:ascii="仿宋" w:hAnsi="仿宋" w:eastAsia="仿宋" w:cs="仿宋"/>
                <w:sz w:val="24"/>
              </w:rPr>
              <w:t>；</w:t>
            </w:r>
          </w:p>
          <w:p w14:paraId="779150FE">
            <w:pPr>
              <w:spacing w:line="240" w:lineRule="auto"/>
              <w:ind w:firstLine="0" w:firstLineChars="0"/>
              <w:rPr>
                <w:rFonts w:hint="eastAsia" w:ascii="仿宋" w:hAnsi="仿宋" w:eastAsia="仿宋" w:cs="仿宋"/>
                <w:sz w:val="24"/>
              </w:rPr>
            </w:pPr>
            <w:r>
              <w:rPr>
                <w:rFonts w:hint="eastAsia" w:ascii="仿宋" w:hAnsi="仿宋" w:eastAsia="仿宋" w:cs="仿宋"/>
                <w:b/>
                <w:bCs/>
                <w:sz w:val="24"/>
              </w:rPr>
              <w:t>医院信息平台</w:t>
            </w:r>
            <w:r>
              <w:rPr>
                <w:rFonts w:hint="eastAsia" w:ascii="仿宋" w:hAnsi="仿宋" w:eastAsia="仿宋" w:cs="仿宋"/>
                <w:sz w:val="24"/>
              </w:rPr>
              <w:t>：集成平台应用（含医共体）□运营数据中心（ODR）□临床数据中心（CDR）□专病数据中心□科研平台□；</w:t>
            </w:r>
          </w:p>
          <w:p w14:paraId="1CDD0D39">
            <w:pPr>
              <w:spacing w:line="240" w:lineRule="auto"/>
              <w:ind w:firstLine="0" w:firstLineChars="0"/>
              <w:rPr>
                <w:rFonts w:hint="eastAsia" w:ascii="仿宋" w:hAnsi="仿宋" w:eastAsia="仿宋" w:cs="仿宋"/>
                <w:sz w:val="24"/>
              </w:rPr>
            </w:pPr>
            <w:r>
              <w:rPr>
                <w:rFonts w:hint="eastAsia" w:ascii="仿宋" w:hAnsi="仿宋" w:eastAsia="仿宋" w:cs="仿宋"/>
                <w:b/>
                <w:bCs/>
                <w:sz w:val="24"/>
              </w:rPr>
              <w:t>医院基础信息化</w:t>
            </w:r>
            <w:r>
              <w:rPr>
                <w:rFonts w:hint="eastAsia" w:ascii="仿宋" w:hAnsi="仿宋" w:eastAsia="仿宋" w:cs="仿宋"/>
                <w:sz w:val="24"/>
              </w:rPr>
              <w:t>：HIS□EMR□LIS□RIS□PACS□病理□手麻□重症□急诊专病□移动医护□；</w:t>
            </w:r>
          </w:p>
          <w:p w14:paraId="6750FB60">
            <w:pPr>
              <w:spacing w:line="240" w:lineRule="auto"/>
              <w:ind w:firstLine="0" w:firstLineChars="0"/>
              <w:rPr>
                <w:rFonts w:hint="eastAsia" w:ascii="仿宋" w:hAnsi="仿宋" w:eastAsia="仿宋" w:cs="仿宋"/>
                <w:sz w:val="24"/>
              </w:rPr>
            </w:pPr>
            <w:r>
              <w:rPr>
                <w:rFonts w:hint="eastAsia" w:ascii="仿宋" w:hAnsi="仿宋" w:eastAsia="仿宋" w:cs="仿宋"/>
                <w:b/>
                <w:bCs/>
                <w:sz w:val="24"/>
              </w:rPr>
              <w:t>医院监管类应用</w:t>
            </w:r>
            <w:r>
              <w:rPr>
                <w:rFonts w:hint="eastAsia" w:ascii="仿宋" w:hAnsi="仿宋" w:eastAsia="仿宋" w:cs="仿宋"/>
                <w:sz w:val="24"/>
              </w:rPr>
              <w:t>：质控□医废□传染病上报□院感□；</w:t>
            </w:r>
          </w:p>
          <w:p w14:paraId="28C89081">
            <w:pPr>
              <w:spacing w:line="240" w:lineRule="auto"/>
              <w:ind w:firstLine="0" w:firstLineChars="0"/>
              <w:jc w:val="both"/>
              <w:rPr>
                <w:rFonts w:hint="eastAsia" w:ascii="仿宋" w:hAnsi="仿宋" w:eastAsia="仿宋" w:cs="仿宋"/>
                <w:sz w:val="24"/>
              </w:rPr>
            </w:pPr>
            <w:r>
              <w:rPr>
                <w:rFonts w:hint="eastAsia" w:ascii="仿宋" w:hAnsi="仿宋" w:eastAsia="仿宋" w:cs="仿宋"/>
                <w:b/>
                <w:bCs/>
                <w:sz w:val="24"/>
              </w:rPr>
              <w:t>临床辅助类应用</w:t>
            </w:r>
            <w:r>
              <w:rPr>
                <w:rFonts w:hint="eastAsia" w:ascii="仿宋" w:hAnsi="仿宋" w:eastAsia="仿宋" w:cs="仿宋"/>
                <w:sz w:val="24"/>
              </w:rPr>
              <w:t>：CDSS□VTE预防评估软件系统□中医治未病□中医传承□AI辅助诊断□</w:t>
            </w:r>
          </w:p>
          <w:p w14:paraId="315C7DA8">
            <w:pPr>
              <w:spacing w:line="240" w:lineRule="auto"/>
              <w:ind w:left="1928" w:hanging="1928" w:hangingChars="800"/>
              <w:rPr>
                <w:rFonts w:hint="eastAsia" w:ascii="仿宋" w:hAnsi="仿宋" w:eastAsia="仿宋" w:cs="仿宋"/>
                <w:sz w:val="24"/>
              </w:rPr>
            </w:pPr>
            <w:r>
              <w:rPr>
                <w:rFonts w:hint="eastAsia" w:ascii="仿宋" w:hAnsi="仿宋" w:eastAsia="仿宋" w:cs="仿宋"/>
                <w:b/>
                <w:bCs/>
                <w:sz w:val="24"/>
              </w:rPr>
              <w:t>医院管理类应用</w:t>
            </w:r>
            <w:r>
              <w:rPr>
                <w:rFonts w:hint="eastAsia" w:ascii="仿宋" w:hAnsi="仿宋" w:eastAsia="仿宋" w:cs="仿宋"/>
                <w:sz w:val="24"/>
              </w:rPr>
              <w:t>：OA□DRG/DIP□财务□人力资源□统一支付结算□HRP□后勤管理□药械资产管理□医用耗材追溯码□智慧药品集采监管物流平台□党建□；</w:t>
            </w:r>
          </w:p>
          <w:p w14:paraId="444D52E0">
            <w:pPr>
              <w:spacing w:line="240" w:lineRule="auto"/>
              <w:ind w:left="1687" w:hanging="1687" w:hangingChars="700"/>
              <w:rPr>
                <w:rFonts w:hint="eastAsia" w:ascii="仿宋" w:hAnsi="仿宋" w:eastAsia="仿宋" w:cs="仿宋"/>
                <w:sz w:val="24"/>
              </w:rPr>
            </w:pPr>
            <w:r>
              <w:rPr>
                <w:rFonts w:hint="eastAsia" w:ascii="仿宋" w:hAnsi="仿宋" w:eastAsia="仿宋" w:cs="仿宋"/>
                <w:b/>
                <w:bCs/>
                <w:sz w:val="24"/>
              </w:rPr>
              <w:t>患者服务应用</w:t>
            </w:r>
            <w:r>
              <w:rPr>
                <w:rFonts w:hint="eastAsia" w:ascii="仿宋" w:hAnsi="仿宋" w:eastAsia="仿宋" w:cs="仿宋"/>
                <w:sz w:val="24"/>
              </w:rPr>
              <w:t>：互联网医院□智慧辅助就医系统□满意度调查□患者随访□统一预约系统□....体检系统□营养膳食管理系统□移动术前访视系统□信息公开□患者定位系统□；</w:t>
            </w:r>
          </w:p>
          <w:p w14:paraId="657121BB">
            <w:pPr>
              <w:spacing w:line="240" w:lineRule="auto"/>
              <w:ind w:firstLine="0" w:firstLineChars="0"/>
              <w:rPr>
                <w:rFonts w:hint="eastAsia" w:ascii="仿宋" w:hAnsi="仿宋" w:eastAsia="仿宋" w:cs="仿宋"/>
                <w:b/>
                <w:bCs/>
                <w:sz w:val="24"/>
              </w:rPr>
            </w:pPr>
            <w:r>
              <w:rPr>
                <w:rFonts w:hint="eastAsia" w:ascii="仿宋" w:hAnsi="仿宋" w:eastAsia="仿宋" w:cs="仿宋"/>
                <w:b/>
                <w:bCs/>
                <w:sz w:val="24"/>
              </w:rPr>
              <w:t>其他：</w:t>
            </w:r>
          </w:p>
        </w:tc>
      </w:tr>
      <w:tr w14:paraId="04C4A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696" w:type="dxa"/>
            <w:vAlign w:val="center"/>
          </w:tcPr>
          <w:p w14:paraId="5786647C">
            <w:pPr>
              <w:ind w:firstLine="0" w:firstLineChars="0"/>
              <w:jc w:val="center"/>
              <w:rPr>
                <w:rFonts w:hint="eastAsia" w:ascii="仿宋" w:hAnsi="仿宋" w:eastAsia="仿宋" w:cs="仿宋"/>
                <w:b/>
                <w:bCs/>
                <w:sz w:val="24"/>
              </w:rPr>
            </w:pPr>
            <w:r>
              <w:rPr>
                <w:rFonts w:hint="eastAsia" w:ascii="仿宋" w:hAnsi="仿宋" w:eastAsia="仿宋" w:cs="仿宋"/>
                <w:b/>
                <w:bCs/>
                <w:sz w:val="24"/>
              </w:rPr>
              <w:t>知识产权</w:t>
            </w:r>
          </w:p>
          <w:p w14:paraId="59C9C8F4">
            <w:pPr>
              <w:ind w:firstLine="0" w:firstLineChars="0"/>
              <w:jc w:val="center"/>
              <w:rPr>
                <w:rFonts w:hint="eastAsia" w:ascii="仿宋" w:hAnsi="仿宋" w:eastAsia="仿宋" w:cs="仿宋"/>
                <w:b/>
                <w:bCs/>
                <w:sz w:val="24"/>
              </w:rPr>
            </w:pPr>
            <w:r>
              <w:rPr>
                <w:rFonts w:hint="eastAsia" w:ascii="仿宋" w:hAnsi="仿宋" w:eastAsia="仿宋" w:cs="仿宋"/>
                <w:b/>
                <w:bCs/>
                <w:sz w:val="24"/>
              </w:rPr>
              <w:t>所获奖项</w:t>
            </w:r>
          </w:p>
        </w:tc>
        <w:tc>
          <w:tcPr>
            <w:tcW w:w="12333" w:type="dxa"/>
            <w:gridSpan w:val="5"/>
          </w:tcPr>
          <w:p w14:paraId="2D2F25AA">
            <w:pPr>
              <w:ind w:firstLine="480"/>
              <w:rPr>
                <w:rFonts w:hint="eastAsia" w:ascii="仿宋" w:hAnsi="仿宋" w:eastAsia="仿宋" w:cs="仿宋"/>
                <w:sz w:val="24"/>
              </w:rPr>
            </w:pPr>
            <w:r>
              <w:rPr>
                <w:rFonts w:hint="eastAsia" w:ascii="仿宋" w:hAnsi="仿宋" w:eastAsia="仿宋" w:cs="仿宋"/>
                <w:color w:val="FF0000"/>
                <w:sz w:val="24"/>
              </w:rPr>
              <w:t>列出名称及获得时间</w:t>
            </w:r>
          </w:p>
        </w:tc>
      </w:tr>
      <w:tr w14:paraId="745F4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696" w:type="dxa"/>
            <w:vAlign w:val="center"/>
          </w:tcPr>
          <w:p w14:paraId="079DC276">
            <w:pPr>
              <w:ind w:firstLine="0" w:firstLineChars="0"/>
              <w:jc w:val="center"/>
              <w:rPr>
                <w:rFonts w:hint="eastAsia" w:ascii="仿宋" w:hAnsi="仿宋" w:eastAsia="仿宋" w:cs="仿宋"/>
                <w:b/>
                <w:bCs/>
                <w:sz w:val="24"/>
              </w:rPr>
            </w:pPr>
            <w:r>
              <w:rPr>
                <w:rFonts w:hint="eastAsia" w:ascii="仿宋" w:hAnsi="仿宋" w:eastAsia="仿宋" w:cs="仿宋"/>
                <w:b/>
                <w:bCs/>
                <w:sz w:val="24"/>
              </w:rPr>
              <w:t>成功案例</w:t>
            </w:r>
          </w:p>
          <w:p w14:paraId="4A39E3E9">
            <w:pPr>
              <w:ind w:firstLine="0" w:firstLineChars="0"/>
              <w:jc w:val="center"/>
              <w:rPr>
                <w:rFonts w:hint="eastAsia" w:ascii="仿宋" w:hAnsi="仿宋" w:eastAsia="仿宋" w:cs="仿宋"/>
                <w:b/>
                <w:bCs/>
                <w:sz w:val="24"/>
              </w:rPr>
            </w:pPr>
            <w:r>
              <w:rPr>
                <w:rFonts w:hint="eastAsia" w:ascii="仿宋" w:hAnsi="仿宋" w:eastAsia="仿宋" w:cs="仿宋"/>
                <w:b/>
                <w:bCs/>
                <w:sz w:val="24"/>
              </w:rPr>
              <w:t>简述</w:t>
            </w:r>
          </w:p>
        </w:tc>
        <w:tc>
          <w:tcPr>
            <w:tcW w:w="12333" w:type="dxa"/>
            <w:gridSpan w:val="5"/>
          </w:tcPr>
          <w:p w14:paraId="29E94095">
            <w:pPr>
              <w:ind w:firstLine="480"/>
              <w:rPr>
                <w:rFonts w:hint="eastAsia" w:ascii="仿宋" w:hAnsi="仿宋" w:eastAsia="仿宋" w:cs="仿宋"/>
                <w:b/>
                <w:bCs/>
                <w:sz w:val="24"/>
              </w:rPr>
            </w:pPr>
            <w:r>
              <w:rPr>
                <w:rFonts w:hint="eastAsia" w:ascii="仿宋" w:hAnsi="仿宋" w:eastAsia="仿宋" w:cs="仿宋"/>
                <w:color w:val="FF0000"/>
                <w:sz w:val="24"/>
              </w:rPr>
              <w:t>不超过500字</w:t>
            </w:r>
          </w:p>
        </w:tc>
      </w:tr>
    </w:tbl>
    <w:p w14:paraId="0716EDCD">
      <w:pPr>
        <w:widowControl/>
        <w:spacing w:line="280" w:lineRule="exact"/>
        <w:ind w:firstLine="562"/>
        <w:rPr>
          <w:rFonts w:hint="eastAsia" w:ascii="仿宋" w:hAnsi="仿宋" w:eastAsia="仿宋" w:cs="仿宋"/>
          <w:b/>
          <w:bCs/>
          <w:szCs w:val="28"/>
        </w:rPr>
      </w:pPr>
    </w:p>
    <w:p w14:paraId="05C75B3D">
      <w:pPr>
        <w:widowControl/>
        <w:spacing w:line="280" w:lineRule="exact"/>
        <w:ind w:firstLine="0" w:firstLineChars="0"/>
      </w:pPr>
      <w:r>
        <w:rPr>
          <w:rFonts w:hint="eastAsia" w:ascii="仿宋" w:hAnsi="仿宋" w:eastAsia="仿宋" w:cs="仿宋"/>
          <w:b/>
          <w:bCs/>
          <w:sz w:val="24"/>
        </w:rPr>
        <w:t>注意事项</w:t>
      </w:r>
      <w:r>
        <w:rPr>
          <w:rFonts w:hint="eastAsia" w:ascii="仿宋" w:hAnsi="仿宋" w:eastAsia="仿宋" w:cs="仿宋"/>
          <w:sz w:val="24"/>
        </w:rPr>
        <w:t>：1.本表格无需加盖公章；2.本表格需与案例证明文件及公司营业执照一同用电子邮件方式发送，经审核后完成报名；3.现场讲解展示时除投影仪外不提供其他设备和设备存放场地，如有演示环节请自行妥善安排；4.由于场地限制，每个公司参加人数不超过5人；5.集中交流时间暂定2025年9月下旬，地点暂定酒泉市卫生健康委，具体时间地点在报名截止后视情况另行通知。</w:t>
      </w:r>
    </w:p>
    <w:sectPr>
      <w:pgSz w:w="16838" w:h="11906" w:orient="landscape"/>
      <w:pgMar w:top="1758" w:right="1440" w:bottom="1758" w:left="1440" w:header="851" w:footer="624"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7034AF"/>
    <w:rsid w:val="30703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40" w:firstLineChars="200"/>
    </w:pPr>
    <w:rPr>
      <w:rFonts w:ascii="Times New Roman" w:hAnsi="Times New Roman" w:eastAsia="仿宋_GB2312" w:cstheme="minorBidi"/>
      <w:kern w:val="2"/>
      <w:sz w:val="28"/>
      <w:szCs w:val="24"/>
      <w:lang w:val="en-US" w:eastAsia="zh-CN" w:bidi="ar-SA"/>
      <w14:ligatures w14:val="standardContextual"/>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2025-09-12T08:48:00Z</dcterms:created>
  <dc:creator>阿封小楚</dc:creator>
  <cp:lastModifiedBy>阿封小楚</cp:lastModifiedBy>
  <dcterms:modified xsi:type="dcterms:W3CDTF">2025-09-12T08:49:02Z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1AC1E2D691BA445F8362A3E9C1419F73_11</vt:lpwstr>
  </property>
  <property fmtid="{D5CDD505-2E9C-101B-9397-08002B2CF9AE}" pid="4" name="KSOTemplateDocerSaveRecord">
    <vt:lpwstr>eyJoZGlkIjoiZWE4MThiOWYwOGNjYjNlNDA3M2UwMjE3Mjk2ZTJiNDUiLCJ1c2VySWQiOiI0MTQzODY2OTkifQ==</vt:lpwstr>
  </property>
</Properties>
</file>