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75FF"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甘肃省地震局甘南地震监测中心站业务用房建设项目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中标公告</w:t>
      </w:r>
    </w:p>
    <w:p w14:paraId="56C7A266">
      <w:pPr>
        <w:pStyle w:val="2"/>
        <w:adjustRightInd w:val="0"/>
        <w:snapToGrid w:val="0"/>
        <w:spacing w:after="0"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交易编号：D02-12620000224333349J-20250818-057063-9</w:t>
      </w:r>
    </w:p>
    <w:p w14:paraId="37CC2F32">
      <w:pPr>
        <w:pStyle w:val="2"/>
        <w:adjustRightInd w:val="0"/>
        <w:snapToGrid w:val="0"/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甘肃省招标中心有限公司受甘肃省地震局的委托，对</w:t>
      </w:r>
      <w:r>
        <w:rPr>
          <w:rFonts w:hint="eastAsia" w:ascii="仿宋" w:hAnsi="仿宋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甘肃省地震局甘南地震监测中心站业务用房建设项目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以公开招标的方式进行采购，评标委员会于202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日确定评标结果，现将评标结果公布如下：</w:t>
      </w:r>
    </w:p>
    <w:p w14:paraId="6664A9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招标文件编号：招标编号：GZ2508098-GSSDZJ</w:t>
      </w:r>
    </w:p>
    <w:p w14:paraId="555BCB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评标结果内容：预算金额：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394.902123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</w:t>
      </w:r>
    </w:p>
    <w:tbl>
      <w:tblPr>
        <w:tblStyle w:val="7"/>
        <w:tblW w:w="5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90"/>
        <w:gridCol w:w="3891"/>
        <w:gridCol w:w="2180"/>
      </w:tblGrid>
      <w:tr w14:paraId="2D27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85" w:type="pct"/>
          </w:tcPr>
          <w:p w14:paraId="1BE46BB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包号</w:t>
            </w:r>
          </w:p>
        </w:tc>
        <w:tc>
          <w:tcPr>
            <w:tcW w:w="1130" w:type="pct"/>
          </w:tcPr>
          <w:p w14:paraId="15F43E5C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中标人名称</w:t>
            </w:r>
          </w:p>
        </w:tc>
        <w:tc>
          <w:tcPr>
            <w:tcW w:w="2104" w:type="pct"/>
          </w:tcPr>
          <w:p w14:paraId="200F2D31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中标人地址</w:t>
            </w:r>
          </w:p>
        </w:tc>
        <w:tc>
          <w:tcPr>
            <w:tcW w:w="1179" w:type="pct"/>
          </w:tcPr>
          <w:p w14:paraId="09882C76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中标价（万元）</w:t>
            </w:r>
          </w:p>
        </w:tc>
      </w:tr>
      <w:tr w14:paraId="6353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85" w:type="pct"/>
            <w:vAlign w:val="center"/>
          </w:tcPr>
          <w:p w14:paraId="2AACEE43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001</w:t>
            </w:r>
          </w:p>
        </w:tc>
        <w:tc>
          <w:tcPr>
            <w:tcW w:w="1130" w:type="pct"/>
            <w:vAlign w:val="center"/>
          </w:tcPr>
          <w:p w14:paraId="369AEBBF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甘肃鸿艺建设有限公司</w:t>
            </w:r>
          </w:p>
        </w:tc>
        <w:tc>
          <w:tcPr>
            <w:tcW w:w="2104" w:type="pct"/>
            <w:vAlign w:val="center"/>
          </w:tcPr>
          <w:p w14:paraId="50D288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甘肃省兰州市城关区张掖路街道</w:t>
            </w:r>
          </w:p>
          <w:p w14:paraId="1E388737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庆阳路352号第3单元15层1502室</w:t>
            </w:r>
          </w:p>
        </w:tc>
        <w:tc>
          <w:tcPr>
            <w:tcW w:w="1179" w:type="pct"/>
            <w:vAlign w:val="center"/>
          </w:tcPr>
          <w:p w14:paraId="7C91A447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376</w:t>
            </w:r>
            <w:r>
              <w:rPr>
                <w:rFonts w:hint="eastAsia" w:ascii="仿宋" w:hAnsi="仿宋" w:eastAsia="仿宋" w:cstheme="min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865618</w:t>
            </w:r>
          </w:p>
          <w:p w14:paraId="489CDDFD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叁佰柒拾陆万捌仟陆佰伍拾陆元壹角捌分</w:t>
            </w:r>
          </w:p>
        </w:tc>
      </w:tr>
    </w:tbl>
    <w:p w14:paraId="4CD1E6F6">
      <w:pPr>
        <w:pStyle w:val="11"/>
        <w:rPr>
          <w:rFonts w:ascii="仿宋" w:hAnsi="仿宋" w:eastAsia="仿宋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3、评标明细</w:t>
      </w:r>
    </w:p>
    <w:tbl>
      <w:tblPr>
        <w:tblStyle w:val="7"/>
        <w:tblW w:w="540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1662"/>
        <w:gridCol w:w="1557"/>
        <w:gridCol w:w="1557"/>
        <w:gridCol w:w="1287"/>
      </w:tblGrid>
      <w:tr w14:paraId="348F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58" w:type="pct"/>
            <w:vMerge w:val="restart"/>
            <w:vAlign w:val="center"/>
          </w:tcPr>
          <w:p w14:paraId="093E34AD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包号</w:t>
            </w:r>
          </w:p>
          <w:p w14:paraId="6574D2F5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（标段）</w:t>
            </w:r>
          </w:p>
        </w:tc>
        <w:tc>
          <w:tcPr>
            <w:tcW w:w="1154" w:type="pct"/>
            <w:vMerge w:val="restart"/>
            <w:vAlign w:val="center"/>
          </w:tcPr>
          <w:p w14:paraId="4CF075DF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中标人名称</w:t>
            </w:r>
          </w:p>
        </w:tc>
        <w:tc>
          <w:tcPr>
            <w:tcW w:w="3287" w:type="pct"/>
            <w:gridSpan w:val="4"/>
            <w:vAlign w:val="center"/>
          </w:tcPr>
          <w:p w14:paraId="132CAAA9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ascii="仿宋" w:hAnsi="仿宋" w:eastAsia="仿宋" w:cstheme="minorEastAsia"/>
                <w:sz w:val="18"/>
                <w:szCs w:val="18"/>
              </w:rPr>
              <w:t>评标明细</w:t>
            </w:r>
          </w:p>
        </w:tc>
      </w:tr>
      <w:tr w14:paraId="5ACB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58" w:type="pct"/>
            <w:vMerge w:val="continue"/>
            <w:vAlign w:val="center"/>
          </w:tcPr>
          <w:p w14:paraId="5343F6EB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</w:p>
        </w:tc>
        <w:tc>
          <w:tcPr>
            <w:tcW w:w="1154" w:type="pct"/>
            <w:vMerge w:val="continue"/>
            <w:vAlign w:val="center"/>
          </w:tcPr>
          <w:p w14:paraId="4BBCFF6C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14:paraId="10955C35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商务得分</w:t>
            </w:r>
          </w:p>
          <w:p w14:paraId="25825EE4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分）</w:t>
            </w:r>
          </w:p>
        </w:tc>
        <w:tc>
          <w:tcPr>
            <w:tcW w:w="844" w:type="pct"/>
            <w:vAlign w:val="center"/>
          </w:tcPr>
          <w:p w14:paraId="7204E712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技术得分</w:t>
            </w:r>
          </w:p>
          <w:p w14:paraId="5C2FAAAD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theme="minorEastAsia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分）</w:t>
            </w:r>
          </w:p>
        </w:tc>
        <w:tc>
          <w:tcPr>
            <w:tcW w:w="844" w:type="pct"/>
            <w:vAlign w:val="center"/>
          </w:tcPr>
          <w:p w14:paraId="49EBEC17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报价得分</w:t>
            </w:r>
          </w:p>
          <w:p w14:paraId="0F8863C4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分）</w:t>
            </w:r>
          </w:p>
        </w:tc>
        <w:tc>
          <w:tcPr>
            <w:tcW w:w="696" w:type="pct"/>
            <w:vAlign w:val="center"/>
          </w:tcPr>
          <w:p w14:paraId="7DE0FD4F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总得分</w:t>
            </w:r>
          </w:p>
          <w:p w14:paraId="03648BB2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（100分）</w:t>
            </w:r>
          </w:p>
        </w:tc>
      </w:tr>
      <w:tr w14:paraId="701C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8" w:type="pct"/>
            <w:vAlign w:val="center"/>
          </w:tcPr>
          <w:p w14:paraId="5399B628">
            <w:pPr>
              <w:pStyle w:val="2"/>
              <w:adjustRightInd w:val="0"/>
              <w:snapToGrid w:val="0"/>
              <w:spacing w:after="0" w:line="340" w:lineRule="exact"/>
              <w:ind w:firstLine="180" w:firstLineChars="100"/>
              <w:jc w:val="center"/>
              <w:rPr>
                <w:rFonts w:hint="default" w:ascii="仿宋" w:hAnsi="仿宋" w:eastAsia="仿宋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1154" w:type="pct"/>
            <w:vAlign w:val="center"/>
          </w:tcPr>
          <w:p w14:paraId="72CB37EA"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甘肃鸿艺建设有限公司</w:t>
            </w:r>
          </w:p>
        </w:tc>
        <w:tc>
          <w:tcPr>
            <w:tcW w:w="901" w:type="pct"/>
            <w:vAlign w:val="center"/>
          </w:tcPr>
          <w:p w14:paraId="0A30E1B4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15.00</w:t>
            </w:r>
          </w:p>
        </w:tc>
        <w:tc>
          <w:tcPr>
            <w:tcW w:w="844" w:type="pct"/>
            <w:vAlign w:val="center"/>
          </w:tcPr>
          <w:p w14:paraId="051992EB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41.00</w:t>
            </w:r>
          </w:p>
        </w:tc>
        <w:tc>
          <w:tcPr>
            <w:tcW w:w="844" w:type="pct"/>
            <w:vAlign w:val="center"/>
          </w:tcPr>
          <w:p w14:paraId="6A1F276B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 xml:space="preserve">27.60 </w:t>
            </w:r>
          </w:p>
        </w:tc>
        <w:tc>
          <w:tcPr>
            <w:tcW w:w="696" w:type="pct"/>
            <w:vAlign w:val="center"/>
          </w:tcPr>
          <w:p w14:paraId="3EFE4724">
            <w:pPr>
              <w:pStyle w:val="2"/>
              <w:adjustRightInd w:val="0"/>
              <w:snapToGrid w:val="0"/>
              <w:spacing w:after="0" w:line="340" w:lineRule="exact"/>
              <w:jc w:val="center"/>
              <w:rPr>
                <w:rFonts w:ascii="仿宋" w:hAnsi="仿宋" w:eastAsia="仿宋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theme="minorEastAsia"/>
                <w:sz w:val="18"/>
                <w:szCs w:val="18"/>
              </w:rPr>
              <w:t>83.60</w:t>
            </w:r>
          </w:p>
        </w:tc>
      </w:tr>
    </w:tbl>
    <w:p w14:paraId="08128C08">
      <w:pPr>
        <w:tabs>
          <w:tab w:val="left" w:pos="312"/>
        </w:tabs>
        <w:spacing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4.主要标的信息</w:t>
      </w:r>
    </w:p>
    <w:tbl>
      <w:tblPr>
        <w:tblStyle w:val="7"/>
        <w:tblW w:w="5406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00C4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vAlign w:val="center"/>
          </w:tcPr>
          <w:p w14:paraId="15936CAF">
            <w:pPr>
              <w:pStyle w:val="2"/>
              <w:adjustRightInd w:val="0"/>
              <w:snapToGrid w:val="0"/>
              <w:spacing w:after="0" w:line="30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  <w:r>
              <w:rPr>
                <w:rFonts w:ascii="仿宋" w:hAnsi="仿宋" w:eastAsia="仿宋" w:cstheme="minorEastAsia"/>
                <w:sz w:val="24"/>
                <w:szCs w:val="24"/>
              </w:rPr>
              <w:t>工程类（一标段）</w:t>
            </w:r>
          </w:p>
        </w:tc>
      </w:tr>
      <w:tr w14:paraId="2BA5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5000" w:type="pct"/>
          </w:tcPr>
          <w:p w14:paraId="236632E5"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项目名称：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甘肃省地震局甘南地震监测中心站业务用房建设项目</w:t>
            </w:r>
          </w:p>
          <w:p w14:paraId="43F83004"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theme="minorEastAsia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本项目建设内容包括：新建业务用房，建筑面积997.92平方米，采用框架结构体系，地上3层，1-3层层高均为3.90米，建筑高度13.80米，建筑消防高度12.9米，建筑耐火等级为一级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  <w:szCs w:val="21"/>
              </w:rPr>
              <w:t>屋面防水等级为Ⅰ级，室内环境污染控制类别为Ⅱ类，建筑设计工作年限为50年，具体工程量见施工图；改造原有业务用房、配套设施建设、院落整治等内容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。</w:t>
            </w:r>
          </w:p>
          <w:p w14:paraId="7559E51E"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>计划总工期：合同签订后70日历天竣工</w:t>
            </w:r>
          </w:p>
          <w:p w14:paraId="3FCF61D0"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theme="minorEastAsia"/>
                <w:szCs w:val="21"/>
              </w:rPr>
            </w:pPr>
            <w:r>
              <w:rPr>
                <w:rFonts w:hint="eastAsia" w:ascii="仿宋" w:hAnsi="仿宋" w:eastAsia="仿宋" w:cstheme="minorEastAsia"/>
                <w:szCs w:val="21"/>
              </w:rPr>
              <w:t xml:space="preserve">项目经理：何正安     </w:t>
            </w:r>
          </w:p>
          <w:p w14:paraId="36AB667D"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 w:ascii="仿宋" w:hAnsi="仿宋" w:eastAsia="仿宋" w:cstheme="minorEastAsia"/>
                <w:szCs w:val="21"/>
              </w:rPr>
              <w:t>执业证书信息：</w:t>
            </w:r>
            <w:r>
              <w:rPr>
                <w:rFonts w:hint="eastAsia" w:ascii="仿宋" w:hAnsi="仿宋" w:eastAsia="仿宋" w:cstheme="minorEastAsia"/>
                <w:szCs w:val="21"/>
                <w:lang w:eastAsia="zh-CN"/>
              </w:rPr>
              <w:t>甘</w:t>
            </w:r>
            <w:r>
              <w:rPr>
                <w:rFonts w:hint="eastAsia" w:ascii="仿宋" w:hAnsi="仿宋" w:eastAsia="仿宋" w:cstheme="minorEastAsia"/>
                <w:szCs w:val="21"/>
              </w:rPr>
              <w:t xml:space="preserve">262181940551 </w:t>
            </w:r>
          </w:p>
        </w:tc>
      </w:tr>
    </w:tbl>
    <w:p w14:paraId="154521E9">
      <w:pPr>
        <w:pStyle w:val="2"/>
        <w:adjustRightInd w:val="0"/>
        <w:snapToGrid w:val="0"/>
        <w:spacing w:after="0"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5.定标日期：202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theme="minorEastAsia"/>
          <w:sz w:val="24"/>
          <w:szCs w:val="24"/>
        </w:rPr>
        <w:t>年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theme="minorEastAsia"/>
          <w:sz w:val="24"/>
          <w:szCs w:val="24"/>
        </w:rPr>
        <w:t>月1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theme="minorEastAsia"/>
          <w:sz w:val="24"/>
          <w:szCs w:val="24"/>
        </w:rPr>
        <w:t>日</w:t>
      </w:r>
    </w:p>
    <w:p w14:paraId="471E682F">
      <w:pPr>
        <w:adjustRightInd w:val="0"/>
        <w:snapToGrid w:val="0"/>
        <w:spacing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6.招标公告日期：202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theme="minorEastAsia"/>
          <w:sz w:val="24"/>
          <w:szCs w:val="24"/>
        </w:rPr>
        <w:t>年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theme="minorEastAsia"/>
          <w:sz w:val="24"/>
          <w:szCs w:val="24"/>
        </w:rPr>
        <w:t>月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theme="minorEastAsia"/>
          <w:sz w:val="24"/>
          <w:szCs w:val="24"/>
        </w:rPr>
        <w:t>日</w:t>
      </w:r>
    </w:p>
    <w:p w14:paraId="4D60AD4E">
      <w:pPr>
        <w:adjustRightInd w:val="0"/>
        <w:snapToGrid w:val="0"/>
        <w:spacing w:line="360" w:lineRule="auto"/>
        <w:rPr>
          <w:rFonts w:hint="eastAsia" w:ascii="仿宋" w:hAnsi="仿宋" w:eastAsia="仿宋" w:cstheme="minorEastAsia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sz w:val="24"/>
          <w:szCs w:val="24"/>
        </w:rPr>
        <w:t>7.评标专家名单：王琴蕊、雷建国、郭红伟、蒋其生、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周卫东</w:t>
      </w:r>
    </w:p>
    <w:p w14:paraId="1A0B1FF9">
      <w:pPr>
        <w:adjustRightInd w:val="0"/>
        <w:snapToGrid w:val="0"/>
        <w:spacing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8.代理服务费收费标准：</w:t>
      </w:r>
    </w:p>
    <w:p w14:paraId="12AEBAB4">
      <w:pPr>
        <w:pStyle w:val="2"/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招标代理服务费由中标方支付，收费标准参照计价格[2002]1980号及发改办价格[2003]857号文规定计取基础上100万以下（含100万）全额收取，不足五千按五千收取；100万-500万下浮10%收取；500万以上下浮15%收取；以中标金额为基数计取。</w:t>
      </w:r>
    </w:p>
    <w:p w14:paraId="651AEDEF">
      <w:pPr>
        <w:pStyle w:val="2"/>
        <w:adjustRightInd w:val="0"/>
        <w:snapToGrid w:val="0"/>
        <w:spacing w:after="0" w:line="360" w:lineRule="auto"/>
        <w:rPr>
          <w:rFonts w:ascii="仿宋" w:hAnsi="仿宋" w:eastAsia="仿宋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sz w:val="24"/>
          <w:szCs w:val="24"/>
        </w:rPr>
        <w:t xml:space="preserve"> 9.公告期限：</w:t>
      </w:r>
    </w:p>
    <w:p w14:paraId="0EDDCD0B">
      <w:pPr>
        <w:pStyle w:val="2"/>
        <w:adjustRightInd w:val="0"/>
        <w:snapToGrid w:val="0"/>
        <w:spacing w:after="0" w:line="360" w:lineRule="auto"/>
        <w:ind w:firstLine="480" w:firstLineChars="200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自本公告发布之日起1个工作日。</w:t>
      </w:r>
    </w:p>
    <w:p w14:paraId="507F7E47">
      <w:pPr>
        <w:adjustRightInd w:val="0"/>
        <w:snapToGrid w:val="0"/>
        <w:spacing w:line="360" w:lineRule="auto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sz w:val="24"/>
          <w:szCs w:val="24"/>
        </w:rPr>
        <w:t>10.采购人：</w:t>
      </w: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甘肃省地震局</w:t>
      </w:r>
    </w:p>
    <w:p w14:paraId="1490CF5D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联系人：马政涛</w:t>
      </w:r>
    </w:p>
    <w:p w14:paraId="6929B414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联系方式：13919891231</w:t>
      </w:r>
    </w:p>
    <w:p w14:paraId="448BF599">
      <w:pPr>
        <w:adjustRightInd w:val="0"/>
        <w:snapToGrid w:val="0"/>
        <w:spacing w:line="360" w:lineRule="auto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11.采购代理机构信息</w:t>
      </w:r>
    </w:p>
    <w:p w14:paraId="38008E4B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称：甘肃省招标中心有限公司</w:t>
      </w:r>
    </w:p>
    <w:p w14:paraId="1609C435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联系人：赵旭东 肖宗颖</w:t>
      </w:r>
    </w:p>
    <w:p w14:paraId="2EDB3692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联系方式：13893145830</w:t>
      </w:r>
    </w:p>
    <w:p w14:paraId="214AAC42">
      <w:pPr>
        <w:adjustRightInd w:val="0"/>
        <w:snapToGrid w:val="0"/>
        <w:spacing w:line="360" w:lineRule="auto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12.监督单位：甘肃省地震局规划财务处、甘肃省地震局纪检室</w:t>
      </w:r>
    </w:p>
    <w:p w14:paraId="63E2C74D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联系人：/</w:t>
      </w:r>
    </w:p>
    <w:p w14:paraId="5A69B6A5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联系电话：0931-8275212</w:t>
      </w:r>
    </w:p>
    <w:p w14:paraId="2109AF50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657D8B">
      <w:pPr>
        <w:pStyle w:val="2"/>
        <w:spacing w:after="0" w:line="420" w:lineRule="exact"/>
        <w:ind w:firstLine="480" w:firstLineChars="200"/>
        <w:jc w:val="righ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 xml:space="preserve">  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theme="minorEastAsia"/>
          <w:sz w:val="24"/>
          <w:szCs w:val="24"/>
        </w:rPr>
        <w:t>甘肃省招标中心有限公司</w:t>
      </w:r>
    </w:p>
    <w:p w14:paraId="2520BA29">
      <w:pPr>
        <w:spacing w:line="420" w:lineRule="exact"/>
        <w:ind w:firstLine="480" w:firstLineChars="200"/>
        <w:jc w:val="righ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202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theme="minorEastAsia"/>
          <w:sz w:val="24"/>
          <w:szCs w:val="24"/>
        </w:rPr>
        <w:t>年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theme="minorEastAsia"/>
          <w:sz w:val="24"/>
          <w:szCs w:val="24"/>
        </w:rPr>
        <w:t>月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theme="minorEastAsia"/>
          <w:sz w:val="24"/>
          <w:szCs w:val="24"/>
        </w:rPr>
        <w:t>日</w:t>
      </w:r>
    </w:p>
    <w:p w14:paraId="0FCF3664">
      <w:pPr>
        <w:jc w:val="left"/>
      </w:pPr>
    </w:p>
    <w:p w14:paraId="31A11516">
      <w:pPr>
        <w:jc w:val="left"/>
      </w:pPr>
    </w:p>
    <w:p w14:paraId="36785596">
      <w:pPr>
        <w:jc w:val="left"/>
      </w:pPr>
    </w:p>
    <w:p w14:paraId="6CA8F02F">
      <w:pPr>
        <w:jc w:val="left"/>
      </w:pPr>
    </w:p>
    <w:p w14:paraId="6F011A5F">
      <w:pPr>
        <w:jc w:val="left"/>
      </w:pPr>
    </w:p>
    <w:p w14:paraId="3F2A6538">
      <w:pPr>
        <w:jc w:val="left"/>
      </w:pPr>
    </w:p>
    <w:p w14:paraId="7933C3AE">
      <w:pPr>
        <w:jc w:val="left"/>
      </w:pPr>
    </w:p>
    <w:p w14:paraId="154267CC">
      <w:pPr>
        <w:jc w:val="left"/>
      </w:pPr>
    </w:p>
    <w:p w14:paraId="7DFE753C">
      <w:pPr>
        <w:jc w:val="left"/>
      </w:pPr>
    </w:p>
    <w:p w14:paraId="26423D37">
      <w:pPr>
        <w:jc w:val="left"/>
      </w:pPr>
    </w:p>
    <w:p w14:paraId="35E447CD">
      <w:pPr>
        <w:jc w:val="left"/>
      </w:pPr>
    </w:p>
    <w:p w14:paraId="646B616E">
      <w:pPr>
        <w:jc w:val="left"/>
      </w:pPr>
    </w:p>
    <w:p w14:paraId="17B8C7DD">
      <w:pPr>
        <w:jc w:val="left"/>
      </w:pPr>
    </w:p>
    <w:p w14:paraId="636B17A5">
      <w:pPr>
        <w:jc w:val="left"/>
      </w:pPr>
    </w:p>
    <w:p w14:paraId="49A76D50">
      <w:pPr>
        <w:jc w:val="left"/>
      </w:pPr>
    </w:p>
    <w:p w14:paraId="4E85AAB9">
      <w:pPr>
        <w:jc w:val="left"/>
      </w:pPr>
    </w:p>
    <w:p w14:paraId="3C7673F2">
      <w:pPr>
        <w:jc w:val="left"/>
      </w:pPr>
    </w:p>
    <w:p w14:paraId="3691668C">
      <w:pPr>
        <w:jc w:val="left"/>
      </w:pPr>
    </w:p>
    <w:p w14:paraId="1CAE43D0">
      <w:pPr>
        <w:jc w:val="left"/>
      </w:pPr>
    </w:p>
    <w:p w14:paraId="023FF1B7">
      <w:pPr>
        <w:jc w:val="left"/>
      </w:pPr>
    </w:p>
    <w:p w14:paraId="36274335">
      <w:pPr>
        <w:jc w:val="left"/>
      </w:pPr>
    </w:p>
    <w:p w14:paraId="1143A003">
      <w:pPr>
        <w:jc w:val="left"/>
        <w:rPr>
          <w:rFonts w:hint="eastAsia"/>
        </w:rPr>
      </w:pPr>
      <w:r>
        <w:rPr>
          <w:rFonts w:hint="eastAsia"/>
        </w:rPr>
        <w:t>附件1：中标明细</w:t>
      </w:r>
    </w:p>
    <w:p w14:paraId="30BB218B">
      <w:pPr>
        <w:pStyle w:val="2"/>
      </w:pPr>
      <w:r>
        <w:drawing>
          <wp:inline distT="0" distB="0" distL="114300" distR="114300">
            <wp:extent cx="5224780" cy="3840480"/>
            <wp:effectExtent l="0" t="0" r="13970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7645" cy="8152765"/>
            <wp:effectExtent l="0" t="0" r="8255" b="63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CEF6">
      <w:r>
        <w:t xml:space="preserve"> </w:t>
      </w:r>
    </w:p>
    <w:p w14:paraId="574D8BE9">
      <w:pPr>
        <w:pStyle w:val="2"/>
      </w:pPr>
    </w:p>
    <w:p w14:paraId="06737255">
      <w:bookmarkStart w:id="0" w:name="_GoBack"/>
      <w:bookmarkEnd w:id="0"/>
      <w:r>
        <w:drawing>
          <wp:inline distT="0" distB="0" distL="114300" distR="114300">
            <wp:extent cx="5276215" cy="7494905"/>
            <wp:effectExtent l="0" t="0" r="635" b="1079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4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zNlNzU2ZGNiZGY1NDJiMTA2ZTAwMzQ0ZGM2ZDkifQ=="/>
  </w:docVars>
  <w:rsids>
    <w:rsidRoot w:val="359B1EE9"/>
    <w:rsid w:val="00077D83"/>
    <w:rsid w:val="000B2094"/>
    <w:rsid w:val="001129B7"/>
    <w:rsid w:val="0012591E"/>
    <w:rsid w:val="00167634"/>
    <w:rsid w:val="00177B60"/>
    <w:rsid w:val="001815A6"/>
    <w:rsid w:val="00193EC4"/>
    <w:rsid w:val="001A6E2D"/>
    <w:rsid w:val="001F3720"/>
    <w:rsid w:val="00234D0D"/>
    <w:rsid w:val="00251C20"/>
    <w:rsid w:val="002A6847"/>
    <w:rsid w:val="003453FF"/>
    <w:rsid w:val="003614E0"/>
    <w:rsid w:val="0039472B"/>
    <w:rsid w:val="003A0E92"/>
    <w:rsid w:val="003A733F"/>
    <w:rsid w:val="003C06EE"/>
    <w:rsid w:val="00410969"/>
    <w:rsid w:val="00431C29"/>
    <w:rsid w:val="004B0E25"/>
    <w:rsid w:val="004B1ED5"/>
    <w:rsid w:val="004F6D26"/>
    <w:rsid w:val="00586A69"/>
    <w:rsid w:val="0058755F"/>
    <w:rsid w:val="005B34AC"/>
    <w:rsid w:val="00644216"/>
    <w:rsid w:val="006521A9"/>
    <w:rsid w:val="006602F7"/>
    <w:rsid w:val="006634FD"/>
    <w:rsid w:val="007577E2"/>
    <w:rsid w:val="00771FF8"/>
    <w:rsid w:val="00844B07"/>
    <w:rsid w:val="00853A15"/>
    <w:rsid w:val="008952E8"/>
    <w:rsid w:val="0091328E"/>
    <w:rsid w:val="009E529B"/>
    <w:rsid w:val="00A23408"/>
    <w:rsid w:val="00A344A5"/>
    <w:rsid w:val="00A65883"/>
    <w:rsid w:val="00A71339"/>
    <w:rsid w:val="00A92C26"/>
    <w:rsid w:val="00AA152C"/>
    <w:rsid w:val="00AB39C9"/>
    <w:rsid w:val="00AD0261"/>
    <w:rsid w:val="00AD283B"/>
    <w:rsid w:val="00B01680"/>
    <w:rsid w:val="00B1072A"/>
    <w:rsid w:val="00B17CA1"/>
    <w:rsid w:val="00B22419"/>
    <w:rsid w:val="00B83EFA"/>
    <w:rsid w:val="00BB2F27"/>
    <w:rsid w:val="00C0205E"/>
    <w:rsid w:val="00C253A2"/>
    <w:rsid w:val="00C31828"/>
    <w:rsid w:val="00C91066"/>
    <w:rsid w:val="00C97A57"/>
    <w:rsid w:val="00D05F8F"/>
    <w:rsid w:val="00D343ED"/>
    <w:rsid w:val="00DC0BE3"/>
    <w:rsid w:val="00E00E6B"/>
    <w:rsid w:val="00E05C4F"/>
    <w:rsid w:val="00E7117F"/>
    <w:rsid w:val="00E8395C"/>
    <w:rsid w:val="00EF0FEF"/>
    <w:rsid w:val="00F628F8"/>
    <w:rsid w:val="00FE2AD3"/>
    <w:rsid w:val="03535420"/>
    <w:rsid w:val="359B1EE9"/>
    <w:rsid w:val="3DB512C2"/>
    <w:rsid w:val="553542B8"/>
    <w:rsid w:val="790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824</Words>
  <Characters>1050</Characters>
  <Lines>17</Lines>
  <Paragraphs>4</Paragraphs>
  <TotalTime>10</TotalTime>
  <ScaleCrop>false</ScaleCrop>
  <LinksUpToDate>false</LinksUpToDate>
  <CharactersWithSpaces>1066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2024-08-19T08:53:00Z</dcterms:created>
  <dc:creator>WPS_1666749965</dc:creator>
  <cp:lastModifiedBy>东迪</cp:lastModifiedBy>
  <cp:lastPrinted>2024-08-20T02:18:00Z</cp:lastPrinted>
  <dcterms:modified xsi:type="dcterms:W3CDTF">2025-09-19T07:29:02Z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7C3AA6E9C3E04ACDB9F9692ABE40F837_13</vt:lpwstr>
  </property>
  <property fmtid="{D5CDD505-2E9C-101B-9397-08002B2CF9AE}" pid="4" name="KSOTemplateDocerSaveRecord">
    <vt:lpwstr>eyJoZGlkIjoiMDE1MWRlMzQ5MzIwM2Q2N2YzYTRiMmIxNzVlMGZmMjAiLCJ1c2VySWQiOiI2Mjg1NzM1ODUifQ==</vt:lpwstr>
  </property>
</Properties>
</file>