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default"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兴业银行兰州分行关于外聘律师委托代理案件采购项目</w:t>
      </w:r>
      <w:r>
        <w:rPr>
          <w:rFonts w:hint="eastAsia" w:asciiTheme="majorEastAsia" w:hAnsiTheme="majorEastAsia" w:eastAsiaTheme="majorEastAsia" w:cstheme="majorEastAsia"/>
          <w:b/>
          <w:bCs/>
          <w:sz w:val="44"/>
          <w:szCs w:val="44"/>
        </w:rPr>
        <w:t>》供应商征集反馈材料-</w:t>
      </w: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公司名称（全称）</w:t>
      </w:r>
    </w:p>
    <w:p>
      <w:pPr>
        <w:ind w:left="0" w:leftChars="0" w:firstLine="0" w:firstLineChars="0"/>
        <w:jc w:val="center"/>
        <w:outlineLvl w:val="0"/>
        <w:rPr>
          <w:rFonts w:hint="eastAsia" w:ascii="宋体" w:hAnsi="宋体" w:eastAsia="宋体" w:cs="宋体"/>
          <w:b/>
          <w:bCs/>
          <w:sz w:val="21"/>
          <w:szCs w:val="21"/>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1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lang w:val="en-US" w:eastAsia="zh-CN"/>
              </w:rPr>
              <w:t>1.1 投标人应具备的资质要求：投标人为中华人民共和国境内依照《中华人民共和国律师法》设立的律师事务所，具有独立承担民事责任能力，具有独立订立合同的权利；且拥有3名及以上的执业律师</w:t>
            </w:r>
          </w:p>
        </w:tc>
        <w:tc>
          <w:tcPr>
            <w:tcW w:w="2378" w:type="dxa"/>
            <w:vAlign w:val="center"/>
          </w:tcPr>
          <w:p>
            <w:pPr>
              <w:jc w:val="both"/>
              <w:rPr>
                <w:rFonts w:hint="eastAsia" w:ascii="宋体" w:hAnsi="宋体" w:eastAsia="宋体" w:cs="宋体"/>
                <w:sz w:val="21"/>
                <w:szCs w:val="21"/>
                <w:lang w:val="en-US" w:eastAsia="zh-CN"/>
              </w:rPr>
            </w:pPr>
          </w:p>
        </w:tc>
        <w:tc>
          <w:tcPr>
            <w:tcW w:w="4819" w:type="dxa"/>
            <w:vAlign w:val="center"/>
          </w:tcPr>
          <w:p>
            <w:pPr>
              <w:pStyle w:val="5"/>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jc w:val="both"/>
              <w:rPr>
                <w:rFonts w:hint="default" w:ascii="宋体" w:hAnsi="宋体" w:eastAsia="宋体" w:cs="宋体"/>
                <w:sz w:val="21"/>
                <w:szCs w:val="21"/>
                <w:lang w:val="en-US"/>
              </w:rPr>
            </w:pPr>
            <w:r>
              <w:rPr>
                <w:rFonts w:hint="eastAsia" w:ascii="宋体" w:hAnsi="宋体" w:eastAsia="宋体" w:cs="宋体"/>
                <w:sz w:val="21"/>
                <w:szCs w:val="21"/>
                <w:lang w:val="en-US" w:eastAsia="zh-CN"/>
              </w:rPr>
              <w:t>1.1.1投标人具有与本项目类似，且规模相当或相近的项目代理经验，包括但不限于近三年代理的金融机构房屋租赁纠纷诉讼案件成功案例。未被工商行政管理机关在国家企业信用信息公示系统中列入失信企业名单</w:t>
            </w:r>
          </w:p>
        </w:tc>
        <w:tc>
          <w:tcPr>
            <w:tcW w:w="2378" w:type="dxa"/>
            <w:vAlign w:val="center"/>
          </w:tcPr>
          <w:p>
            <w:pPr>
              <w:ind w:firstLine="420" w:firstLineChars="200"/>
              <w:jc w:val="both"/>
              <w:rPr>
                <w:rFonts w:hint="eastAsia" w:ascii="宋体" w:hAnsi="宋体" w:eastAsia="宋体" w:cs="宋体"/>
                <w:sz w:val="21"/>
                <w:szCs w:val="21"/>
                <w:lang w:val="en-US" w:eastAsia="zh-CN"/>
              </w:rPr>
            </w:pPr>
          </w:p>
        </w:tc>
        <w:tc>
          <w:tcPr>
            <w:tcW w:w="4819" w:type="dxa"/>
            <w:vAlign w:val="center"/>
          </w:tcPr>
          <w:p>
            <w:pPr>
              <w:pStyle w:val="5"/>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sz w:val="21"/>
                <w:szCs w:val="21"/>
              </w:rPr>
              <w:t>1.2</w:t>
            </w:r>
            <w:r>
              <w:rPr>
                <w:rFonts w:hint="eastAsia" w:ascii="宋体" w:hAnsi="宋体" w:eastAsia="宋体" w:cs="宋体"/>
                <w:sz w:val="21"/>
                <w:szCs w:val="21"/>
                <w:lang w:val="en-US" w:eastAsia="zh-CN"/>
              </w:rPr>
              <w:t xml:space="preserve"> 代理服务内容：担任该项目诉讼案件(包括诉讼阶段一审、二审、再审）代理人，根据诉讼进程要求，代理招标人代为调查、收集证据；代为出庭、举证、质证、发表意见、辩论；代为提起上诉、应诉反诉；代为签收法律文书等</w:t>
            </w:r>
          </w:p>
        </w:tc>
        <w:tc>
          <w:tcPr>
            <w:tcW w:w="2378" w:type="dxa"/>
            <w:vAlign w:val="center"/>
          </w:tcPr>
          <w:p>
            <w:pPr>
              <w:jc w:val="both"/>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jc w:val="both"/>
              <w:rPr>
                <w:rFonts w:hint="default" w:ascii="宋体" w:hAnsi="宋体" w:eastAsia="宋体" w:cs="宋体"/>
                <w:sz w:val="21"/>
                <w:szCs w:val="21"/>
                <w:lang w:val="en-US"/>
              </w:rPr>
            </w:pPr>
            <w:r>
              <w:rPr>
                <w:rFonts w:hint="eastAsia" w:ascii="宋体" w:hAnsi="宋体" w:eastAsia="宋体" w:cs="宋体"/>
                <w:sz w:val="21"/>
                <w:szCs w:val="21"/>
                <w:lang w:val="en-US" w:eastAsia="zh-CN"/>
              </w:rPr>
              <w:t>1.2.1 代理方式为全风险代理，即招标人前期不支付任何费用，在收到判决后按照合同约定内容支付风险代理费用</w:t>
            </w:r>
          </w:p>
        </w:tc>
        <w:tc>
          <w:tcPr>
            <w:tcW w:w="2378" w:type="dxa"/>
            <w:vAlign w:val="center"/>
          </w:tcPr>
          <w:p>
            <w:pPr>
              <w:jc w:val="both"/>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sz w:val="21"/>
                <w:szCs w:val="21"/>
                <w:lang w:val="en-US" w:eastAsia="zh-CN"/>
              </w:rPr>
              <w:t>2.1投标人需拥有专业律师团队，在核心业务领域具备行业领先优势，具有专业的房屋租赁纠纷方面法律服务经验，勤勉敬业，案件诉讼经验丰富</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sz w:val="21"/>
                <w:szCs w:val="21"/>
                <w:lang w:val="en-US" w:eastAsia="zh-CN"/>
              </w:rPr>
              <w:t>2.2</w:t>
            </w:r>
            <w:r>
              <w:rPr>
                <w:rFonts w:hint="default" w:ascii="宋体" w:hAnsi="宋体" w:eastAsia="宋体" w:cs="宋体"/>
                <w:sz w:val="21"/>
                <w:szCs w:val="21"/>
                <w:lang w:val="en-US" w:eastAsia="zh-CN"/>
              </w:rPr>
              <w:t>投标人须提供具有履行合同所必需的设备和专业技术能力的相关证明材料（须提供承诺书或其他有效证明材料）</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sz w:val="21"/>
                <w:szCs w:val="21"/>
                <w:lang w:val="en-US" w:eastAsia="zh-CN"/>
              </w:rPr>
              <w:t>2.3</w:t>
            </w:r>
            <w:r>
              <w:rPr>
                <w:rFonts w:hint="default" w:ascii="宋体" w:hAnsi="宋体" w:eastAsia="宋体" w:cs="宋体"/>
                <w:sz w:val="21"/>
                <w:szCs w:val="21"/>
                <w:lang w:val="en-US" w:eastAsia="zh-CN"/>
              </w:rPr>
              <w:t>投标人须提供(202</w:t>
            </w:r>
            <w:r>
              <w:rPr>
                <w:rFonts w:hint="eastAsia" w:ascii="宋体" w:hAnsi="宋体" w:eastAsia="宋体" w:cs="宋体"/>
                <w:sz w:val="21"/>
                <w:szCs w:val="21"/>
                <w:lang w:val="en-US" w:eastAsia="zh-CN"/>
              </w:rPr>
              <w:t>4</w:t>
            </w:r>
            <w:r>
              <w:rPr>
                <w:rFonts w:hint="default" w:ascii="宋体" w:hAnsi="宋体" w:eastAsia="宋体" w:cs="宋体"/>
                <w:sz w:val="21"/>
                <w:szCs w:val="21"/>
                <w:lang w:val="en-US" w:eastAsia="zh-CN"/>
              </w:rPr>
              <w:t>年至今)一项类似业绩，需提供证明材料（含合同影印件，首页、能反映采购内容的合同条款、签字盖章页等）</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sz w:val="21"/>
                <w:szCs w:val="21"/>
                <w:lang w:val="en-US" w:eastAsia="zh-CN"/>
              </w:rPr>
              <w:t>2.4</w:t>
            </w:r>
            <w:r>
              <w:rPr>
                <w:rFonts w:hint="default" w:ascii="宋体" w:hAnsi="宋体" w:eastAsia="宋体" w:cs="宋体"/>
                <w:sz w:val="21"/>
                <w:szCs w:val="21"/>
                <w:lang w:val="en-US" w:eastAsia="zh-CN"/>
              </w:rPr>
              <w:t>投标人需提供参加采购活动前三年内在经营活动中没有重大违法记录的书面说明</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eastAsia="宋体" w:cs="宋体"/>
                <w:sz w:val="21"/>
                <w:szCs w:val="21"/>
                <w:lang w:val="en-US" w:eastAsia="zh-CN"/>
              </w:rPr>
              <w:t>3.1</w:t>
            </w:r>
            <w:r>
              <w:rPr>
                <w:rFonts w:hint="default" w:ascii="宋体" w:hAnsi="宋体" w:eastAsia="宋体" w:cs="宋体"/>
                <w:sz w:val="21"/>
                <w:szCs w:val="21"/>
                <w:lang w:val="en-US" w:eastAsia="zh-CN"/>
              </w:rPr>
              <w:t>依法成立，为存续、在营、开业、在册、登记成立等正常企业状态</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eastAsia="宋体" w:cs="宋体"/>
                <w:sz w:val="21"/>
                <w:szCs w:val="21"/>
                <w:lang w:val="en-US" w:eastAsia="zh-CN"/>
              </w:rPr>
              <w:t>3.2</w:t>
            </w:r>
            <w:r>
              <w:rPr>
                <w:rFonts w:hint="default" w:ascii="宋体" w:hAnsi="宋体" w:eastAsia="宋体" w:cs="宋体"/>
                <w:sz w:val="21"/>
                <w:szCs w:val="21"/>
                <w:lang w:val="en-US" w:eastAsia="zh-CN"/>
              </w:rPr>
              <w:t>在兴业银行开立对公账户，若中标本项目，则通过兴业银行对公账户结算该项目相关费用</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eastAsia="宋体" w:cs="宋体"/>
                <w:sz w:val="21"/>
                <w:szCs w:val="21"/>
                <w:lang w:val="en-US" w:eastAsia="zh-CN"/>
              </w:rPr>
              <w:t>3.3</w:t>
            </w:r>
            <w:r>
              <w:rPr>
                <w:rFonts w:hint="default" w:ascii="宋体" w:hAnsi="宋体" w:eastAsia="宋体" w:cs="宋体"/>
                <w:sz w:val="21"/>
                <w:szCs w:val="21"/>
                <w:lang w:val="en-US" w:eastAsia="zh-CN"/>
              </w:rPr>
              <w:t>充分理解我行服务需求并能够根据需求提供相应的服务</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eastAsia="宋体" w:cs="宋体"/>
                <w:sz w:val="21"/>
                <w:szCs w:val="21"/>
                <w:lang w:val="en-US" w:eastAsia="zh-CN"/>
              </w:rPr>
              <w:t>3.4</w:t>
            </w:r>
            <w:r>
              <w:rPr>
                <w:rFonts w:hint="default" w:ascii="宋体" w:hAnsi="宋体" w:eastAsia="宋体" w:cs="宋体"/>
                <w:sz w:val="21"/>
                <w:szCs w:val="21"/>
                <w:lang w:val="en-US" w:eastAsia="zh-CN"/>
              </w:rPr>
              <w:t>具有良好的商业信誉和财务情况</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eastAsia="宋体" w:cs="宋体"/>
                <w:sz w:val="21"/>
                <w:szCs w:val="21"/>
                <w:lang w:val="en-US" w:eastAsia="zh-CN"/>
              </w:rPr>
              <w:t>3.5</w:t>
            </w:r>
            <w:r>
              <w:rPr>
                <w:rFonts w:hint="default" w:ascii="宋体" w:hAnsi="宋体" w:eastAsia="宋体" w:cs="宋体"/>
                <w:sz w:val="21"/>
                <w:szCs w:val="21"/>
                <w:lang w:val="en-US" w:eastAsia="zh-CN"/>
              </w:rPr>
              <w:t>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不在兴业银行供应商禁用/退出期内</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eastAsia="宋体" w:cs="宋体"/>
                <w:sz w:val="21"/>
                <w:szCs w:val="21"/>
                <w:lang w:val="en-US" w:eastAsia="zh-CN"/>
              </w:rPr>
              <w:t>3.6</w:t>
            </w:r>
            <w:r>
              <w:rPr>
                <w:rFonts w:hint="default" w:ascii="宋体" w:hAnsi="宋体" w:eastAsia="宋体" w:cs="宋体"/>
                <w:sz w:val="21"/>
                <w:szCs w:val="21"/>
                <w:lang w:val="en-US" w:eastAsia="zh-CN"/>
              </w:rPr>
              <w:t>与采购人存在利害关系可能影响招标公正性的法人、其他组织或者个人，不得参加投标；单位负责人为同一人或者存在控股、管理关系的不同单位，不得参加同一标段投标或者未划分标段的同一招标项目投标（须出具相关书面声明）</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eastAsia="宋体" w:cs="宋体"/>
                <w:sz w:val="21"/>
                <w:szCs w:val="21"/>
                <w:lang w:val="en-US" w:eastAsia="zh-CN"/>
              </w:rPr>
              <w:t>3.7</w:t>
            </w:r>
            <w:r>
              <w:rPr>
                <w:rFonts w:hint="default" w:ascii="宋体" w:hAnsi="宋体" w:eastAsia="宋体" w:cs="宋体"/>
                <w:sz w:val="21"/>
                <w:szCs w:val="21"/>
                <w:lang w:val="en-US" w:eastAsia="zh-CN"/>
              </w:rPr>
              <w:t>供应商不存在受让、租借或者挂靠资质；不存在伪造、变造资质、资格证书或者其他许可证件；不存在提供虚假业绩、奖项、项目负责人等材料；不存在以其他方式弄虚作假投标的情形（须出具相关书面声明）</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10"/>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pStyle w:val="2"/>
        <w:numPr>
          <w:ilvl w:val="3"/>
          <w:numId w:val="0"/>
        </w:numPr>
        <w:rPr>
          <w:rFonts w:hint="eastAsia"/>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w:t>
      </w:r>
      <w:bookmarkStart w:id="1" w:name="_GoBack"/>
      <w:bookmarkEnd w:id="1"/>
      <w:r>
        <w:rPr>
          <w:rFonts w:hint="eastAsia" w:ascii="仿宋" w:hAnsi="仿宋" w:eastAsia="仿宋" w:cs="仿宋"/>
          <w:b/>
          <w:bCs/>
          <w:sz w:val="28"/>
          <w:szCs w:val="28"/>
          <w:lang w:val="en-US" w:eastAsia="zh-CN"/>
        </w:rPr>
        <w:t>兴业银行兰州分行关于外聘律师委托代理案件采购项目</w:t>
      </w:r>
      <w:r>
        <w:rPr>
          <w:rFonts w:hint="eastAsia" w:ascii="仿宋" w:hAnsi="仿宋" w:eastAsia="仿宋" w:cs="仿宋"/>
          <w:b/>
          <w:bCs/>
          <w:sz w:val="28"/>
          <w:szCs w:val="28"/>
        </w:rPr>
        <w:t>》相关案例情况：</w:t>
      </w:r>
    </w:p>
    <w:tbl>
      <w:tblPr>
        <w:tblStyle w:val="1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3"/>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2"/>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abstractNum w:abstractNumId="1">
    <w:nsid w:val="23A109AD"/>
    <w:multiLevelType w:val="multilevel"/>
    <w:tmpl w:val="23A109AD"/>
    <w:lvl w:ilvl="0" w:tentative="0">
      <w:start w:val="1"/>
      <w:numFmt w:val="decimal"/>
      <w:lvlText w:val="%1."/>
      <w:lvlJc w:val="left"/>
      <w:pPr>
        <w:ind w:left="425" w:hanging="425"/>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1" w:tentative="0">
      <w:start w:val="1"/>
      <w:numFmt w:val="decimal"/>
      <w:lvlText w:val="%1.%2."/>
      <w:lvlJc w:val="left"/>
      <w:pPr>
        <w:ind w:left="567" w:hanging="567"/>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 w:val="36"/>
        <w:szCs w:val="36"/>
        <w:u w:val="none"/>
        <w:vertAlign w:val="baseline"/>
      </w:rPr>
    </w:lvl>
    <w:lvl w:ilvl="2" w:tentative="0">
      <w:start w:val="1"/>
      <w:numFmt w:val="decimal"/>
      <w:lvlText w:val="%1.%2.%3."/>
      <w:lvlJc w:val="left"/>
      <w:pPr>
        <w:ind w:left="709" w:hanging="709"/>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2"/>
      <w:lvlText w:val="%1.%2.%3.%4."/>
      <w:lvlJc w:val="left"/>
      <w:pPr>
        <w:ind w:left="851" w:hanging="851"/>
      </w:pPr>
      <w:rPr>
        <w:b w:val="0"/>
        <w:bCs w:val="0"/>
        <w:i w:val="0"/>
        <w:iCs w:val="0"/>
        <w:caps w:val="0"/>
        <w:smallCaps w:val="0"/>
        <w:strike w:val="0"/>
        <w:dstrike w:val="0"/>
        <w:vanish w:val="0"/>
        <w:color w:val="000000"/>
        <w:spacing w:val="0"/>
        <w:position w:val="0"/>
        <w:u w:val="none"/>
        <w:vertAlign w:val="baseline"/>
      </w:rPr>
    </w:lvl>
    <w:lvl w:ilvl="4" w:tentative="0">
      <w:start w:val="1"/>
      <w:numFmt w:val="decimal"/>
      <w:lvlText w:val="%1.%2.%3.%4.%5."/>
      <w:lvlJc w:val="left"/>
      <w:pPr>
        <w:ind w:left="1418" w:hanging="992"/>
      </w:pPr>
      <w:rPr>
        <w:rFonts w:hint="default" w:ascii="Times New Roman" w:hAnsi="Times New Roman" w:cs="Times New Roman"/>
        <w:b/>
        <w:bCs w:val="0"/>
        <w:i w:val="0"/>
        <w:iCs w:val="0"/>
        <w:caps w:val="0"/>
        <w:smallCaps w:val="0"/>
        <w:strike w:val="0"/>
        <w:dstrike w:val="0"/>
        <w:vanish w:val="0"/>
        <w:color w:val="000000"/>
        <w:spacing w:val="0"/>
        <w:position w:val="0"/>
        <w:u w:val="none"/>
        <w:vertAlign w:val="baseline"/>
      </w:rPr>
    </w:lvl>
    <w:lvl w:ilvl="5" w:tentative="0">
      <w:start w:val="1"/>
      <w:numFmt w:val="decimal"/>
      <w:lvlText w:val="%1.%2.%3.%4.%5.%6."/>
      <w:lvlJc w:val="left"/>
      <w:pPr>
        <w:ind w:left="1134" w:hanging="1134"/>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37FBE"/>
    <w:rsid w:val="14353879"/>
    <w:rsid w:val="2EBF1E2A"/>
    <w:rsid w:val="469F6D47"/>
    <w:rsid w:val="478B765B"/>
    <w:rsid w:val="7E6C5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paragraph" w:styleId="2">
    <w:name w:val="heading 4"/>
    <w:basedOn w:val="1"/>
    <w:next w:val="1"/>
    <w:unhideWhenUsed/>
    <w:qFormat/>
    <w:uiPriority w:val="9"/>
    <w:pPr>
      <w:keepNext/>
      <w:keepLines/>
      <w:numPr>
        <w:ilvl w:val="3"/>
        <w:numId w:val="1"/>
      </w:numPr>
      <w:spacing w:before="280" w:after="290" w:line="376" w:lineRule="auto"/>
      <w:outlineLvl w:val="3"/>
    </w:pPr>
    <w:rPr>
      <w:rFonts w:ascii="Cambria" w:hAnsi="Cambria"/>
      <w:b/>
      <w:bCs/>
      <w:sz w:val="28"/>
      <w:szCs w:val="28"/>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next w:val="5"/>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5">
    <w:name w:val="Body Text First Indent 2"/>
    <w:basedOn w:val="4"/>
    <w:next w:val="6"/>
    <w:qFormat/>
    <w:uiPriority w:val="0"/>
    <w:pPr>
      <w:tabs>
        <w:tab w:val="left" w:pos="0"/>
        <w:tab w:val="left" w:pos="993"/>
        <w:tab w:val="left" w:pos="1134"/>
      </w:tabs>
      <w:spacing w:line="312" w:lineRule="atLeast"/>
      <w:ind w:firstLine="420"/>
    </w:pPr>
  </w:style>
  <w:style w:type="paragraph" w:customStyle="1" w:styleId="6">
    <w:name w:val="正文格式"/>
    <w:basedOn w:val="1"/>
    <w:qFormat/>
    <w:uiPriority w:val="0"/>
    <w:pPr>
      <w:tabs>
        <w:tab w:val="left" w:pos="992"/>
      </w:tabs>
      <w:spacing w:line="240" w:lineRule="auto"/>
      <w:ind w:firstLine="200" w:firstLineChars="200"/>
    </w:pPr>
    <w:rPr>
      <w:rFonts w:ascii="宋体" w:hAnsi="宋体"/>
      <w:sz w:val="28"/>
    </w:rPr>
  </w:style>
  <w:style w:type="paragraph" w:styleId="7">
    <w:name w:val="Plain Text"/>
    <w:basedOn w:val="1"/>
    <w:qFormat/>
    <w:uiPriority w:val="99"/>
    <w:rPr>
      <w:rFonts w:ascii="宋体" w:hAnsi="Courier New" w:cs="Courier New"/>
      <w:szCs w:val="21"/>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陈瑞琳</cp:lastModifiedBy>
  <dcterms:modified xsi:type="dcterms:W3CDTF">2025-10-17T04:04:54Z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