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DC0EF">
      <w:pPr>
        <w:keepNext w:val="0"/>
        <w:keepLines w:val="0"/>
        <w:pageBreakBefore w:val="0"/>
        <w:widowControl w:val="0"/>
        <w:kinsoku/>
        <w:wordWrap/>
        <w:overflowPunct/>
        <w:topLinePunct w:val="0"/>
        <w:autoSpaceDE/>
        <w:autoSpaceDN/>
        <w:bidi w:val="0"/>
        <w:adjustRightInd/>
        <w:snapToGrid/>
        <w:spacing w:after="156" w:afterLines="50" w:line="579" w:lineRule="exact"/>
        <w:jc w:val="center"/>
        <w:textAlignment w:val="auto"/>
        <w:outlineLvl w:val="0"/>
        <w:rPr>
          <w:rFonts w:ascii="方正小标宋简体" w:hAnsi="宋体" w:eastAsia="方正小标宋简体"/>
          <w:sz w:val="44"/>
          <w:szCs w:val="44"/>
        </w:rPr>
      </w:pPr>
      <w:r>
        <w:rPr>
          <w:rFonts w:hint="eastAsia" w:ascii="方正小标宋简体" w:hAnsi="宋体" w:eastAsia="方正小标宋简体"/>
          <w:color w:val="000000"/>
          <w:sz w:val="44"/>
          <w:szCs w:val="44"/>
        </w:rPr>
        <w:t>医疗区更换电子屏采购项目采购需求事</w:t>
      </w:r>
    </w:p>
    <w:p w14:paraId="3C214307">
      <w:pPr>
        <w:spacing w:line="560" w:lineRule="exact"/>
        <w:ind w:firstLine="630"/>
        <w:rPr>
          <w:rFonts w:ascii="黑体" w:hAnsi="黑体" w:eastAsia="黑体"/>
          <w:sz w:val="32"/>
          <w:szCs w:val="32"/>
        </w:rPr>
      </w:pPr>
      <w:r>
        <w:rPr>
          <w:rFonts w:hint="eastAsia" w:ascii="黑体" w:hAnsi="黑体" w:eastAsia="黑体"/>
          <w:sz w:val="32"/>
          <w:szCs w:val="32"/>
        </w:rPr>
        <w:t>一、采购项目基本情况</w:t>
      </w:r>
    </w:p>
    <w:p w14:paraId="59ABB945">
      <w:pPr>
        <w:spacing w:line="560" w:lineRule="exact"/>
        <w:ind w:firstLine="640" w:firstLineChars="200"/>
        <w:rPr>
          <w:rFonts w:ascii="仿宋_GB2312" w:hAnsi="仿宋_GB2312" w:eastAsia="仿宋_GB2312" w:cs="仿宋_GB2312"/>
          <w:color w:val="000000" w:themeColor="text1"/>
          <w:sz w:val="32"/>
          <w:szCs w:val="32"/>
          <w:highlight w:val="yellow"/>
          <w14:textFill>
            <w14:solidFill>
              <w14:schemeClr w14:val="tx1"/>
            </w14:solidFill>
          </w14:textFill>
        </w:rPr>
      </w:pPr>
      <w:r>
        <w:rPr>
          <w:rFonts w:ascii="Times New Roman" w:hAnsi="Times New Roman" w:eastAsia="仿宋_GB2312" w:cs="Times New Roman"/>
          <w:kern w:val="0"/>
          <w:sz w:val="32"/>
          <w:szCs w:val="32"/>
        </w:rPr>
        <w:t>本项目</w:t>
      </w:r>
      <w:r>
        <w:rPr>
          <w:rFonts w:hint="eastAsia" w:ascii="Times New Roman" w:hAnsi="Times New Roman" w:eastAsia="仿宋_GB2312" w:cs="Times New Roman"/>
          <w:kern w:val="0"/>
          <w:sz w:val="32"/>
          <w:szCs w:val="32"/>
        </w:rPr>
        <w:t>主要</w:t>
      </w:r>
      <w:r>
        <w:rPr>
          <w:rFonts w:ascii="Times New Roman" w:hAnsi="Times New Roman" w:eastAsia="仿宋_GB2312" w:cs="Times New Roman"/>
          <w:kern w:val="0"/>
          <w:sz w:val="32"/>
          <w:szCs w:val="32"/>
        </w:rPr>
        <w:t>用</w:t>
      </w:r>
      <w:r>
        <w:rPr>
          <w:rFonts w:hint="eastAsia" w:ascii="Times New Roman" w:hAnsi="Times New Roman" w:eastAsia="仿宋_GB2312" w:cs="Times New Roman"/>
          <w:kern w:val="0"/>
          <w:sz w:val="32"/>
          <w:szCs w:val="32"/>
        </w:rPr>
        <w:t>于</w:t>
      </w:r>
      <w:r>
        <w:rPr>
          <w:rFonts w:hint="eastAsia" w:ascii="Times New Roman" w:hAnsi="Times New Roman" w:eastAsia="仿宋_GB2312" w:cs="Times New Roman"/>
          <w:kern w:val="0"/>
          <w:sz w:val="32"/>
          <w:szCs w:val="32"/>
          <w:lang w:eastAsia="zh-CN"/>
        </w:rPr>
        <w:t>提升医院信息化服务水平及宣传</w:t>
      </w:r>
      <w:r>
        <w:rPr>
          <w:rFonts w:hint="eastAsia" w:ascii="Times New Roman" w:hAnsi="Times New Roman" w:eastAsia="仿宋_GB2312" w:cs="Times New Roman"/>
          <w:kern w:val="0"/>
          <w:sz w:val="32"/>
          <w:szCs w:val="32"/>
        </w:rPr>
        <w:t>目的，采购标的包括LED全彩电子屏</w:t>
      </w:r>
      <w:r>
        <w:rPr>
          <w:rFonts w:hint="eastAsia" w:ascii="Times New Roman" w:hAnsi="Times New Roman" w:eastAsia="仿宋_GB2312" w:cs="Times New Roman"/>
          <w:kern w:val="0"/>
          <w:sz w:val="32"/>
          <w:szCs w:val="32"/>
          <w:lang w:val="en-US" w:eastAsia="zh-CN"/>
        </w:rPr>
        <w:t>6块</w:t>
      </w:r>
      <w:r>
        <w:rPr>
          <w:rFonts w:hint="eastAsia" w:ascii="Times New Roman" w:hAnsi="Times New Roman" w:eastAsia="仿宋_GB2312" w:cs="Times New Roman"/>
          <w:kern w:val="0"/>
          <w:sz w:val="32"/>
          <w:szCs w:val="32"/>
        </w:rPr>
        <w:t>、高清视频控制器</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rPr>
        <w:t>台、多媒体服务器</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台、多媒体控播软件</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套、配电柜</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rPr>
        <w:t>台及附属配套设施等</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p>
    <w:p w14:paraId="0D514DE5">
      <w:pPr>
        <w:spacing w:line="560" w:lineRule="exact"/>
        <w:ind w:firstLine="640" w:firstLineChars="200"/>
        <w:rPr>
          <w:rFonts w:eastAsia="黑体"/>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二、采购预算</w:t>
      </w:r>
    </w:p>
    <w:p w14:paraId="32E1011C">
      <w:pPr>
        <w:spacing w:line="560" w:lineRule="exact"/>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项目预算</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37</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万元</w:t>
      </w:r>
      <w:r>
        <w:rPr>
          <w:rFonts w:hint="eastAsia" w:ascii="仿宋_GB2312" w:hAnsi="仿宋" w:eastAsia="仿宋_GB2312"/>
          <w:color w:val="000000" w:themeColor="text1"/>
          <w:sz w:val="32"/>
          <w:szCs w:val="32"/>
          <w:highlight w:val="none"/>
          <w14:textFill>
            <w14:solidFill>
              <w14:schemeClr w14:val="tx1"/>
            </w14:solidFill>
          </w14:textFill>
        </w:rPr>
        <w:t>。</w:t>
      </w:r>
    </w:p>
    <w:p w14:paraId="06E159E9">
      <w:pPr>
        <w:spacing w:line="579" w:lineRule="exact"/>
        <w:ind w:firstLine="3968" w:firstLineChars="1240"/>
        <w:rPr>
          <w:rFonts w:ascii="仿宋_GB2312" w:hAnsi="仿宋_GB2312" w:eastAsia="仿宋_GB2312" w:cs="仿宋_GB2312"/>
          <w:sz w:val="32"/>
          <w:szCs w:val="32"/>
        </w:rPr>
      </w:pPr>
    </w:p>
    <w:p w14:paraId="746F4C59">
      <w:pPr>
        <w:spacing w:line="560" w:lineRule="exact"/>
        <w:ind w:firstLine="640" w:firstLineChars="200"/>
        <w:rPr>
          <w:rFonts w:hAnsi="黑体" w:eastAsia="黑体"/>
          <w:sz w:val="32"/>
          <w:szCs w:val="32"/>
        </w:rPr>
      </w:pPr>
    </w:p>
    <w:p w14:paraId="2D60CDA9">
      <w:pPr>
        <w:spacing w:line="560" w:lineRule="exact"/>
        <w:rPr>
          <w:rFonts w:ascii="仿宋_GB2312" w:hAnsi="仿宋" w:eastAsia="仿宋_GB2312"/>
          <w:color w:val="000000"/>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2BD4CAF">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hint="eastAsia"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val="en-US" w:eastAsia="zh-CN"/>
        </w:rPr>
        <w:t>附件1-1.</w:t>
      </w:r>
      <w:r>
        <w:rPr>
          <w:rFonts w:hint="eastAsia" w:ascii="方正小标宋简体" w:eastAsia="方正小标宋简体" w:cs="方正小标宋简体"/>
          <w:sz w:val="44"/>
          <w:szCs w:val="44"/>
        </w:rPr>
        <w:t>采购需求明细表</w:t>
      </w:r>
      <w:r>
        <w:rPr>
          <w:rFonts w:hint="eastAsia" w:ascii="方正小标宋简体" w:eastAsia="方正小标宋简体" w:cs="方正小标宋简体"/>
          <w:sz w:val="44"/>
          <w:szCs w:val="44"/>
          <w:lang w:eastAsia="zh-CN"/>
        </w:rPr>
        <w:t>（物资）</w:t>
      </w:r>
    </w:p>
    <w:tbl>
      <w:tblPr>
        <w:tblStyle w:val="4"/>
        <w:tblW w:w="12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3108"/>
        <w:gridCol w:w="988"/>
        <w:gridCol w:w="1271"/>
        <w:gridCol w:w="707"/>
        <w:gridCol w:w="848"/>
        <w:gridCol w:w="847"/>
        <w:gridCol w:w="1130"/>
        <w:gridCol w:w="1271"/>
        <w:gridCol w:w="1451"/>
      </w:tblGrid>
      <w:tr w14:paraId="5242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023F8662">
            <w:pPr>
              <w:overflowPunct w:val="0"/>
              <w:spacing w:line="300" w:lineRule="exact"/>
              <w:jc w:val="center"/>
              <w:rPr>
                <w:rFonts w:ascii="黑体" w:hAnsi="黑体" w:eastAsia="黑体" w:cs="宋体"/>
                <w:sz w:val="24"/>
              </w:rPr>
            </w:pPr>
            <w:r>
              <w:rPr>
                <w:rFonts w:hint="eastAsia" w:ascii="黑体" w:hAnsi="黑体" w:eastAsia="黑体" w:cs="宋体"/>
                <w:sz w:val="24"/>
              </w:rPr>
              <w:t>序号</w:t>
            </w:r>
          </w:p>
        </w:tc>
        <w:tc>
          <w:tcPr>
            <w:tcW w:w="3108" w:type="dxa"/>
            <w:tcBorders>
              <w:top w:val="single" w:color="auto" w:sz="4" w:space="0"/>
              <w:left w:val="single" w:color="auto" w:sz="4" w:space="0"/>
              <w:bottom w:val="single" w:color="auto" w:sz="4" w:space="0"/>
              <w:right w:val="single" w:color="auto" w:sz="4" w:space="0"/>
            </w:tcBorders>
            <w:vAlign w:val="center"/>
          </w:tcPr>
          <w:p w14:paraId="65B4593E">
            <w:pPr>
              <w:overflowPunct w:val="0"/>
              <w:spacing w:line="300" w:lineRule="exact"/>
              <w:jc w:val="center"/>
              <w:rPr>
                <w:rFonts w:ascii="黑体" w:hAnsi="黑体" w:eastAsia="黑体" w:cs="宋体"/>
                <w:sz w:val="24"/>
              </w:rPr>
            </w:pPr>
            <w:r>
              <w:rPr>
                <w:rFonts w:hint="eastAsia" w:ascii="黑体" w:hAnsi="黑体" w:eastAsia="黑体" w:cs="宋体"/>
                <w:sz w:val="24"/>
              </w:rPr>
              <w:t>项目及</w:t>
            </w:r>
          </w:p>
          <w:p w14:paraId="76743221">
            <w:pPr>
              <w:overflowPunct w:val="0"/>
              <w:spacing w:line="300" w:lineRule="exact"/>
              <w:jc w:val="center"/>
              <w:rPr>
                <w:rFonts w:ascii="黑体" w:hAnsi="黑体" w:eastAsia="黑体" w:cs="宋体"/>
                <w:sz w:val="24"/>
              </w:rPr>
            </w:pPr>
            <w:r>
              <w:rPr>
                <w:rFonts w:hint="eastAsia" w:ascii="黑体" w:hAnsi="黑体" w:eastAsia="黑体" w:cs="宋体"/>
                <w:sz w:val="24"/>
              </w:rPr>
              <w:t>品种名称</w:t>
            </w:r>
          </w:p>
        </w:tc>
        <w:tc>
          <w:tcPr>
            <w:tcW w:w="988" w:type="dxa"/>
            <w:tcBorders>
              <w:top w:val="single" w:color="auto" w:sz="4" w:space="0"/>
              <w:left w:val="single" w:color="auto" w:sz="4" w:space="0"/>
              <w:bottom w:val="single" w:color="auto" w:sz="4" w:space="0"/>
              <w:right w:val="single" w:color="auto" w:sz="4" w:space="0"/>
            </w:tcBorders>
            <w:vAlign w:val="center"/>
          </w:tcPr>
          <w:p w14:paraId="7F47AE15">
            <w:pPr>
              <w:overflowPunct w:val="0"/>
              <w:spacing w:line="300" w:lineRule="exact"/>
              <w:jc w:val="center"/>
              <w:rPr>
                <w:rFonts w:ascii="黑体" w:hAnsi="黑体" w:eastAsia="黑体" w:cs="宋体"/>
                <w:sz w:val="24"/>
              </w:rPr>
            </w:pPr>
            <w:r>
              <w:rPr>
                <w:rFonts w:hint="eastAsia" w:ascii="黑体" w:hAnsi="黑体" w:eastAsia="黑体" w:cs="宋体"/>
                <w:sz w:val="24"/>
              </w:rPr>
              <w:t>采购编码</w:t>
            </w:r>
          </w:p>
        </w:tc>
        <w:tc>
          <w:tcPr>
            <w:tcW w:w="1271" w:type="dxa"/>
            <w:tcBorders>
              <w:top w:val="single" w:color="auto" w:sz="4" w:space="0"/>
              <w:left w:val="single" w:color="auto" w:sz="4" w:space="0"/>
              <w:bottom w:val="single" w:color="auto" w:sz="4" w:space="0"/>
              <w:right w:val="single" w:color="auto" w:sz="4" w:space="0"/>
            </w:tcBorders>
            <w:vAlign w:val="center"/>
          </w:tcPr>
          <w:p w14:paraId="6EF6B826">
            <w:pPr>
              <w:overflowPunct w:val="0"/>
              <w:spacing w:line="300" w:lineRule="exact"/>
              <w:jc w:val="center"/>
              <w:rPr>
                <w:rFonts w:ascii="黑体" w:hAnsi="黑体" w:eastAsia="黑体" w:cs="宋体"/>
                <w:sz w:val="24"/>
              </w:rPr>
            </w:pPr>
            <w:r>
              <w:rPr>
                <w:rFonts w:hint="eastAsia" w:ascii="黑体" w:hAnsi="黑体" w:eastAsia="黑体" w:cs="宋体"/>
                <w:sz w:val="24"/>
              </w:rPr>
              <w:t>军用物资</w:t>
            </w:r>
          </w:p>
          <w:p w14:paraId="14B4E836">
            <w:pPr>
              <w:overflowPunct w:val="0"/>
              <w:spacing w:line="300" w:lineRule="exact"/>
              <w:jc w:val="center"/>
              <w:rPr>
                <w:rFonts w:ascii="黑体" w:hAnsi="黑体" w:eastAsia="黑体" w:cs="宋体"/>
                <w:sz w:val="24"/>
              </w:rPr>
            </w:pPr>
            <w:r>
              <w:rPr>
                <w:rFonts w:hint="eastAsia" w:ascii="黑体" w:hAnsi="黑体" w:eastAsia="黑体" w:cs="宋体"/>
                <w:sz w:val="24"/>
              </w:rPr>
              <w:t>编目码</w:t>
            </w:r>
          </w:p>
        </w:tc>
        <w:tc>
          <w:tcPr>
            <w:tcW w:w="707" w:type="dxa"/>
            <w:tcBorders>
              <w:top w:val="single" w:color="auto" w:sz="4" w:space="0"/>
              <w:left w:val="single" w:color="auto" w:sz="4" w:space="0"/>
              <w:bottom w:val="single" w:color="auto" w:sz="4" w:space="0"/>
              <w:right w:val="single" w:color="auto" w:sz="4" w:space="0"/>
            </w:tcBorders>
            <w:vAlign w:val="center"/>
          </w:tcPr>
          <w:p w14:paraId="3ECEBE45">
            <w:pPr>
              <w:overflowPunct w:val="0"/>
              <w:spacing w:line="300" w:lineRule="exact"/>
              <w:jc w:val="center"/>
              <w:rPr>
                <w:rFonts w:ascii="黑体" w:hAnsi="黑体" w:eastAsia="黑体" w:cs="宋体"/>
                <w:sz w:val="24"/>
              </w:rPr>
            </w:pPr>
            <w:r>
              <w:rPr>
                <w:rFonts w:hint="eastAsia" w:ascii="黑体" w:hAnsi="黑体" w:eastAsia="黑体" w:cs="宋体"/>
                <w:sz w:val="24"/>
              </w:rPr>
              <w:t>分包方案</w:t>
            </w:r>
          </w:p>
        </w:tc>
        <w:tc>
          <w:tcPr>
            <w:tcW w:w="848" w:type="dxa"/>
            <w:tcBorders>
              <w:top w:val="single" w:color="auto" w:sz="4" w:space="0"/>
              <w:left w:val="single" w:color="auto" w:sz="4" w:space="0"/>
              <w:bottom w:val="single" w:color="auto" w:sz="4" w:space="0"/>
              <w:right w:val="single" w:color="auto" w:sz="4" w:space="0"/>
            </w:tcBorders>
            <w:vAlign w:val="center"/>
          </w:tcPr>
          <w:p w14:paraId="27435F29">
            <w:pPr>
              <w:overflowPunct w:val="0"/>
              <w:spacing w:line="300" w:lineRule="exact"/>
              <w:jc w:val="center"/>
              <w:rPr>
                <w:rFonts w:ascii="黑体" w:hAnsi="黑体" w:eastAsia="黑体" w:cs="宋体"/>
                <w:sz w:val="24"/>
              </w:rPr>
            </w:pPr>
            <w:r>
              <w:rPr>
                <w:rFonts w:hint="eastAsia" w:ascii="黑体" w:hAnsi="黑体" w:eastAsia="黑体" w:cs="宋体"/>
                <w:sz w:val="24"/>
              </w:rPr>
              <w:t>计量</w:t>
            </w:r>
          </w:p>
          <w:p w14:paraId="39C91E6B">
            <w:pPr>
              <w:overflowPunct w:val="0"/>
              <w:spacing w:line="300" w:lineRule="exact"/>
              <w:jc w:val="center"/>
              <w:rPr>
                <w:rFonts w:ascii="黑体" w:hAnsi="黑体" w:eastAsia="黑体" w:cs="宋体"/>
                <w:sz w:val="24"/>
              </w:rPr>
            </w:pPr>
            <w:r>
              <w:rPr>
                <w:rFonts w:hint="eastAsia" w:ascii="黑体" w:hAnsi="黑体" w:eastAsia="黑体" w:cs="宋体"/>
                <w:sz w:val="24"/>
              </w:rPr>
              <w:t>单位</w:t>
            </w:r>
          </w:p>
        </w:tc>
        <w:tc>
          <w:tcPr>
            <w:tcW w:w="847" w:type="dxa"/>
            <w:tcBorders>
              <w:top w:val="single" w:color="auto" w:sz="4" w:space="0"/>
              <w:left w:val="single" w:color="auto" w:sz="4" w:space="0"/>
              <w:bottom w:val="single" w:color="auto" w:sz="4" w:space="0"/>
              <w:right w:val="single" w:color="auto" w:sz="4" w:space="0"/>
            </w:tcBorders>
            <w:vAlign w:val="center"/>
          </w:tcPr>
          <w:p w14:paraId="5038BBE9">
            <w:pPr>
              <w:overflowPunct w:val="0"/>
              <w:spacing w:line="300" w:lineRule="exact"/>
              <w:jc w:val="center"/>
              <w:rPr>
                <w:rFonts w:ascii="黑体" w:hAnsi="黑体" w:eastAsia="黑体" w:cs="宋体"/>
                <w:sz w:val="24"/>
              </w:rPr>
            </w:pPr>
            <w:r>
              <w:rPr>
                <w:rFonts w:hint="eastAsia" w:ascii="黑体" w:hAnsi="黑体" w:eastAsia="黑体" w:cs="宋体"/>
                <w:sz w:val="24"/>
              </w:rPr>
              <w:t>采购</w:t>
            </w:r>
          </w:p>
          <w:p w14:paraId="0CE49328">
            <w:pPr>
              <w:overflowPunct w:val="0"/>
              <w:spacing w:line="300" w:lineRule="exact"/>
              <w:jc w:val="center"/>
              <w:rPr>
                <w:rFonts w:ascii="黑体" w:hAnsi="黑体" w:eastAsia="黑体" w:cs="宋体"/>
                <w:sz w:val="24"/>
              </w:rPr>
            </w:pPr>
            <w:r>
              <w:rPr>
                <w:rFonts w:hint="eastAsia" w:ascii="黑体" w:hAnsi="黑体" w:eastAsia="黑体" w:cs="宋体"/>
                <w:sz w:val="24"/>
              </w:rPr>
              <w:t>数量</w:t>
            </w:r>
          </w:p>
        </w:tc>
        <w:tc>
          <w:tcPr>
            <w:tcW w:w="1130" w:type="dxa"/>
            <w:tcBorders>
              <w:top w:val="single" w:color="auto" w:sz="4" w:space="0"/>
              <w:left w:val="single" w:color="auto" w:sz="4" w:space="0"/>
              <w:bottom w:val="single" w:color="auto" w:sz="4" w:space="0"/>
              <w:right w:val="single" w:color="auto" w:sz="4" w:space="0"/>
            </w:tcBorders>
            <w:vAlign w:val="center"/>
          </w:tcPr>
          <w:p w14:paraId="68BB5C4E">
            <w:pPr>
              <w:overflowPunct w:val="0"/>
              <w:spacing w:line="300" w:lineRule="exact"/>
              <w:jc w:val="center"/>
              <w:rPr>
                <w:rFonts w:ascii="黑体" w:hAnsi="黑体" w:eastAsia="黑体" w:cs="宋体"/>
                <w:sz w:val="24"/>
              </w:rPr>
            </w:pPr>
            <w:r>
              <w:rPr>
                <w:rFonts w:hint="eastAsia" w:ascii="黑体" w:hAnsi="黑体" w:eastAsia="黑体" w:cs="宋体"/>
                <w:sz w:val="24"/>
              </w:rPr>
              <w:t>单价</w:t>
            </w:r>
          </w:p>
          <w:p w14:paraId="111AB59B">
            <w:pPr>
              <w:overflowPunct w:val="0"/>
              <w:spacing w:line="300" w:lineRule="exact"/>
              <w:jc w:val="center"/>
              <w:rPr>
                <w:rFonts w:ascii="黑体" w:hAnsi="黑体" w:eastAsia="黑体" w:cs="宋体"/>
                <w:sz w:val="24"/>
              </w:rPr>
            </w:pPr>
            <w:r>
              <w:rPr>
                <w:rFonts w:hint="eastAsia" w:ascii="黑体" w:hAnsi="黑体" w:eastAsia="黑体" w:cs="宋体"/>
                <w:sz w:val="24"/>
              </w:rPr>
              <w:t>（万元）</w:t>
            </w:r>
          </w:p>
        </w:tc>
        <w:tc>
          <w:tcPr>
            <w:tcW w:w="1271" w:type="dxa"/>
            <w:tcBorders>
              <w:top w:val="single" w:color="auto" w:sz="4" w:space="0"/>
              <w:left w:val="single" w:color="auto" w:sz="4" w:space="0"/>
              <w:bottom w:val="single" w:color="auto" w:sz="4" w:space="0"/>
              <w:right w:val="single" w:color="auto" w:sz="4" w:space="0"/>
            </w:tcBorders>
            <w:vAlign w:val="center"/>
          </w:tcPr>
          <w:p w14:paraId="4D5245E3">
            <w:pPr>
              <w:overflowPunct w:val="0"/>
              <w:spacing w:line="300" w:lineRule="exact"/>
              <w:jc w:val="center"/>
              <w:rPr>
                <w:rFonts w:ascii="黑体" w:hAnsi="黑体" w:eastAsia="黑体" w:cs="宋体"/>
                <w:sz w:val="24"/>
              </w:rPr>
            </w:pPr>
            <w:r>
              <w:rPr>
                <w:rFonts w:hint="eastAsia" w:ascii="黑体" w:hAnsi="黑体" w:eastAsia="黑体" w:cs="宋体"/>
                <w:sz w:val="24"/>
              </w:rPr>
              <w:t>预算金额</w:t>
            </w:r>
          </w:p>
          <w:p w14:paraId="2B0CA016">
            <w:pPr>
              <w:overflowPunct w:val="0"/>
              <w:spacing w:line="300" w:lineRule="exact"/>
              <w:jc w:val="center"/>
              <w:rPr>
                <w:rFonts w:ascii="黑体" w:hAnsi="黑体" w:eastAsia="黑体" w:cs="宋体"/>
                <w:sz w:val="24"/>
              </w:rPr>
            </w:pPr>
            <w:r>
              <w:rPr>
                <w:rFonts w:hint="eastAsia" w:ascii="黑体" w:hAnsi="黑体" w:eastAsia="黑体" w:cs="宋体"/>
                <w:sz w:val="24"/>
              </w:rPr>
              <w:t>（万元）</w:t>
            </w:r>
          </w:p>
        </w:tc>
        <w:tc>
          <w:tcPr>
            <w:tcW w:w="1451" w:type="dxa"/>
            <w:tcBorders>
              <w:top w:val="single" w:color="auto" w:sz="4" w:space="0"/>
              <w:left w:val="single" w:color="auto" w:sz="4" w:space="0"/>
              <w:bottom w:val="single" w:color="auto" w:sz="4" w:space="0"/>
              <w:right w:val="single" w:color="auto" w:sz="4" w:space="0"/>
            </w:tcBorders>
            <w:vAlign w:val="center"/>
          </w:tcPr>
          <w:p w14:paraId="1D9C8D4B">
            <w:pPr>
              <w:overflowPunct w:val="0"/>
              <w:spacing w:line="300" w:lineRule="exact"/>
              <w:jc w:val="center"/>
              <w:rPr>
                <w:rFonts w:ascii="黑体" w:hAnsi="黑体" w:eastAsia="黑体" w:cs="宋体"/>
                <w:sz w:val="24"/>
              </w:rPr>
            </w:pPr>
            <w:r>
              <w:rPr>
                <w:rFonts w:hint="eastAsia" w:ascii="黑体" w:hAnsi="黑体" w:eastAsia="黑体" w:cs="宋体"/>
                <w:sz w:val="24"/>
              </w:rPr>
              <w:t>交付（实施）</w:t>
            </w:r>
          </w:p>
          <w:p w14:paraId="13024F0E">
            <w:pPr>
              <w:overflowPunct w:val="0"/>
              <w:spacing w:line="300" w:lineRule="exact"/>
              <w:jc w:val="center"/>
              <w:rPr>
                <w:rFonts w:ascii="黑体" w:hAnsi="黑体" w:eastAsia="黑体" w:cs="宋体"/>
                <w:sz w:val="24"/>
              </w:rPr>
            </w:pPr>
            <w:r>
              <w:rPr>
                <w:rFonts w:hint="eastAsia" w:ascii="黑体" w:hAnsi="黑体" w:eastAsia="黑体" w:cs="宋体"/>
                <w:sz w:val="24"/>
              </w:rPr>
              <w:t>时间</w:t>
            </w:r>
          </w:p>
        </w:tc>
      </w:tr>
      <w:tr w14:paraId="25D7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5AE66662">
            <w:pPr>
              <w:spacing w:line="280" w:lineRule="exact"/>
              <w:jc w:val="center"/>
              <w:rPr>
                <w:rFonts w:hint="eastAsia" w:eastAsia="宋体" w:cs="宋体" w:asciiTheme="minorEastAsia" w:hAnsiTheme="minorEastAsia"/>
                <w:sz w:val="20"/>
                <w:szCs w:val="20"/>
                <w:lang w:eastAsia="zh-CN"/>
              </w:rPr>
            </w:pPr>
            <w:r>
              <w:rPr>
                <w:rFonts w:hint="eastAsia" w:eastAsia="宋体" w:cs="宋体" w:asciiTheme="minorEastAsia" w:hAnsiTheme="minorEastAsia"/>
                <w:sz w:val="20"/>
                <w:szCs w:val="20"/>
                <w:lang w:eastAsia="zh-CN"/>
              </w:rPr>
              <w:t>1</w:t>
            </w:r>
          </w:p>
        </w:tc>
        <w:tc>
          <w:tcPr>
            <w:tcW w:w="3108" w:type="dxa"/>
            <w:tcBorders>
              <w:top w:val="single" w:color="auto" w:sz="4" w:space="0"/>
              <w:left w:val="single" w:color="auto" w:sz="4" w:space="0"/>
              <w:bottom w:val="single" w:color="auto" w:sz="4" w:space="0"/>
              <w:right w:val="single" w:color="auto" w:sz="4" w:space="0"/>
            </w:tcBorders>
            <w:vAlign w:val="center"/>
          </w:tcPr>
          <w:p w14:paraId="71EDED6A">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LED全彩电子屏</w:t>
            </w:r>
          </w:p>
        </w:tc>
        <w:tc>
          <w:tcPr>
            <w:tcW w:w="988" w:type="dxa"/>
            <w:tcBorders>
              <w:top w:val="single" w:color="auto" w:sz="4" w:space="0"/>
              <w:left w:val="single" w:color="auto" w:sz="4" w:space="0"/>
              <w:right w:val="single" w:color="auto" w:sz="4" w:space="0"/>
            </w:tcBorders>
            <w:vAlign w:val="center"/>
          </w:tcPr>
          <w:p w14:paraId="013B8EC3">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1271" w:type="dxa"/>
            <w:tcBorders>
              <w:top w:val="single" w:color="auto" w:sz="4" w:space="0"/>
              <w:left w:val="single" w:color="auto" w:sz="4" w:space="0"/>
              <w:right w:val="single" w:color="auto" w:sz="4" w:space="0"/>
            </w:tcBorders>
            <w:vAlign w:val="center"/>
          </w:tcPr>
          <w:p w14:paraId="3F28C53A">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707" w:type="dxa"/>
            <w:tcBorders>
              <w:top w:val="single" w:color="auto" w:sz="4" w:space="0"/>
              <w:left w:val="single" w:color="auto" w:sz="4" w:space="0"/>
              <w:right w:val="single" w:color="auto" w:sz="4" w:space="0"/>
            </w:tcBorders>
            <w:vAlign w:val="center"/>
          </w:tcPr>
          <w:p w14:paraId="3CBD11FA">
            <w:pPr>
              <w:widowControl/>
              <w:spacing w:line="280" w:lineRule="exact"/>
              <w:jc w:val="center"/>
              <w:rPr>
                <w:rFonts w:cs="宋体" w:asciiTheme="minorEastAsia" w:hAnsiTheme="minorEastAsia"/>
                <w:bCs/>
                <w:kern w:val="0"/>
                <w:sz w:val="20"/>
                <w:szCs w:val="20"/>
              </w:rPr>
            </w:pPr>
          </w:p>
        </w:tc>
        <w:tc>
          <w:tcPr>
            <w:tcW w:w="848" w:type="dxa"/>
            <w:tcBorders>
              <w:top w:val="single" w:color="auto" w:sz="4" w:space="0"/>
              <w:left w:val="single" w:color="auto" w:sz="4" w:space="0"/>
              <w:bottom w:val="single" w:color="auto" w:sz="4" w:space="0"/>
              <w:right w:val="single" w:color="auto" w:sz="4" w:space="0"/>
            </w:tcBorders>
            <w:vAlign w:val="center"/>
          </w:tcPr>
          <w:p w14:paraId="0438F1EC">
            <w:pPr>
              <w:widowControl/>
              <w:spacing w:line="280" w:lineRule="exact"/>
              <w:jc w:val="center"/>
              <w:rPr>
                <w:rFonts w:hint="eastAsia" w:eastAsia="宋体" w:cs="宋体" w:asciiTheme="minorEastAsia" w:hAnsiTheme="minorEastAsia"/>
                <w:bCs/>
                <w:kern w:val="0"/>
                <w:sz w:val="20"/>
                <w:szCs w:val="20"/>
                <w:lang w:eastAsia="zh-CN"/>
              </w:rPr>
            </w:pPr>
            <w:r>
              <w:rPr>
                <w:rFonts w:hint="eastAsia" w:eastAsia="宋体" w:cs="宋体" w:asciiTheme="minorEastAsia" w:hAnsiTheme="minorEastAsia"/>
                <w:bCs/>
                <w:kern w:val="0"/>
                <w:sz w:val="20"/>
                <w:szCs w:val="20"/>
                <w:lang w:eastAsia="zh-CN"/>
              </w:rPr>
              <w:t>块</w:t>
            </w:r>
          </w:p>
        </w:tc>
        <w:tc>
          <w:tcPr>
            <w:tcW w:w="847" w:type="dxa"/>
            <w:tcBorders>
              <w:top w:val="single" w:color="auto" w:sz="4" w:space="0"/>
              <w:left w:val="single" w:color="auto" w:sz="4" w:space="0"/>
              <w:bottom w:val="single" w:color="auto" w:sz="4" w:space="0"/>
              <w:right w:val="single" w:color="auto" w:sz="4" w:space="0"/>
            </w:tcBorders>
            <w:vAlign w:val="center"/>
          </w:tcPr>
          <w:p w14:paraId="43C3F274">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6</w:t>
            </w:r>
          </w:p>
        </w:tc>
        <w:tc>
          <w:tcPr>
            <w:tcW w:w="1130" w:type="dxa"/>
            <w:tcBorders>
              <w:top w:val="single" w:color="auto" w:sz="4" w:space="0"/>
              <w:left w:val="single" w:color="auto" w:sz="4" w:space="0"/>
              <w:bottom w:val="single" w:color="auto" w:sz="4" w:space="0"/>
              <w:right w:val="single" w:color="auto" w:sz="4" w:space="0"/>
            </w:tcBorders>
            <w:vAlign w:val="center"/>
          </w:tcPr>
          <w:p w14:paraId="1E303BD5">
            <w:pPr>
              <w:spacing w:line="280" w:lineRule="exact"/>
              <w:jc w:val="center"/>
              <w:rPr>
                <w:rFonts w:cs="宋体" w:asciiTheme="minorEastAsia" w:hAnsiTheme="minorEastAsia"/>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1380BAA5">
            <w:pPr>
              <w:spacing w:line="280" w:lineRule="exact"/>
              <w:jc w:val="center"/>
              <w:rPr>
                <w:rFonts w:hint="eastAsia" w:eastAsia="宋体" w:cs="宋体" w:asciiTheme="minorEastAsia" w:hAnsiTheme="minorEastAsia"/>
                <w:sz w:val="20"/>
                <w:szCs w:val="20"/>
                <w:lang w:val="en-US" w:eastAsia="zh-CN"/>
              </w:rPr>
            </w:pPr>
          </w:p>
        </w:tc>
        <w:tc>
          <w:tcPr>
            <w:tcW w:w="1451" w:type="dxa"/>
            <w:vMerge w:val="restart"/>
            <w:tcBorders>
              <w:top w:val="single" w:color="auto" w:sz="4" w:space="0"/>
              <w:left w:val="single" w:color="auto" w:sz="4" w:space="0"/>
              <w:right w:val="single" w:color="auto" w:sz="4" w:space="0"/>
            </w:tcBorders>
            <w:vAlign w:val="center"/>
          </w:tcPr>
          <w:p w14:paraId="1D5C11DA">
            <w:pPr>
              <w:pStyle w:val="9"/>
              <w:spacing w:line="280" w:lineRule="exact"/>
              <w:ind w:firstLine="0" w:firstLineChars="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自合同签订生效之日起30内完成供货、安装、调试。</w:t>
            </w:r>
          </w:p>
        </w:tc>
      </w:tr>
      <w:tr w14:paraId="667E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7F0F5FE7">
            <w:pPr>
              <w:spacing w:line="280" w:lineRule="exact"/>
              <w:jc w:val="center"/>
              <w:rPr>
                <w:rFonts w:hint="eastAsia" w:eastAsia="宋体" w:cs="宋体" w:asciiTheme="minorEastAsia" w:hAnsiTheme="minorEastAsia"/>
                <w:sz w:val="20"/>
                <w:szCs w:val="20"/>
                <w:lang w:eastAsia="zh-CN"/>
              </w:rPr>
            </w:pPr>
            <w:r>
              <w:rPr>
                <w:rFonts w:hint="eastAsia" w:eastAsia="宋体" w:cs="宋体" w:asciiTheme="minorEastAsia" w:hAnsiTheme="minorEastAsia"/>
                <w:sz w:val="20"/>
                <w:szCs w:val="20"/>
                <w:lang w:eastAsia="zh-CN"/>
              </w:rPr>
              <w:t>2</w:t>
            </w:r>
          </w:p>
        </w:tc>
        <w:tc>
          <w:tcPr>
            <w:tcW w:w="3108" w:type="dxa"/>
            <w:tcBorders>
              <w:top w:val="single" w:color="auto" w:sz="4" w:space="0"/>
              <w:left w:val="single" w:color="auto" w:sz="4" w:space="0"/>
              <w:bottom w:val="single" w:color="auto" w:sz="4" w:space="0"/>
              <w:right w:val="single" w:color="auto" w:sz="4" w:space="0"/>
            </w:tcBorders>
            <w:vAlign w:val="center"/>
          </w:tcPr>
          <w:p w14:paraId="1926EC5F">
            <w:pPr>
              <w:spacing w:line="280" w:lineRule="exact"/>
              <w:jc w:val="center"/>
              <w:rPr>
                <w:rFonts w:hint="eastAsia" w:eastAsia="宋体" w:cs="宋体" w:asciiTheme="minorEastAsia" w:hAnsiTheme="minorEastAsia"/>
                <w:sz w:val="20"/>
                <w:szCs w:val="20"/>
                <w:lang w:eastAsia="zh-CN"/>
              </w:rPr>
            </w:pPr>
            <w:r>
              <w:rPr>
                <w:rFonts w:hint="eastAsia" w:eastAsia="宋体" w:cs="宋体" w:asciiTheme="minorEastAsia" w:hAnsiTheme="minorEastAsia"/>
                <w:sz w:val="20"/>
                <w:szCs w:val="20"/>
                <w:lang w:eastAsia="zh-CN"/>
              </w:rPr>
              <w:t>高清视频控制器</w:t>
            </w:r>
          </w:p>
        </w:tc>
        <w:tc>
          <w:tcPr>
            <w:tcW w:w="988" w:type="dxa"/>
            <w:tcBorders>
              <w:left w:val="single" w:color="auto" w:sz="4" w:space="0"/>
              <w:right w:val="single" w:color="auto" w:sz="4" w:space="0"/>
            </w:tcBorders>
            <w:vAlign w:val="center"/>
          </w:tcPr>
          <w:p w14:paraId="6B5C94B6">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1271" w:type="dxa"/>
            <w:tcBorders>
              <w:left w:val="single" w:color="auto" w:sz="4" w:space="0"/>
              <w:right w:val="single" w:color="auto" w:sz="4" w:space="0"/>
            </w:tcBorders>
            <w:vAlign w:val="center"/>
          </w:tcPr>
          <w:p w14:paraId="5079358D">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707" w:type="dxa"/>
            <w:tcBorders>
              <w:left w:val="single" w:color="auto" w:sz="4" w:space="0"/>
              <w:right w:val="single" w:color="auto" w:sz="4" w:space="0"/>
            </w:tcBorders>
            <w:vAlign w:val="center"/>
          </w:tcPr>
          <w:p w14:paraId="23B159BC">
            <w:pPr>
              <w:widowControl/>
              <w:spacing w:line="280" w:lineRule="exact"/>
              <w:jc w:val="center"/>
              <w:rPr>
                <w:rFonts w:cs="宋体" w:asciiTheme="minorEastAsia" w:hAnsiTheme="minorEastAsia"/>
                <w:bCs/>
                <w:kern w:val="0"/>
                <w:sz w:val="20"/>
                <w:szCs w:val="20"/>
              </w:rPr>
            </w:pPr>
          </w:p>
        </w:tc>
        <w:tc>
          <w:tcPr>
            <w:tcW w:w="848" w:type="dxa"/>
            <w:tcBorders>
              <w:top w:val="single" w:color="auto" w:sz="4" w:space="0"/>
              <w:left w:val="single" w:color="auto" w:sz="4" w:space="0"/>
              <w:bottom w:val="single" w:color="auto" w:sz="4" w:space="0"/>
              <w:right w:val="single" w:color="auto" w:sz="4" w:space="0"/>
            </w:tcBorders>
            <w:vAlign w:val="center"/>
          </w:tcPr>
          <w:p w14:paraId="5FCF43C3">
            <w:pPr>
              <w:widowControl/>
              <w:spacing w:line="280" w:lineRule="exact"/>
              <w:jc w:val="center"/>
              <w:rPr>
                <w:rFonts w:hint="eastAsia" w:eastAsia="宋体" w:cs="宋体" w:asciiTheme="minorEastAsia" w:hAnsiTheme="minorEastAsia"/>
                <w:bCs/>
                <w:kern w:val="0"/>
                <w:sz w:val="20"/>
                <w:szCs w:val="20"/>
                <w:lang w:val="en-US" w:eastAsia="zh-CN"/>
              </w:rPr>
            </w:pPr>
            <w:r>
              <w:rPr>
                <w:rFonts w:hint="eastAsia" w:eastAsia="宋体" w:cs="宋体" w:asciiTheme="minorEastAsia" w:hAnsiTheme="minorEastAsia"/>
                <w:bCs/>
                <w:kern w:val="0"/>
                <w:sz w:val="20"/>
                <w:szCs w:val="20"/>
                <w:lang w:val="en-US" w:eastAsia="zh-CN"/>
              </w:rPr>
              <w:t>台</w:t>
            </w:r>
          </w:p>
        </w:tc>
        <w:tc>
          <w:tcPr>
            <w:tcW w:w="847" w:type="dxa"/>
            <w:tcBorders>
              <w:top w:val="single" w:color="auto" w:sz="4" w:space="0"/>
              <w:left w:val="single" w:color="auto" w:sz="4" w:space="0"/>
              <w:bottom w:val="single" w:color="auto" w:sz="4" w:space="0"/>
              <w:right w:val="single" w:color="auto" w:sz="4" w:space="0"/>
            </w:tcBorders>
            <w:vAlign w:val="center"/>
          </w:tcPr>
          <w:p w14:paraId="18DF84E2">
            <w:pPr>
              <w:spacing w:line="280" w:lineRule="exact"/>
              <w:jc w:val="center"/>
              <w:rPr>
                <w:rFonts w:hint="eastAsia" w:eastAsia="宋体" w:cs="宋体" w:asciiTheme="minorEastAsia" w:hAnsiTheme="minorEastAsia"/>
                <w:color w:val="000000"/>
                <w:sz w:val="20"/>
                <w:szCs w:val="20"/>
                <w:lang w:val="en-US" w:eastAsia="zh-CN"/>
              </w:rPr>
            </w:pPr>
            <w:r>
              <w:rPr>
                <w:rFonts w:hint="eastAsia" w:eastAsia="宋体" w:cs="宋体" w:asciiTheme="minorEastAsia" w:hAnsiTheme="minorEastAsia"/>
                <w:color w:val="000000"/>
                <w:sz w:val="20"/>
                <w:szCs w:val="20"/>
                <w:lang w:val="en-US" w:eastAsia="zh-CN"/>
              </w:rPr>
              <w:t>4</w:t>
            </w:r>
          </w:p>
        </w:tc>
        <w:tc>
          <w:tcPr>
            <w:tcW w:w="1130" w:type="dxa"/>
            <w:tcBorders>
              <w:top w:val="single" w:color="auto" w:sz="4" w:space="0"/>
              <w:left w:val="single" w:color="auto" w:sz="4" w:space="0"/>
              <w:bottom w:val="single" w:color="auto" w:sz="4" w:space="0"/>
              <w:right w:val="single" w:color="auto" w:sz="4" w:space="0"/>
            </w:tcBorders>
            <w:vAlign w:val="center"/>
          </w:tcPr>
          <w:p w14:paraId="6AA85DD0">
            <w:pPr>
              <w:spacing w:line="280" w:lineRule="exact"/>
              <w:jc w:val="center"/>
              <w:rPr>
                <w:rFonts w:cs="宋体" w:asciiTheme="minorEastAsia" w:hAnsiTheme="minorEastAsia"/>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2AEE486C">
            <w:pPr>
              <w:spacing w:line="280" w:lineRule="exact"/>
              <w:jc w:val="center"/>
              <w:rPr>
                <w:rFonts w:cs="宋体" w:asciiTheme="minorEastAsia" w:hAnsiTheme="minorEastAsia"/>
                <w:sz w:val="20"/>
                <w:szCs w:val="20"/>
              </w:rPr>
            </w:pPr>
          </w:p>
        </w:tc>
        <w:tc>
          <w:tcPr>
            <w:tcW w:w="1451" w:type="dxa"/>
            <w:vMerge w:val="continue"/>
            <w:tcBorders>
              <w:left w:val="single" w:color="auto" w:sz="4" w:space="0"/>
              <w:right w:val="single" w:color="auto" w:sz="4" w:space="0"/>
            </w:tcBorders>
            <w:vAlign w:val="center"/>
          </w:tcPr>
          <w:p w14:paraId="68FE5028">
            <w:pPr>
              <w:pStyle w:val="9"/>
              <w:spacing w:line="280" w:lineRule="exact"/>
              <w:ind w:firstLine="0" w:firstLineChars="0"/>
              <w:jc w:val="center"/>
              <w:rPr>
                <w:rFonts w:asciiTheme="minorEastAsia" w:hAnsiTheme="minorEastAsia" w:eastAsiaTheme="minorEastAsia"/>
                <w:sz w:val="20"/>
                <w:szCs w:val="20"/>
              </w:rPr>
            </w:pPr>
          </w:p>
        </w:tc>
      </w:tr>
      <w:tr w14:paraId="4B74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2652008C">
            <w:pPr>
              <w:spacing w:line="280" w:lineRule="exact"/>
              <w:jc w:val="center"/>
              <w:rPr>
                <w:rFonts w:hint="eastAsia" w:eastAsia="宋体" w:asciiTheme="minorEastAsia" w:hAnsiTheme="minorEastAsia"/>
                <w:sz w:val="20"/>
                <w:szCs w:val="20"/>
                <w:lang w:val="en-US" w:eastAsia="zh-CN"/>
              </w:rPr>
            </w:pPr>
            <w:r>
              <w:rPr>
                <w:rFonts w:hint="eastAsia" w:eastAsia="宋体" w:asciiTheme="minorEastAsia" w:hAnsiTheme="minorEastAsia"/>
                <w:sz w:val="20"/>
                <w:szCs w:val="20"/>
                <w:lang w:val="en-US" w:eastAsia="zh-CN"/>
              </w:rPr>
              <w:t>3</w:t>
            </w:r>
          </w:p>
        </w:tc>
        <w:tc>
          <w:tcPr>
            <w:tcW w:w="3108" w:type="dxa"/>
            <w:tcBorders>
              <w:top w:val="single" w:color="auto" w:sz="4" w:space="0"/>
              <w:left w:val="single" w:color="auto" w:sz="4" w:space="0"/>
              <w:bottom w:val="single" w:color="auto" w:sz="4" w:space="0"/>
              <w:right w:val="single" w:color="auto" w:sz="4" w:space="0"/>
            </w:tcBorders>
            <w:vAlign w:val="center"/>
          </w:tcPr>
          <w:p w14:paraId="7FBEAECA">
            <w:pPr>
              <w:spacing w:line="280" w:lineRule="exact"/>
              <w:jc w:val="center"/>
              <w:rPr>
                <w:rFonts w:hint="eastAsia" w:eastAsia="宋体" w:cs="宋体" w:asciiTheme="minorEastAsia" w:hAnsiTheme="minorEastAsia"/>
                <w:sz w:val="20"/>
                <w:szCs w:val="20"/>
                <w:lang w:eastAsia="zh-CN"/>
              </w:rPr>
            </w:pPr>
            <w:r>
              <w:rPr>
                <w:rFonts w:hint="eastAsia" w:eastAsia="宋体" w:cs="宋体" w:asciiTheme="minorEastAsia" w:hAnsiTheme="minorEastAsia"/>
                <w:sz w:val="20"/>
                <w:szCs w:val="20"/>
                <w:lang w:eastAsia="zh-CN"/>
              </w:rPr>
              <w:t>多媒体服务器</w:t>
            </w:r>
          </w:p>
        </w:tc>
        <w:tc>
          <w:tcPr>
            <w:tcW w:w="988" w:type="dxa"/>
            <w:tcBorders>
              <w:left w:val="single" w:color="auto" w:sz="4" w:space="0"/>
              <w:right w:val="single" w:color="auto" w:sz="4" w:space="0"/>
            </w:tcBorders>
            <w:vAlign w:val="center"/>
          </w:tcPr>
          <w:p w14:paraId="554B7F09">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1271" w:type="dxa"/>
            <w:tcBorders>
              <w:left w:val="single" w:color="auto" w:sz="4" w:space="0"/>
              <w:right w:val="single" w:color="auto" w:sz="4" w:space="0"/>
            </w:tcBorders>
            <w:vAlign w:val="center"/>
          </w:tcPr>
          <w:p w14:paraId="461FF172">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707" w:type="dxa"/>
            <w:tcBorders>
              <w:left w:val="single" w:color="auto" w:sz="4" w:space="0"/>
              <w:right w:val="single" w:color="auto" w:sz="4" w:space="0"/>
            </w:tcBorders>
            <w:vAlign w:val="center"/>
          </w:tcPr>
          <w:p w14:paraId="7F0589E3">
            <w:pPr>
              <w:widowControl/>
              <w:spacing w:line="280" w:lineRule="exact"/>
              <w:jc w:val="center"/>
              <w:rPr>
                <w:rFonts w:cs="宋体" w:asciiTheme="minorEastAsia" w:hAnsiTheme="minorEastAsia"/>
                <w:bCs/>
                <w:kern w:val="0"/>
                <w:sz w:val="20"/>
                <w:szCs w:val="20"/>
              </w:rPr>
            </w:pPr>
          </w:p>
        </w:tc>
        <w:tc>
          <w:tcPr>
            <w:tcW w:w="848" w:type="dxa"/>
            <w:tcBorders>
              <w:top w:val="single" w:color="auto" w:sz="4" w:space="0"/>
              <w:left w:val="single" w:color="auto" w:sz="4" w:space="0"/>
              <w:bottom w:val="single" w:color="auto" w:sz="4" w:space="0"/>
              <w:right w:val="single" w:color="auto" w:sz="4" w:space="0"/>
            </w:tcBorders>
            <w:vAlign w:val="center"/>
          </w:tcPr>
          <w:p w14:paraId="25081833">
            <w:pPr>
              <w:widowControl/>
              <w:spacing w:line="280" w:lineRule="exact"/>
              <w:jc w:val="center"/>
              <w:rPr>
                <w:rFonts w:hint="eastAsia" w:eastAsia="宋体" w:cs="宋体" w:asciiTheme="minorEastAsia" w:hAnsiTheme="minorEastAsia"/>
                <w:bCs/>
                <w:kern w:val="0"/>
                <w:sz w:val="20"/>
                <w:szCs w:val="20"/>
                <w:lang w:eastAsia="zh-CN"/>
              </w:rPr>
            </w:pPr>
            <w:r>
              <w:rPr>
                <w:rFonts w:hint="eastAsia" w:eastAsia="宋体" w:cs="宋体" w:asciiTheme="minorEastAsia" w:hAnsiTheme="minorEastAsia"/>
                <w:bCs/>
                <w:kern w:val="0"/>
                <w:sz w:val="20"/>
                <w:szCs w:val="20"/>
                <w:lang w:eastAsia="zh-CN"/>
              </w:rPr>
              <w:t>台</w:t>
            </w:r>
          </w:p>
        </w:tc>
        <w:tc>
          <w:tcPr>
            <w:tcW w:w="847" w:type="dxa"/>
            <w:tcBorders>
              <w:top w:val="single" w:color="auto" w:sz="4" w:space="0"/>
              <w:left w:val="single" w:color="auto" w:sz="4" w:space="0"/>
              <w:bottom w:val="single" w:color="auto" w:sz="4" w:space="0"/>
              <w:right w:val="single" w:color="auto" w:sz="4" w:space="0"/>
            </w:tcBorders>
            <w:vAlign w:val="center"/>
          </w:tcPr>
          <w:p w14:paraId="42A186D4">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2</w:t>
            </w:r>
          </w:p>
        </w:tc>
        <w:tc>
          <w:tcPr>
            <w:tcW w:w="1130" w:type="dxa"/>
            <w:tcBorders>
              <w:top w:val="single" w:color="auto" w:sz="4" w:space="0"/>
              <w:left w:val="single" w:color="auto" w:sz="4" w:space="0"/>
              <w:bottom w:val="single" w:color="auto" w:sz="4" w:space="0"/>
              <w:right w:val="single" w:color="auto" w:sz="4" w:space="0"/>
            </w:tcBorders>
            <w:vAlign w:val="center"/>
          </w:tcPr>
          <w:p w14:paraId="0249D059">
            <w:pPr>
              <w:spacing w:line="280" w:lineRule="exact"/>
              <w:jc w:val="center"/>
              <w:rPr>
                <w:rFonts w:cs="宋体" w:asciiTheme="minorEastAsia" w:hAnsiTheme="minorEastAsia"/>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1748B4A1">
            <w:pPr>
              <w:spacing w:line="280" w:lineRule="exact"/>
              <w:jc w:val="center"/>
              <w:rPr>
                <w:rFonts w:cs="宋体" w:asciiTheme="minorEastAsia" w:hAnsiTheme="minorEastAsia"/>
                <w:sz w:val="20"/>
                <w:szCs w:val="20"/>
              </w:rPr>
            </w:pPr>
          </w:p>
        </w:tc>
        <w:tc>
          <w:tcPr>
            <w:tcW w:w="1451" w:type="dxa"/>
            <w:vMerge w:val="continue"/>
            <w:tcBorders>
              <w:left w:val="single" w:color="auto" w:sz="4" w:space="0"/>
              <w:right w:val="single" w:color="auto" w:sz="4" w:space="0"/>
            </w:tcBorders>
            <w:vAlign w:val="center"/>
          </w:tcPr>
          <w:p w14:paraId="742FC258">
            <w:pPr>
              <w:pStyle w:val="9"/>
              <w:spacing w:line="280" w:lineRule="exact"/>
              <w:ind w:firstLine="0" w:firstLineChars="0"/>
              <w:jc w:val="center"/>
              <w:rPr>
                <w:rFonts w:asciiTheme="minorEastAsia" w:hAnsiTheme="minorEastAsia" w:eastAsiaTheme="minorEastAsia"/>
                <w:sz w:val="20"/>
                <w:szCs w:val="20"/>
              </w:rPr>
            </w:pPr>
          </w:p>
        </w:tc>
      </w:tr>
      <w:tr w14:paraId="3ECF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3E99826A">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4</w:t>
            </w:r>
          </w:p>
        </w:tc>
        <w:tc>
          <w:tcPr>
            <w:tcW w:w="3108" w:type="dxa"/>
            <w:tcBorders>
              <w:top w:val="single" w:color="auto" w:sz="4" w:space="0"/>
              <w:left w:val="single" w:color="auto" w:sz="4" w:space="0"/>
              <w:bottom w:val="single" w:color="auto" w:sz="4" w:space="0"/>
              <w:right w:val="single" w:color="auto" w:sz="4" w:space="0"/>
            </w:tcBorders>
            <w:vAlign w:val="center"/>
          </w:tcPr>
          <w:p w14:paraId="56740785">
            <w:pPr>
              <w:spacing w:line="280" w:lineRule="exact"/>
              <w:jc w:val="center"/>
              <w:rPr>
                <w:rFonts w:hint="eastAsia" w:eastAsia="宋体" w:cs="宋体" w:asciiTheme="minorEastAsia" w:hAnsiTheme="minorEastAsia"/>
                <w:sz w:val="20"/>
                <w:szCs w:val="20"/>
                <w:lang w:eastAsia="zh-CN"/>
              </w:rPr>
            </w:pPr>
            <w:r>
              <w:rPr>
                <w:rFonts w:hint="eastAsia" w:eastAsia="宋体" w:cs="宋体" w:asciiTheme="minorEastAsia" w:hAnsiTheme="minorEastAsia"/>
                <w:sz w:val="20"/>
                <w:szCs w:val="20"/>
                <w:lang w:eastAsia="zh-CN"/>
              </w:rPr>
              <w:t>多媒体控播软件</w:t>
            </w:r>
          </w:p>
        </w:tc>
        <w:tc>
          <w:tcPr>
            <w:tcW w:w="988" w:type="dxa"/>
            <w:tcBorders>
              <w:left w:val="single" w:color="auto" w:sz="4" w:space="0"/>
              <w:right w:val="single" w:color="auto" w:sz="4" w:space="0"/>
            </w:tcBorders>
            <w:vAlign w:val="center"/>
          </w:tcPr>
          <w:p w14:paraId="184F1BB3">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1271" w:type="dxa"/>
            <w:tcBorders>
              <w:left w:val="single" w:color="auto" w:sz="4" w:space="0"/>
              <w:right w:val="single" w:color="auto" w:sz="4" w:space="0"/>
            </w:tcBorders>
            <w:vAlign w:val="center"/>
          </w:tcPr>
          <w:p w14:paraId="55D4E46F">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707" w:type="dxa"/>
            <w:tcBorders>
              <w:left w:val="single" w:color="auto" w:sz="4" w:space="0"/>
              <w:right w:val="single" w:color="auto" w:sz="4" w:space="0"/>
            </w:tcBorders>
            <w:vAlign w:val="center"/>
          </w:tcPr>
          <w:p w14:paraId="22717648">
            <w:pPr>
              <w:widowControl/>
              <w:spacing w:line="280" w:lineRule="exact"/>
              <w:jc w:val="center"/>
              <w:rPr>
                <w:rFonts w:cs="宋体" w:asciiTheme="minorEastAsia" w:hAnsiTheme="minorEastAsia"/>
                <w:bCs/>
                <w:kern w:val="0"/>
                <w:sz w:val="20"/>
                <w:szCs w:val="20"/>
              </w:rPr>
            </w:pPr>
          </w:p>
        </w:tc>
        <w:tc>
          <w:tcPr>
            <w:tcW w:w="848" w:type="dxa"/>
            <w:tcBorders>
              <w:top w:val="single" w:color="auto" w:sz="4" w:space="0"/>
              <w:left w:val="single" w:color="auto" w:sz="4" w:space="0"/>
              <w:bottom w:val="single" w:color="auto" w:sz="4" w:space="0"/>
              <w:right w:val="single" w:color="auto" w:sz="4" w:space="0"/>
            </w:tcBorders>
            <w:vAlign w:val="center"/>
          </w:tcPr>
          <w:p w14:paraId="3BE847CA">
            <w:pPr>
              <w:widowControl/>
              <w:spacing w:line="280" w:lineRule="exact"/>
              <w:jc w:val="center"/>
              <w:rPr>
                <w:rFonts w:hint="eastAsia" w:eastAsia="宋体" w:cs="宋体" w:asciiTheme="minorEastAsia" w:hAnsiTheme="minorEastAsia"/>
                <w:bCs/>
                <w:kern w:val="0"/>
                <w:sz w:val="20"/>
                <w:szCs w:val="20"/>
                <w:lang w:eastAsia="zh-CN"/>
              </w:rPr>
            </w:pPr>
            <w:r>
              <w:rPr>
                <w:rFonts w:hint="eastAsia" w:eastAsia="宋体" w:cs="宋体" w:asciiTheme="minorEastAsia" w:hAnsiTheme="minorEastAsia"/>
                <w:bCs/>
                <w:kern w:val="0"/>
                <w:sz w:val="20"/>
                <w:szCs w:val="20"/>
                <w:lang w:eastAsia="zh-CN"/>
              </w:rPr>
              <w:t>套</w:t>
            </w:r>
          </w:p>
        </w:tc>
        <w:tc>
          <w:tcPr>
            <w:tcW w:w="847" w:type="dxa"/>
            <w:tcBorders>
              <w:top w:val="single" w:color="auto" w:sz="4" w:space="0"/>
              <w:left w:val="single" w:color="auto" w:sz="4" w:space="0"/>
              <w:bottom w:val="single" w:color="auto" w:sz="4" w:space="0"/>
              <w:right w:val="single" w:color="auto" w:sz="4" w:space="0"/>
            </w:tcBorders>
            <w:vAlign w:val="center"/>
          </w:tcPr>
          <w:p w14:paraId="78104D1A">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2</w:t>
            </w:r>
          </w:p>
        </w:tc>
        <w:tc>
          <w:tcPr>
            <w:tcW w:w="1130" w:type="dxa"/>
            <w:tcBorders>
              <w:top w:val="single" w:color="auto" w:sz="4" w:space="0"/>
              <w:left w:val="single" w:color="auto" w:sz="4" w:space="0"/>
              <w:bottom w:val="single" w:color="auto" w:sz="4" w:space="0"/>
              <w:right w:val="single" w:color="auto" w:sz="4" w:space="0"/>
            </w:tcBorders>
            <w:vAlign w:val="center"/>
          </w:tcPr>
          <w:p w14:paraId="72F646DC">
            <w:pPr>
              <w:spacing w:line="280" w:lineRule="exact"/>
              <w:jc w:val="center"/>
              <w:rPr>
                <w:rFonts w:cs="宋体" w:asciiTheme="minorEastAsia" w:hAnsiTheme="minorEastAsia"/>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1330E65E">
            <w:pPr>
              <w:spacing w:line="280" w:lineRule="exact"/>
              <w:jc w:val="center"/>
              <w:rPr>
                <w:rFonts w:cs="宋体" w:asciiTheme="minorEastAsia" w:hAnsiTheme="minorEastAsia"/>
                <w:sz w:val="20"/>
                <w:szCs w:val="20"/>
              </w:rPr>
            </w:pPr>
          </w:p>
        </w:tc>
        <w:tc>
          <w:tcPr>
            <w:tcW w:w="1451" w:type="dxa"/>
            <w:vMerge w:val="continue"/>
            <w:tcBorders>
              <w:left w:val="single" w:color="auto" w:sz="4" w:space="0"/>
              <w:right w:val="single" w:color="auto" w:sz="4" w:space="0"/>
            </w:tcBorders>
            <w:vAlign w:val="center"/>
          </w:tcPr>
          <w:p w14:paraId="50A09F84">
            <w:pPr>
              <w:pStyle w:val="9"/>
              <w:spacing w:line="280" w:lineRule="exact"/>
              <w:ind w:firstLine="0" w:firstLineChars="0"/>
              <w:jc w:val="center"/>
              <w:rPr>
                <w:rFonts w:asciiTheme="minorEastAsia" w:hAnsiTheme="minorEastAsia" w:eastAsiaTheme="minorEastAsia"/>
                <w:sz w:val="20"/>
                <w:szCs w:val="20"/>
              </w:rPr>
            </w:pPr>
          </w:p>
        </w:tc>
      </w:tr>
      <w:tr w14:paraId="72D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7350A4C0">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5</w:t>
            </w:r>
          </w:p>
        </w:tc>
        <w:tc>
          <w:tcPr>
            <w:tcW w:w="3108" w:type="dxa"/>
            <w:tcBorders>
              <w:top w:val="single" w:color="auto" w:sz="4" w:space="0"/>
              <w:left w:val="single" w:color="auto" w:sz="4" w:space="0"/>
              <w:bottom w:val="single" w:color="auto" w:sz="4" w:space="0"/>
              <w:right w:val="single" w:color="auto" w:sz="4" w:space="0"/>
            </w:tcBorders>
            <w:vAlign w:val="center"/>
          </w:tcPr>
          <w:p w14:paraId="4B37294E">
            <w:pPr>
              <w:spacing w:line="280" w:lineRule="exact"/>
              <w:jc w:val="center"/>
              <w:rPr>
                <w:rFonts w:hint="eastAsia" w:eastAsia="宋体" w:cs="宋体" w:asciiTheme="minorEastAsia" w:hAnsiTheme="minorEastAsia"/>
                <w:sz w:val="20"/>
                <w:szCs w:val="20"/>
                <w:lang w:eastAsia="zh-CN"/>
              </w:rPr>
            </w:pPr>
            <w:r>
              <w:rPr>
                <w:rFonts w:hint="eastAsia" w:eastAsia="宋体" w:cs="宋体" w:asciiTheme="minorEastAsia" w:hAnsiTheme="minorEastAsia"/>
                <w:sz w:val="20"/>
                <w:szCs w:val="20"/>
                <w:lang w:eastAsia="zh-CN"/>
              </w:rPr>
              <w:t>智能配电柜</w:t>
            </w:r>
          </w:p>
        </w:tc>
        <w:tc>
          <w:tcPr>
            <w:tcW w:w="988" w:type="dxa"/>
            <w:tcBorders>
              <w:left w:val="single" w:color="auto" w:sz="4" w:space="0"/>
              <w:right w:val="single" w:color="auto" w:sz="4" w:space="0"/>
            </w:tcBorders>
            <w:vAlign w:val="center"/>
          </w:tcPr>
          <w:p w14:paraId="6DAF2862">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1271" w:type="dxa"/>
            <w:tcBorders>
              <w:left w:val="single" w:color="auto" w:sz="4" w:space="0"/>
              <w:right w:val="single" w:color="auto" w:sz="4" w:space="0"/>
            </w:tcBorders>
            <w:vAlign w:val="center"/>
          </w:tcPr>
          <w:p w14:paraId="5FF519EC">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707" w:type="dxa"/>
            <w:tcBorders>
              <w:left w:val="single" w:color="auto" w:sz="4" w:space="0"/>
              <w:right w:val="single" w:color="auto" w:sz="4" w:space="0"/>
            </w:tcBorders>
            <w:vAlign w:val="center"/>
          </w:tcPr>
          <w:p w14:paraId="7A9F7B6E">
            <w:pPr>
              <w:widowControl/>
              <w:spacing w:line="280" w:lineRule="exact"/>
              <w:jc w:val="center"/>
              <w:rPr>
                <w:rFonts w:cs="宋体" w:asciiTheme="minorEastAsia" w:hAnsiTheme="minorEastAsia"/>
                <w:bCs/>
                <w:kern w:val="0"/>
                <w:sz w:val="20"/>
                <w:szCs w:val="20"/>
              </w:rPr>
            </w:pPr>
          </w:p>
        </w:tc>
        <w:tc>
          <w:tcPr>
            <w:tcW w:w="848" w:type="dxa"/>
            <w:tcBorders>
              <w:top w:val="single" w:color="auto" w:sz="4" w:space="0"/>
              <w:left w:val="single" w:color="auto" w:sz="4" w:space="0"/>
              <w:bottom w:val="single" w:color="auto" w:sz="4" w:space="0"/>
              <w:right w:val="single" w:color="auto" w:sz="4" w:space="0"/>
            </w:tcBorders>
            <w:vAlign w:val="center"/>
          </w:tcPr>
          <w:p w14:paraId="48F5BD0D">
            <w:pPr>
              <w:widowControl/>
              <w:spacing w:line="280" w:lineRule="exact"/>
              <w:jc w:val="center"/>
              <w:rPr>
                <w:rFonts w:hint="eastAsia" w:eastAsia="宋体" w:cs="宋体" w:asciiTheme="minorEastAsia" w:hAnsiTheme="minorEastAsia"/>
                <w:bCs/>
                <w:kern w:val="0"/>
                <w:sz w:val="20"/>
                <w:szCs w:val="20"/>
                <w:lang w:eastAsia="zh-CN"/>
              </w:rPr>
            </w:pPr>
            <w:r>
              <w:rPr>
                <w:rFonts w:hint="eastAsia" w:eastAsia="宋体" w:cs="宋体" w:asciiTheme="minorEastAsia" w:hAnsiTheme="minorEastAsia"/>
                <w:bCs/>
                <w:kern w:val="0"/>
                <w:sz w:val="20"/>
                <w:szCs w:val="20"/>
                <w:lang w:eastAsia="zh-CN"/>
              </w:rPr>
              <w:t>台</w:t>
            </w:r>
          </w:p>
        </w:tc>
        <w:tc>
          <w:tcPr>
            <w:tcW w:w="847" w:type="dxa"/>
            <w:tcBorders>
              <w:top w:val="single" w:color="auto" w:sz="4" w:space="0"/>
              <w:left w:val="single" w:color="auto" w:sz="4" w:space="0"/>
              <w:bottom w:val="single" w:color="auto" w:sz="4" w:space="0"/>
              <w:right w:val="single" w:color="auto" w:sz="4" w:space="0"/>
            </w:tcBorders>
            <w:vAlign w:val="center"/>
          </w:tcPr>
          <w:p w14:paraId="4578D6DF">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4</w:t>
            </w:r>
          </w:p>
        </w:tc>
        <w:tc>
          <w:tcPr>
            <w:tcW w:w="1130" w:type="dxa"/>
            <w:tcBorders>
              <w:top w:val="single" w:color="auto" w:sz="4" w:space="0"/>
              <w:left w:val="single" w:color="auto" w:sz="4" w:space="0"/>
              <w:bottom w:val="single" w:color="auto" w:sz="4" w:space="0"/>
              <w:right w:val="single" w:color="auto" w:sz="4" w:space="0"/>
            </w:tcBorders>
            <w:vAlign w:val="center"/>
          </w:tcPr>
          <w:p w14:paraId="48904F42">
            <w:pPr>
              <w:spacing w:line="280" w:lineRule="exact"/>
              <w:jc w:val="center"/>
              <w:rPr>
                <w:rFonts w:cs="宋体" w:asciiTheme="minorEastAsia" w:hAnsiTheme="minorEastAsia"/>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4510A32F">
            <w:pPr>
              <w:spacing w:line="280" w:lineRule="exact"/>
              <w:jc w:val="center"/>
              <w:rPr>
                <w:rFonts w:cs="宋体" w:asciiTheme="minorEastAsia" w:hAnsiTheme="minorEastAsia"/>
                <w:sz w:val="20"/>
                <w:szCs w:val="20"/>
              </w:rPr>
            </w:pPr>
          </w:p>
        </w:tc>
        <w:tc>
          <w:tcPr>
            <w:tcW w:w="1451" w:type="dxa"/>
            <w:vMerge w:val="continue"/>
            <w:tcBorders>
              <w:left w:val="single" w:color="auto" w:sz="4" w:space="0"/>
              <w:right w:val="single" w:color="auto" w:sz="4" w:space="0"/>
            </w:tcBorders>
            <w:vAlign w:val="center"/>
          </w:tcPr>
          <w:p w14:paraId="5525A5AC">
            <w:pPr>
              <w:pStyle w:val="9"/>
              <w:spacing w:line="280" w:lineRule="exact"/>
              <w:ind w:firstLine="0" w:firstLineChars="0"/>
              <w:jc w:val="center"/>
              <w:rPr>
                <w:rFonts w:asciiTheme="minorEastAsia" w:hAnsiTheme="minorEastAsia" w:eastAsiaTheme="minorEastAsia"/>
                <w:sz w:val="20"/>
                <w:szCs w:val="20"/>
              </w:rPr>
            </w:pPr>
          </w:p>
        </w:tc>
      </w:tr>
      <w:tr w14:paraId="2360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2FCFAB5B">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6</w:t>
            </w:r>
          </w:p>
        </w:tc>
        <w:tc>
          <w:tcPr>
            <w:tcW w:w="3108" w:type="dxa"/>
            <w:tcBorders>
              <w:top w:val="single" w:color="auto" w:sz="4" w:space="0"/>
              <w:left w:val="single" w:color="auto" w:sz="4" w:space="0"/>
              <w:bottom w:val="single" w:color="auto" w:sz="4" w:space="0"/>
              <w:right w:val="single" w:color="auto" w:sz="4" w:space="0"/>
            </w:tcBorders>
            <w:vAlign w:val="center"/>
          </w:tcPr>
          <w:p w14:paraId="377F2BEA">
            <w:pPr>
              <w:spacing w:line="280" w:lineRule="exact"/>
              <w:jc w:val="center"/>
              <w:rPr>
                <w:rFonts w:hint="eastAsia" w:eastAsia="宋体" w:cs="宋体" w:asciiTheme="minorEastAsia" w:hAnsiTheme="minorEastAsia"/>
                <w:sz w:val="20"/>
                <w:szCs w:val="20"/>
                <w:lang w:eastAsia="zh-CN"/>
              </w:rPr>
            </w:pPr>
            <w:r>
              <w:rPr>
                <w:rFonts w:hint="eastAsia" w:eastAsia="宋体" w:cs="宋体" w:asciiTheme="minorEastAsia" w:hAnsiTheme="minorEastAsia"/>
                <w:sz w:val="20"/>
                <w:szCs w:val="20"/>
                <w:lang w:eastAsia="zh-CN"/>
              </w:rPr>
              <w:t>全铝合金音柱</w:t>
            </w:r>
          </w:p>
        </w:tc>
        <w:tc>
          <w:tcPr>
            <w:tcW w:w="988" w:type="dxa"/>
            <w:tcBorders>
              <w:left w:val="single" w:color="auto" w:sz="4" w:space="0"/>
              <w:right w:val="single" w:color="auto" w:sz="4" w:space="0"/>
            </w:tcBorders>
            <w:vAlign w:val="center"/>
          </w:tcPr>
          <w:p w14:paraId="5656C1A5">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1271" w:type="dxa"/>
            <w:tcBorders>
              <w:left w:val="single" w:color="auto" w:sz="4" w:space="0"/>
              <w:right w:val="single" w:color="auto" w:sz="4" w:space="0"/>
            </w:tcBorders>
            <w:vAlign w:val="center"/>
          </w:tcPr>
          <w:p w14:paraId="5E2CAAF1">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707" w:type="dxa"/>
            <w:tcBorders>
              <w:left w:val="single" w:color="auto" w:sz="4" w:space="0"/>
              <w:right w:val="single" w:color="auto" w:sz="4" w:space="0"/>
            </w:tcBorders>
            <w:vAlign w:val="center"/>
          </w:tcPr>
          <w:p w14:paraId="28ED1F4C">
            <w:pPr>
              <w:widowControl/>
              <w:spacing w:line="280" w:lineRule="exact"/>
              <w:jc w:val="center"/>
              <w:rPr>
                <w:rFonts w:cs="宋体" w:asciiTheme="minorEastAsia" w:hAnsiTheme="minorEastAsia"/>
                <w:bCs/>
                <w:kern w:val="0"/>
                <w:sz w:val="20"/>
                <w:szCs w:val="20"/>
              </w:rPr>
            </w:pPr>
          </w:p>
        </w:tc>
        <w:tc>
          <w:tcPr>
            <w:tcW w:w="848" w:type="dxa"/>
            <w:tcBorders>
              <w:top w:val="single" w:color="auto" w:sz="4" w:space="0"/>
              <w:left w:val="single" w:color="auto" w:sz="4" w:space="0"/>
              <w:bottom w:val="single" w:color="auto" w:sz="4" w:space="0"/>
              <w:right w:val="single" w:color="auto" w:sz="4" w:space="0"/>
            </w:tcBorders>
            <w:vAlign w:val="center"/>
          </w:tcPr>
          <w:p w14:paraId="730636E7">
            <w:pPr>
              <w:widowControl/>
              <w:spacing w:line="280" w:lineRule="exact"/>
              <w:jc w:val="center"/>
              <w:rPr>
                <w:rFonts w:hint="eastAsia" w:eastAsia="宋体" w:cs="宋体" w:asciiTheme="minorEastAsia" w:hAnsiTheme="minorEastAsia"/>
                <w:bCs/>
                <w:kern w:val="0"/>
                <w:sz w:val="20"/>
                <w:szCs w:val="20"/>
                <w:lang w:eastAsia="zh-CN"/>
              </w:rPr>
            </w:pPr>
            <w:r>
              <w:rPr>
                <w:rFonts w:hint="eastAsia" w:eastAsia="宋体" w:cs="宋体" w:asciiTheme="minorEastAsia" w:hAnsiTheme="minorEastAsia"/>
                <w:bCs/>
                <w:kern w:val="0"/>
                <w:sz w:val="20"/>
                <w:szCs w:val="20"/>
                <w:lang w:eastAsia="zh-CN"/>
              </w:rPr>
              <w:t>只</w:t>
            </w:r>
          </w:p>
        </w:tc>
        <w:tc>
          <w:tcPr>
            <w:tcW w:w="847" w:type="dxa"/>
            <w:tcBorders>
              <w:top w:val="single" w:color="auto" w:sz="4" w:space="0"/>
              <w:left w:val="single" w:color="auto" w:sz="4" w:space="0"/>
              <w:bottom w:val="single" w:color="auto" w:sz="4" w:space="0"/>
              <w:right w:val="single" w:color="auto" w:sz="4" w:space="0"/>
            </w:tcBorders>
            <w:vAlign w:val="center"/>
          </w:tcPr>
          <w:p w14:paraId="3F7594EB">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4</w:t>
            </w:r>
          </w:p>
        </w:tc>
        <w:tc>
          <w:tcPr>
            <w:tcW w:w="1130" w:type="dxa"/>
            <w:tcBorders>
              <w:top w:val="single" w:color="auto" w:sz="4" w:space="0"/>
              <w:left w:val="single" w:color="auto" w:sz="4" w:space="0"/>
              <w:bottom w:val="single" w:color="auto" w:sz="4" w:space="0"/>
              <w:right w:val="single" w:color="auto" w:sz="4" w:space="0"/>
            </w:tcBorders>
            <w:vAlign w:val="center"/>
          </w:tcPr>
          <w:p w14:paraId="46B2E12B">
            <w:pPr>
              <w:spacing w:line="280" w:lineRule="exact"/>
              <w:jc w:val="center"/>
              <w:rPr>
                <w:rFonts w:cs="宋体" w:asciiTheme="minorEastAsia" w:hAnsiTheme="minorEastAsia"/>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337A8EE8">
            <w:pPr>
              <w:spacing w:line="280" w:lineRule="exact"/>
              <w:jc w:val="center"/>
              <w:rPr>
                <w:rFonts w:cs="宋体" w:asciiTheme="minorEastAsia" w:hAnsiTheme="minorEastAsia"/>
                <w:sz w:val="20"/>
                <w:szCs w:val="20"/>
              </w:rPr>
            </w:pPr>
          </w:p>
        </w:tc>
        <w:tc>
          <w:tcPr>
            <w:tcW w:w="1451" w:type="dxa"/>
            <w:vMerge w:val="continue"/>
            <w:tcBorders>
              <w:left w:val="single" w:color="auto" w:sz="4" w:space="0"/>
              <w:right w:val="single" w:color="auto" w:sz="4" w:space="0"/>
            </w:tcBorders>
            <w:vAlign w:val="center"/>
          </w:tcPr>
          <w:p w14:paraId="25BA67A3">
            <w:pPr>
              <w:pStyle w:val="9"/>
              <w:spacing w:line="280" w:lineRule="exact"/>
              <w:ind w:firstLine="0" w:firstLineChars="0"/>
              <w:jc w:val="center"/>
              <w:rPr>
                <w:rFonts w:asciiTheme="minorEastAsia" w:hAnsiTheme="minorEastAsia" w:eastAsiaTheme="minorEastAsia"/>
                <w:sz w:val="20"/>
                <w:szCs w:val="20"/>
              </w:rPr>
            </w:pPr>
          </w:p>
        </w:tc>
      </w:tr>
      <w:tr w14:paraId="5B01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41A04778">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7</w:t>
            </w:r>
          </w:p>
        </w:tc>
        <w:tc>
          <w:tcPr>
            <w:tcW w:w="3108" w:type="dxa"/>
            <w:tcBorders>
              <w:top w:val="single" w:color="auto" w:sz="4" w:space="0"/>
              <w:left w:val="single" w:color="auto" w:sz="4" w:space="0"/>
              <w:bottom w:val="single" w:color="auto" w:sz="4" w:space="0"/>
              <w:right w:val="single" w:color="auto" w:sz="4" w:space="0"/>
            </w:tcBorders>
            <w:vAlign w:val="center"/>
          </w:tcPr>
          <w:p w14:paraId="091A7307">
            <w:pPr>
              <w:spacing w:line="280" w:lineRule="exact"/>
              <w:jc w:val="center"/>
              <w:rPr>
                <w:rFonts w:hint="eastAsia" w:eastAsia="宋体" w:cs="宋体" w:asciiTheme="minorEastAsia" w:hAnsiTheme="minorEastAsia"/>
                <w:sz w:val="20"/>
                <w:szCs w:val="20"/>
                <w:lang w:eastAsia="zh-CN"/>
              </w:rPr>
            </w:pPr>
            <w:r>
              <w:rPr>
                <w:rFonts w:hint="eastAsia" w:eastAsia="宋体" w:cs="宋体" w:asciiTheme="minorEastAsia" w:hAnsiTheme="minorEastAsia"/>
                <w:sz w:val="20"/>
                <w:szCs w:val="20"/>
                <w:lang w:eastAsia="zh-CN"/>
              </w:rPr>
              <w:t>同轴吸顶音响</w:t>
            </w:r>
          </w:p>
        </w:tc>
        <w:tc>
          <w:tcPr>
            <w:tcW w:w="988" w:type="dxa"/>
            <w:tcBorders>
              <w:left w:val="single" w:color="auto" w:sz="4" w:space="0"/>
              <w:right w:val="single" w:color="auto" w:sz="4" w:space="0"/>
            </w:tcBorders>
            <w:vAlign w:val="center"/>
          </w:tcPr>
          <w:p w14:paraId="213F1743">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1271" w:type="dxa"/>
            <w:tcBorders>
              <w:left w:val="single" w:color="auto" w:sz="4" w:space="0"/>
              <w:right w:val="single" w:color="auto" w:sz="4" w:space="0"/>
            </w:tcBorders>
            <w:vAlign w:val="center"/>
          </w:tcPr>
          <w:p w14:paraId="4B1A7240">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707" w:type="dxa"/>
            <w:tcBorders>
              <w:left w:val="single" w:color="auto" w:sz="4" w:space="0"/>
              <w:right w:val="single" w:color="auto" w:sz="4" w:space="0"/>
            </w:tcBorders>
            <w:vAlign w:val="center"/>
          </w:tcPr>
          <w:p w14:paraId="69D61332">
            <w:pPr>
              <w:widowControl/>
              <w:spacing w:line="280" w:lineRule="exact"/>
              <w:jc w:val="center"/>
              <w:rPr>
                <w:rFonts w:cs="宋体" w:asciiTheme="minorEastAsia" w:hAnsiTheme="minorEastAsia"/>
                <w:bCs/>
                <w:kern w:val="0"/>
                <w:sz w:val="20"/>
                <w:szCs w:val="20"/>
              </w:rPr>
            </w:pPr>
          </w:p>
        </w:tc>
        <w:tc>
          <w:tcPr>
            <w:tcW w:w="848" w:type="dxa"/>
            <w:tcBorders>
              <w:top w:val="single" w:color="auto" w:sz="4" w:space="0"/>
              <w:left w:val="single" w:color="auto" w:sz="4" w:space="0"/>
              <w:bottom w:val="single" w:color="auto" w:sz="4" w:space="0"/>
              <w:right w:val="single" w:color="auto" w:sz="4" w:space="0"/>
            </w:tcBorders>
            <w:vAlign w:val="center"/>
          </w:tcPr>
          <w:p w14:paraId="0707192C">
            <w:pPr>
              <w:widowControl/>
              <w:spacing w:line="280" w:lineRule="exact"/>
              <w:jc w:val="center"/>
              <w:rPr>
                <w:rFonts w:hint="eastAsia" w:eastAsia="宋体" w:cs="宋体" w:asciiTheme="minorEastAsia" w:hAnsiTheme="minorEastAsia"/>
                <w:bCs/>
                <w:kern w:val="0"/>
                <w:sz w:val="20"/>
                <w:szCs w:val="20"/>
                <w:lang w:eastAsia="zh-CN"/>
              </w:rPr>
            </w:pPr>
            <w:r>
              <w:rPr>
                <w:rFonts w:hint="eastAsia" w:eastAsia="宋体" w:cs="宋体" w:asciiTheme="minorEastAsia" w:hAnsiTheme="minorEastAsia"/>
                <w:bCs/>
                <w:kern w:val="0"/>
                <w:sz w:val="20"/>
                <w:szCs w:val="20"/>
                <w:lang w:eastAsia="zh-CN"/>
              </w:rPr>
              <w:t>只</w:t>
            </w:r>
          </w:p>
        </w:tc>
        <w:tc>
          <w:tcPr>
            <w:tcW w:w="847" w:type="dxa"/>
            <w:tcBorders>
              <w:top w:val="single" w:color="auto" w:sz="4" w:space="0"/>
              <w:left w:val="single" w:color="auto" w:sz="4" w:space="0"/>
              <w:bottom w:val="single" w:color="auto" w:sz="4" w:space="0"/>
              <w:right w:val="single" w:color="auto" w:sz="4" w:space="0"/>
            </w:tcBorders>
            <w:vAlign w:val="center"/>
          </w:tcPr>
          <w:p w14:paraId="535F6CE9">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4</w:t>
            </w:r>
          </w:p>
        </w:tc>
        <w:tc>
          <w:tcPr>
            <w:tcW w:w="1130" w:type="dxa"/>
            <w:tcBorders>
              <w:top w:val="single" w:color="auto" w:sz="4" w:space="0"/>
              <w:left w:val="single" w:color="auto" w:sz="4" w:space="0"/>
              <w:bottom w:val="single" w:color="auto" w:sz="4" w:space="0"/>
              <w:right w:val="single" w:color="auto" w:sz="4" w:space="0"/>
            </w:tcBorders>
            <w:vAlign w:val="center"/>
          </w:tcPr>
          <w:p w14:paraId="27734D71">
            <w:pPr>
              <w:spacing w:line="280" w:lineRule="exact"/>
              <w:jc w:val="center"/>
              <w:rPr>
                <w:rFonts w:cs="宋体" w:asciiTheme="minorEastAsia" w:hAnsiTheme="minorEastAsia"/>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25D2875B">
            <w:pPr>
              <w:spacing w:line="280" w:lineRule="exact"/>
              <w:jc w:val="center"/>
              <w:rPr>
                <w:rFonts w:cs="宋体" w:asciiTheme="minorEastAsia" w:hAnsiTheme="minorEastAsia"/>
                <w:sz w:val="20"/>
                <w:szCs w:val="20"/>
              </w:rPr>
            </w:pPr>
          </w:p>
        </w:tc>
        <w:tc>
          <w:tcPr>
            <w:tcW w:w="1451" w:type="dxa"/>
            <w:vMerge w:val="continue"/>
            <w:tcBorders>
              <w:left w:val="single" w:color="auto" w:sz="4" w:space="0"/>
              <w:right w:val="single" w:color="auto" w:sz="4" w:space="0"/>
            </w:tcBorders>
            <w:vAlign w:val="center"/>
          </w:tcPr>
          <w:p w14:paraId="4054D6F2">
            <w:pPr>
              <w:pStyle w:val="9"/>
              <w:spacing w:line="280" w:lineRule="exact"/>
              <w:ind w:firstLine="0" w:firstLineChars="0"/>
              <w:jc w:val="center"/>
              <w:rPr>
                <w:rFonts w:asciiTheme="minorEastAsia" w:hAnsiTheme="minorEastAsia" w:eastAsiaTheme="minorEastAsia"/>
                <w:sz w:val="20"/>
                <w:szCs w:val="20"/>
              </w:rPr>
            </w:pPr>
          </w:p>
        </w:tc>
      </w:tr>
      <w:tr w14:paraId="551F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29D94052">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8</w:t>
            </w:r>
          </w:p>
        </w:tc>
        <w:tc>
          <w:tcPr>
            <w:tcW w:w="3108" w:type="dxa"/>
            <w:tcBorders>
              <w:top w:val="single" w:color="auto" w:sz="4" w:space="0"/>
              <w:left w:val="single" w:color="auto" w:sz="4" w:space="0"/>
              <w:bottom w:val="single" w:color="auto" w:sz="4" w:space="0"/>
              <w:right w:val="single" w:color="auto" w:sz="4" w:space="0"/>
            </w:tcBorders>
            <w:vAlign w:val="center"/>
          </w:tcPr>
          <w:p w14:paraId="5040A2AC">
            <w:pPr>
              <w:spacing w:line="280" w:lineRule="exact"/>
              <w:jc w:val="center"/>
              <w:rPr>
                <w:rFonts w:hint="eastAsia" w:eastAsia="宋体" w:cs="宋体" w:asciiTheme="minorEastAsia" w:hAnsiTheme="minorEastAsia"/>
                <w:sz w:val="20"/>
                <w:szCs w:val="20"/>
                <w:lang w:eastAsia="zh-CN"/>
              </w:rPr>
            </w:pPr>
            <w:r>
              <w:rPr>
                <w:rFonts w:hint="eastAsia" w:eastAsia="宋体" w:cs="宋体" w:asciiTheme="minorEastAsia" w:hAnsiTheme="minorEastAsia"/>
                <w:sz w:val="20"/>
                <w:szCs w:val="20"/>
                <w:lang w:eastAsia="zh-CN"/>
              </w:rPr>
              <w:t>功率放大器</w:t>
            </w:r>
          </w:p>
        </w:tc>
        <w:tc>
          <w:tcPr>
            <w:tcW w:w="988" w:type="dxa"/>
            <w:tcBorders>
              <w:left w:val="single" w:color="auto" w:sz="4" w:space="0"/>
              <w:right w:val="single" w:color="auto" w:sz="4" w:space="0"/>
            </w:tcBorders>
            <w:vAlign w:val="center"/>
          </w:tcPr>
          <w:p w14:paraId="5BFB6341">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1271" w:type="dxa"/>
            <w:tcBorders>
              <w:left w:val="single" w:color="auto" w:sz="4" w:space="0"/>
              <w:right w:val="single" w:color="auto" w:sz="4" w:space="0"/>
            </w:tcBorders>
            <w:vAlign w:val="center"/>
          </w:tcPr>
          <w:p w14:paraId="70DC8919">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707" w:type="dxa"/>
            <w:tcBorders>
              <w:left w:val="single" w:color="auto" w:sz="4" w:space="0"/>
              <w:right w:val="single" w:color="auto" w:sz="4" w:space="0"/>
            </w:tcBorders>
            <w:vAlign w:val="center"/>
          </w:tcPr>
          <w:p w14:paraId="00B39DE5">
            <w:pPr>
              <w:widowControl/>
              <w:spacing w:line="280" w:lineRule="exact"/>
              <w:jc w:val="center"/>
              <w:rPr>
                <w:rFonts w:cs="宋体" w:asciiTheme="minorEastAsia" w:hAnsiTheme="minorEastAsia"/>
                <w:bCs/>
                <w:kern w:val="0"/>
                <w:sz w:val="20"/>
                <w:szCs w:val="20"/>
              </w:rPr>
            </w:pPr>
          </w:p>
        </w:tc>
        <w:tc>
          <w:tcPr>
            <w:tcW w:w="848" w:type="dxa"/>
            <w:tcBorders>
              <w:top w:val="single" w:color="auto" w:sz="4" w:space="0"/>
              <w:left w:val="single" w:color="auto" w:sz="4" w:space="0"/>
              <w:bottom w:val="single" w:color="auto" w:sz="4" w:space="0"/>
              <w:right w:val="single" w:color="auto" w:sz="4" w:space="0"/>
            </w:tcBorders>
            <w:vAlign w:val="center"/>
          </w:tcPr>
          <w:p w14:paraId="3796065C">
            <w:pPr>
              <w:widowControl/>
              <w:spacing w:line="280" w:lineRule="exact"/>
              <w:jc w:val="center"/>
              <w:rPr>
                <w:rFonts w:hint="eastAsia" w:eastAsia="宋体" w:cs="宋体" w:asciiTheme="minorEastAsia" w:hAnsiTheme="minorEastAsia"/>
                <w:bCs/>
                <w:kern w:val="0"/>
                <w:sz w:val="20"/>
                <w:szCs w:val="20"/>
                <w:lang w:eastAsia="zh-CN"/>
              </w:rPr>
            </w:pPr>
            <w:r>
              <w:rPr>
                <w:rFonts w:hint="eastAsia" w:eastAsia="宋体" w:cs="宋体" w:asciiTheme="minorEastAsia" w:hAnsiTheme="minorEastAsia"/>
                <w:bCs/>
                <w:kern w:val="0"/>
                <w:sz w:val="20"/>
                <w:szCs w:val="20"/>
                <w:lang w:eastAsia="zh-CN"/>
              </w:rPr>
              <w:t>台</w:t>
            </w:r>
          </w:p>
        </w:tc>
        <w:tc>
          <w:tcPr>
            <w:tcW w:w="847" w:type="dxa"/>
            <w:tcBorders>
              <w:top w:val="single" w:color="auto" w:sz="4" w:space="0"/>
              <w:left w:val="single" w:color="auto" w:sz="4" w:space="0"/>
              <w:bottom w:val="single" w:color="auto" w:sz="4" w:space="0"/>
              <w:right w:val="single" w:color="auto" w:sz="4" w:space="0"/>
            </w:tcBorders>
            <w:vAlign w:val="center"/>
          </w:tcPr>
          <w:p w14:paraId="1F338BFD">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4</w:t>
            </w:r>
          </w:p>
        </w:tc>
        <w:tc>
          <w:tcPr>
            <w:tcW w:w="1130" w:type="dxa"/>
            <w:tcBorders>
              <w:top w:val="single" w:color="auto" w:sz="4" w:space="0"/>
              <w:left w:val="single" w:color="auto" w:sz="4" w:space="0"/>
              <w:bottom w:val="single" w:color="auto" w:sz="4" w:space="0"/>
              <w:right w:val="single" w:color="auto" w:sz="4" w:space="0"/>
            </w:tcBorders>
            <w:vAlign w:val="center"/>
          </w:tcPr>
          <w:p w14:paraId="31AC0882">
            <w:pPr>
              <w:spacing w:line="280" w:lineRule="exact"/>
              <w:jc w:val="center"/>
              <w:rPr>
                <w:rFonts w:cs="宋体" w:asciiTheme="minorEastAsia" w:hAnsiTheme="minorEastAsia"/>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58059841">
            <w:pPr>
              <w:spacing w:line="280" w:lineRule="exact"/>
              <w:jc w:val="center"/>
              <w:rPr>
                <w:rFonts w:cs="宋体" w:asciiTheme="minorEastAsia" w:hAnsiTheme="minorEastAsia"/>
                <w:sz w:val="20"/>
                <w:szCs w:val="20"/>
              </w:rPr>
            </w:pPr>
          </w:p>
        </w:tc>
        <w:tc>
          <w:tcPr>
            <w:tcW w:w="1451" w:type="dxa"/>
            <w:vMerge w:val="continue"/>
            <w:tcBorders>
              <w:left w:val="single" w:color="auto" w:sz="4" w:space="0"/>
              <w:right w:val="single" w:color="auto" w:sz="4" w:space="0"/>
            </w:tcBorders>
            <w:vAlign w:val="center"/>
          </w:tcPr>
          <w:p w14:paraId="0F72F508">
            <w:pPr>
              <w:pStyle w:val="9"/>
              <w:spacing w:line="280" w:lineRule="exact"/>
              <w:ind w:firstLine="0" w:firstLineChars="0"/>
              <w:jc w:val="center"/>
              <w:rPr>
                <w:rFonts w:asciiTheme="minorEastAsia" w:hAnsiTheme="minorEastAsia" w:eastAsiaTheme="minorEastAsia"/>
                <w:sz w:val="20"/>
                <w:szCs w:val="20"/>
              </w:rPr>
            </w:pPr>
          </w:p>
        </w:tc>
      </w:tr>
      <w:tr w14:paraId="679F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057CA272">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9</w:t>
            </w:r>
          </w:p>
        </w:tc>
        <w:tc>
          <w:tcPr>
            <w:tcW w:w="3108" w:type="dxa"/>
            <w:tcBorders>
              <w:top w:val="single" w:color="auto" w:sz="4" w:space="0"/>
              <w:left w:val="single" w:color="auto" w:sz="4" w:space="0"/>
              <w:bottom w:val="single" w:color="auto" w:sz="4" w:space="0"/>
              <w:right w:val="single" w:color="auto" w:sz="4" w:space="0"/>
            </w:tcBorders>
            <w:vAlign w:val="center"/>
          </w:tcPr>
          <w:p w14:paraId="42FCFD12">
            <w:pPr>
              <w:spacing w:line="280" w:lineRule="exact"/>
              <w:jc w:val="center"/>
              <w:rPr>
                <w:rFonts w:hint="eastAsia" w:eastAsia="宋体" w:cs="宋体" w:asciiTheme="minorEastAsia" w:hAnsiTheme="minorEastAsia"/>
                <w:sz w:val="20"/>
                <w:szCs w:val="20"/>
                <w:lang w:eastAsia="zh-CN"/>
              </w:rPr>
            </w:pPr>
            <w:r>
              <w:rPr>
                <w:rFonts w:hint="eastAsia" w:eastAsia="宋体" w:cs="宋体" w:asciiTheme="minorEastAsia" w:hAnsiTheme="minorEastAsia"/>
                <w:sz w:val="20"/>
                <w:szCs w:val="20"/>
                <w:lang w:eastAsia="zh-CN"/>
              </w:rPr>
              <w:t>电源时序器</w:t>
            </w:r>
          </w:p>
        </w:tc>
        <w:tc>
          <w:tcPr>
            <w:tcW w:w="988" w:type="dxa"/>
            <w:tcBorders>
              <w:left w:val="single" w:color="auto" w:sz="4" w:space="0"/>
              <w:right w:val="single" w:color="auto" w:sz="4" w:space="0"/>
            </w:tcBorders>
            <w:vAlign w:val="center"/>
          </w:tcPr>
          <w:p w14:paraId="67E91A0E">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1271" w:type="dxa"/>
            <w:tcBorders>
              <w:left w:val="single" w:color="auto" w:sz="4" w:space="0"/>
              <w:right w:val="single" w:color="auto" w:sz="4" w:space="0"/>
            </w:tcBorders>
            <w:vAlign w:val="center"/>
          </w:tcPr>
          <w:p w14:paraId="0895BC87">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707" w:type="dxa"/>
            <w:tcBorders>
              <w:left w:val="single" w:color="auto" w:sz="4" w:space="0"/>
              <w:right w:val="single" w:color="auto" w:sz="4" w:space="0"/>
            </w:tcBorders>
            <w:vAlign w:val="center"/>
          </w:tcPr>
          <w:p w14:paraId="465CE247">
            <w:pPr>
              <w:widowControl/>
              <w:spacing w:line="280" w:lineRule="exact"/>
              <w:jc w:val="center"/>
              <w:rPr>
                <w:rFonts w:cs="宋体" w:asciiTheme="minorEastAsia" w:hAnsiTheme="minorEastAsia"/>
                <w:bCs/>
                <w:kern w:val="0"/>
                <w:sz w:val="20"/>
                <w:szCs w:val="20"/>
              </w:rPr>
            </w:pPr>
          </w:p>
        </w:tc>
        <w:tc>
          <w:tcPr>
            <w:tcW w:w="848" w:type="dxa"/>
            <w:tcBorders>
              <w:top w:val="single" w:color="auto" w:sz="4" w:space="0"/>
              <w:left w:val="single" w:color="auto" w:sz="4" w:space="0"/>
              <w:bottom w:val="single" w:color="auto" w:sz="4" w:space="0"/>
              <w:right w:val="single" w:color="auto" w:sz="4" w:space="0"/>
            </w:tcBorders>
            <w:vAlign w:val="center"/>
          </w:tcPr>
          <w:p w14:paraId="5D0D4A1E">
            <w:pPr>
              <w:widowControl/>
              <w:spacing w:line="280" w:lineRule="exact"/>
              <w:jc w:val="center"/>
              <w:rPr>
                <w:rFonts w:hint="eastAsia" w:eastAsia="宋体" w:cs="宋体" w:asciiTheme="minorEastAsia" w:hAnsiTheme="minorEastAsia"/>
                <w:bCs/>
                <w:kern w:val="0"/>
                <w:sz w:val="20"/>
                <w:szCs w:val="20"/>
                <w:lang w:eastAsia="zh-CN"/>
              </w:rPr>
            </w:pPr>
            <w:r>
              <w:rPr>
                <w:rFonts w:hint="eastAsia" w:eastAsia="宋体" w:cs="宋体" w:asciiTheme="minorEastAsia" w:hAnsiTheme="minorEastAsia"/>
                <w:bCs/>
                <w:kern w:val="0"/>
                <w:sz w:val="20"/>
                <w:szCs w:val="20"/>
                <w:lang w:eastAsia="zh-CN"/>
              </w:rPr>
              <w:t>台</w:t>
            </w:r>
          </w:p>
        </w:tc>
        <w:tc>
          <w:tcPr>
            <w:tcW w:w="847" w:type="dxa"/>
            <w:tcBorders>
              <w:top w:val="single" w:color="auto" w:sz="4" w:space="0"/>
              <w:left w:val="single" w:color="auto" w:sz="4" w:space="0"/>
              <w:bottom w:val="single" w:color="auto" w:sz="4" w:space="0"/>
              <w:right w:val="single" w:color="auto" w:sz="4" w:space="0"/>
            </w:tcBorders>
            <w:vAlign w:val="center"/>
          </w:tcPr>
          <w:p w14:paraId="7CE8FEF4">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2</w:t>
            </w:r>
          </w:p>
        </w:tc>
        <w:tc>
          <w:tcPr>
            <w:tcW w:w="1130" w:type="dxa"/>
            <w:tcBorders>
              <w:top w:val="single" w:color="auto" w:sz="4" w:space="0"/>
              <w:left w:val="single" w:color="auto" w:sz="4" w:space="0"/>
              <w:bottom w:val="single" w:color="auto" w:sz="4" w:space="0"/>
              <w:right w:val="single" w:color="auto" w:sz="4" w:space="0"/>
            </w:tcBorders>
            <w:vAlign w:val="center"/>
          </w:tcPr>
          <w:p w14:paraId="558DB802">
            <w:pPr>
              <w:spacing w:line="280" w:lineRule="exact"/>
              <w:jc w:val="center"/>
              <w:rPr>
                <w:rFonts w:cs="宋体" w:asciiTheme="minorEastAsia" w:hAnsiTheme="minorEastAsia"/>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76B0309B">
            <w:pPr>
              <w:spacing w:line="280" w:lineRule="exact"/>
              <w:jc w:val="center"/>
              <w:rPr>
                <w:rFonts w:cs="宋体" w:asciiTheme="minorEastAsia" w:hAnsiTheme="minorEastAsia"/>
                <w:sz w:val="20"/>
                <w:szCs w:val="20"/>
              </w:rPr>
            </w:pPr>
          </w:p>
        </w:tc>
        <w:tc>
          <w:tcPr>
            <w:tcW w:w="1451" w:type="dxa"/>
            <w:vMerge w:val="continue"/>
            <w:tcBorders>
              <w:left w:val="single" w:color="auto" w:sz="4" w:space="0"/>
              <w:right w:val="single" w:color="auto" w:sz="4" w:space="0"/>
            </w:tcBorders>
            <w:vAlign w:val="center"/>
          </w:tcPr>
          <w:p w14:paraId="0296A69D">
            <w:pPr>
              <w:pStyle w:val="9"/>
              <w:spacing w:line="280" w:lineRule="exact"/>
              <w:ind w:firstLine="0" w:firstLineChars="0"/>
              <w:jc w:val="center"/>
              <w:rPr>
                <w:rFonts w:asciiTheme="minorEastAsia" w:hAnsiTheme="minorEastAsia" w:eastAsiaTheme="minorEastAsia"/>
                <w:sz w:val="20"/>
                <w:szCs w:val="20"/>
              </w:rPr>
            </w:pPr>
          </w:p>
        </w:tc>
      </w:tr>
      <w:tr w14:paraId="0EEE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17A16840">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10</w:t>
            </w:r>
          </w:p>
        </w:tc>
        <w:tc>
          <w:tcPr>
            <w:tcW w:w="3108" w:type="dxa"/>
            <w:tcBorders>
              <w:top w:val="single" w:color="auto" w:sz="4" w:space="0"/>
              <w:left w:val="single" w:color="auto" w:sz="4" w:space="0"/>
              <w:bottom w:val="single" w:color="auto" w:sz="4" w:space="0"/>
              <w:right w:val="single" w:color="auto" w:sz="4" w:space="0"/>
            </w:tcBorders>
            <w:vAlign w:val="center"/>
          </w:tcPr>
          <w:p w14:paraId="3680F53F">
            <w:pPr>
              <w:spacing w:line="280" w:lineRule="exact"/>
              <w:jc w:val="center"/>
              <w:rPr>
                <w:rFonts w:hint="eastAsia" w:eastAsia="宋体" w:cs="宋体" w:asciiTheme="minorEastAsia" w:hAnsiTheme="minorEastAsia"/>
                <w:sz w:val="20"/>
                <w:szCs w:val="20"/>
                <w:lang w:eastAsia="zh-CN"/>
              </w:rPr>
            </w:pPr>
            <w:r>
              <w:rPr>
                <w:rFonts w:hint="eastAsia" w:eastAsia="宋体" w:cs="宋体" w:asciiTheme="minorEastAsia" w:hAnsiTheme="minorEastAsia"/>
                <w:sz w:val="20"/>
                <w:szCs w:val="20"/>
                <w:lang w:eastAsia="zh-CN"/>
              </w:rPr>
              <w:t>设备柜机</w:t>
            </w:r>
          </w:p>
        </w:tc>
        <w:tc>
          <w:tcPr>
            <w:tcW w:w="988" w:type="dxa"/>
            <w:tcBorders>
              <w:left w:val="single" w:color="auto" w:sz="4" w:space="0"/>
              <w:right w:val="single" w:color="auto" w:sz="4" w:space="0"/>
            </w:tcBorders>
            <w:vAlign w:val="center"/>
          </w:tcPr>
          <w:p w14:paraId="0B0E013C">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1271" w:type="dxa"/>
            <w:tcBorders>
              <w:left w:val="single" w:color="auto" w:sz="4" w:space="0"/>
              <w:right w:val="single" w:color="auto" w:sz="4" w:space="0"/>
            </w:tcBorders>
            <w:vAlign w:val="center"/>
          </w:tcPr>
          <w:p w14:paraId="1C4A08E5">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707" w:type="dxa"/>
            <w:tcBorders>
              <w:left w:val="single" w:color="auto" w:sz="4" w:space="0"/>
              <w:right w:val="single" w:color="auto" w:sz="4" w:space="0"/>
            </w:tcBorders>
            <w:vAlign w:val="center"/>
          </w:tcPr>
          <w:p w14:paraId="3EE8C69E">
            <w:pPr>
              <w:widowControl/>
              <w:spacing w:line="280" w:lineRule="exact"/>
              <w:jc w:val="center"/>
              <w:rPr>
                <w:rFonts w:cs="宋体" w:asciiTheme="minorEastAsia" w:hAnsiTheme="minorEastAsia"/>
                <w:bCs/>
                <w:kern w:val="0"/>
                <w:sz w:val="20"/>
                <w:szCs w:val="20"/>
              </w:rPr>
            </w:pPr>
          </w:p>
        </w:tc>
        <w:tc>
          <w:tcPr>
            <w:tcW w:w="848" w:type="dxa"/>
            <w:tcBorders>
              <w:top w:val="single" w:color="auto" w:sz="4" w:space="0"/>
              <w:left w:val="single" w:color="auto" w:sz="4" w:space="0"/>
              <w:bottom w:val="single" w:color="auto" w:sz="4" w:space="0"/>
              <w:right w:val="single" w:color="auto" w:sz="4" w:space="0"/>
            </w:tcBorders>
            <w:vAlign w:val="center"/>
          </w:tcPr>
          <w:p w14:paraId="10DC7BA6">
            <w:pPr>
              <w:widowControl/>
              <w:spacing w:line="280" w:lineRule="exact"/>
              <w:jc w:val="center"/>
              <w:rPr>
                <w:rFonts w:hint="eastAsia" w:eastAsia="宋体" w:cs="宋体" w:asciiTheme="minorEastAsia" w:hAnsiTheme="minorEastAsia"/>
                <w:bCs/>
                <w:kern w:val="0"/>
                <w:sz w:val="20"/>
                <w:szCs w:val="20"/>
                <w:lang w:eastAsia="zh-CN"/>
              </w:rPr>
            </w:pPr>
            <w:r>
              <w:rPr>
                <w:rFonts w:hint="eastAsia" w:eastAsia="宋体" w:cs="宋体" w:asciiTheme="minorEastAsia" w:hAnsiTheme="minorEastAsia"/>
                <w:bCs/>
                <w:kern w:val="0"/>
                <w:sz w:val="20"/>
                <w:szCs w:val="20"/>
                <w:lang w:eastAsia="zh-CN"/>
              </w:rPr>
              <w:t>台</w:t>
            </w:r>
          </w:p>
        </w:tc>
        <w:tc>
          <w:tcPr>
            <w:tcW w:w="847" w:type="dxa"/>
            <w:tcBorders>
              <w:top w:val="single" w:color="auto" w:sz="4" w:space="0"/>
              <w:left w:val="single" w:color="auto" w:sz="4" w:space="0"/>
              <w:bottom w:val="single" w:color="auto" w:sz="4" w:space="0"/>
              <w:right w:val="single" w:color="auto" w:sz="4" w:space="0"/>
            </w:tcBorders>
            <w:vAlign w:val="center"/>
          </w:tcPr>
          <w:p w14:paraId="7FA95679">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3</w:t>
            </w:r>
          </w:p>
        </w:tc>
        <w:tc>
          <w:tcPr>
            <w:tcW w:w="1130" w:type="dxa"/>
            <w:tcBorders>
              <w:top w:val="single" w:color="auto" w:sz="4" w:space="0"/>
              <w:left w:val="single" w:color="auto" w:sz="4" w:space="0"/>
              <w:bottom w:val="single" w:color="auto" w:sz="4" w:space="0"/>
              <w:right w:val="single" w:color="auto" w:sz="4" w:space="0"/>
            </w:tcBorders>
            <w:vAlign w:val="center"/>
          </w:tcPr>
          <w:p w14:paraId="7DFA7BBE">
            <w:pPr>
              <w:spacing w:line="280" w:lineRule="exact"/>
              <w:jc w:val="center"/>
              <w:rPr>
                <w:rFonts w:cs="宋体" w:asciiTheme="minorEastAsia" w:hAnsiTheme="minorEastAsia"/>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77A29B72">
            <w:pPr>
              <w:spacing w:line="280" w:lineRule="exact"/>
              <w:jc w:val="center"/>
              <w:rPr>
                <w:rFonts w:cs="宋体" w:asciiTheme="minorEastAsia" w:hAnsiTheme="minorEastAsia"/>
                <w:sz w:val="20"/>
                <w:szCs w:val="20"/>
              </w:rPr>
            </w:pPr>
          </w:p>
        </w:tc>
        <w:tc>
          <w:tcPr>
            <w:tcW w:w="1451" w:type="dxa"/>
            <w:vMerge w:val="continue"/>
            <w:tcBorders>
              <w:left w:val="single" w:color="auto" w:sz="4" w:space="0"/>
              <w:right w:val="single" w:color="auto" w:sz="4" w:space="0"/>
            </w:tcBorders>
            <w:vAlign w:val="center"/>
          </w:tcPr>
          <w:p w14:paraId="4997DFE0">
            <w:pPr>
              <w:pStyle w:val="9"/>
              <w:spacing w:line="280" w:lineRule="exact"/>
              <w:ind w:firstLine="0" w:firstLineChars="0"/>
              <w:jc w:val="center"/>
              <w:rPr>
                <w:rFonts w:asciiTheme="minorEastAsia" w:hAnsiTheme="minorEastAsia" w:eastAsiaTheme="minorEastAsia"/>
                <w:sz w:val="20"/>
                <w:szCs w:val="20"/>
              </w:rPr>
            </w:pPr>
          </w:p>
        </w:tc>
      </w:tr>
      <w:tr w14:paraId="488A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3C1E5D17">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11</w:t>
            </w:r>
          </w:p>
        </w:tc>
        <w:tc>
          <w:tcPr>
            <w:tcW w:w="3108" w:type="dxa"/>
            <w:tcBorders>
              <w:top w:val="single" w:color="auto" w:sz="4" w:space="0"/>
              <w:left w:val="single" w:color="auto" w:sz="4" w:space="0"/>
              <w:bottom w:val="single" w:color="auto" w:sz="4" w:space="0"/>
              <w:right w:val="single" w:color="auto" w:sz="4" w:space="0"/>
            </w:tcBorders>
            <w:vAlign w:val="center"/>
          </w:tcPr>
          <w:p w14:paraId="611D7627">
            <w:pPr>
              <w:spacing w:line="280" w:lineRule="exact"/>
              <w:jc w:val="center"/>
              <w:rPr>
                <w:rFonts w:hint="eastAsia" w:eastAsia="宋体" w:cs="宋体" w:asciiTheme="minorEastAsia" w:hAnsiTheme="minorEastAsia"/>
                <w:sz w:val="20"/>
                <w:szCs w:val="20"/>
                <w:lang w:eastAsia="zh-CN"/>
              </w:rPr>
            </w:pPr>
            <w:r>
              <w:rPr>
                <w:rFonts w:hint="eastAsia" w:eastAsia="宋体" w:cs="宋体" w:asciiTheme="minorEastAsia" w:hAnsiTheme="minorEastAsia"/>
                <w:sz w:val="20"/>
                <w:szCs w:val="20"/>
                <w:lang w:eastAsia="zh-CN"/>
              </w:rPr>
              <w:t>预监显示器</w:t>
            </w:r>
          </w:p>
        </w:tc>
        <w:tc>
          <w:tcPr>
            <w:tcW w:w="988" w:type="dxa"/>
            <w:tcBorders>
              <w:left w:val="single" w:color="auto" w:sz="4" w:space="0"/>
              <w:right w:val="single" w:color="auto" w:sz="4" w:space="0"/>
            </w:tcBorders>
            <w:vAlign w:val="center"/>
          </w:tcPr>
          <w:p w14:paraId="7E2BA1B9">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1271" w:type="dxa"/>
            <w:tcBorders>
              <w:left w:val="single" w:color="auto" w:sz="4" w:space="0"/>
              <w:right w:val="single" w:color="auto" w:sz="4" w:space="0"/>
            </w:tcBorders>
            <w:vAlign w:val="center"/>
          </w:tcPr>
          <w:p w14:paraId="4AB5DC7E">
            <w:pPr>
              <w:spacing w:line="280" w:lineRule="exact"/>
              <w:jc w:val="center"/>
              <w:rPr>
                <w:rFonts w:cs="宋体" w:asciiTheme="minorEastAsia" w:hAnsiTheme="minorEastAsia"/>
                <w:color w:val="000000" w:themeColor="text1"/>
                <w:sz w:val="20"/>
                <w:szCs w:val="20"/>
                <w14:textFill>
                  <w14:solidFill>
                    <w14:schemeClr w14:val="tx1"/>
                  </w14:solidFill>
                </w14:textFill>
              </w:rPr>
            </w:pPr>
          </w:p>
        </w:tc>
        <w:tc>
          <w:tcPr>
            <w:tcW w:w="707" w:type="dxa"/>
            <w:tcBorders>
              <w:left w:val="single" w:color="auto" w:sz="4" w:space="0"/>
              <w:right w:val="single" w:color="auto" w:sz="4" w:space="0"/>
            </w:tcBorders>
            <w:vAlign w:val="center"/>
          </w:tcPr>
          <w:p w14:paraId="17FCA9BE">
            <w:pPr>
              <w:widowControl/>
              <w:spacing w:line="280" w:lineRule="exact"/>
              <w:jc w:val="center"/>
              <w:rPr>
                <w:rFonts w:cs="宋体" w:asciiTheme="minorEastAsia" w:hAnsiTheme="minorEastAsia"/>
                <w:bCs/>
                <w:kern w:val="0"/>
                <w:sz w:val="20"/>
                <w:szCs w:val="20"/>
              </w:rPr>
            </w:pPr>
          </w:p>
        </w:tc>
        <w:tc>
          <w:tcPr>
            <w:tcW w:w="848" w:type="dxa"/>
            <w:tcBorders>
              <w:top w:val="single" w:color="auto" w:sz="4" w:space="0"/>
              <w:left w:val="single" w:color="auto" w:sz="4" w:space="0"/>
              <w:bottom w:val="single" w:color="auto" w:sz="4" w:space="0"/>
              <w:right w:val="single" w:color="auto" w:sz="4" w:space="0"/>
            </w:tcBorders>
            <w:vAlign w:val="center"/>
          </w:tcPr>
          <w:p w14:paraId="2BC24525">
            <w:pPr>
              <w:widowControl/>
              <w:spacing w:line="280" w:lineRule="exact"/>
              <w:jc w:val="center"/>
              <w:rPr>
                <w:rFonts w:hint="eastAsia" w:eastAsia="宋体" w:cs="宋体" w:asciiTheme="minorEastAsia" w:hAnsiTheme="minorEastAsia"/>
                <w:bCs/>
                <w:kern w:val="0"/>
                <w:sz w:val="20"/>
                <w:szCs w:val="20"/>
                <w:lang w:eastAsia="zh-CN"/>
              </w:rPr>
            </w:pPr>
            <w:r>
              <w:rPr>
                <w:rFonts w:hint="eastAsia" w:eastAsia="宋体" w:cs="宋体" w:asciiTheme="minorEastAsia" w:hAnsiTheme="minorEastAsia"/>
                <w:bCs/>
                <w:kern w:val="0"/>
                <w:sz w:val="20"/>
                <w:szCs w:val="20"/>
                <w:lang w:eastAsia="zh-CN"/>
              </w:rPr>
              <w:t>台</w:t>
            </w:r>
          </w:p>
        </w:tc>
        <w:tc>
          <w:tcPr>
            <w:tcW w:w="847" w:type="dxa"/>
            <w:tcBorders>
              <w:top w:val="single" w:color="auto" w:sz="4" w:space="0"/>
              <w:left w:val="single" w:color="auto" w:sz="4" w:space="0"/>
              <w:bottom w:val="single" w:color="auto" w:sz="4" w:space="0"/>
              <w:right w:val="single" w:color="auto" w:sz="4" w:space="0"/>
            </w:tcBorders>
            <w:vAlign w:val="center"/>
          </w:tcPr>
          <w:p w14:paraId="30533CF2">
            <w:pPr>
              <w:spacing w:line="280" w:lineRule="exact"/>
              <w:jc w:val="center"/>
              <w:rPr>
                <w:rFonts w:hint="eastAsia" w:eastAsia="宋体" w:cs="宋体" w:asciiTheme="minorEastAsia" w:hAnsiTheme="minorEastAsia"/>
                <w:sz w:val="20"/>
                <w:szCs w:val="20"/>
                <w:lang w:val="en-US" w:eastAsia="zh-CN"/>
              </w:rPr>
            </w:pPr>
            <w:r>
              <w:rPr>
                <w:rFonts w:hint="eastAsia" w:eastAsia="宋体" w:cs="宋体" w:asciiTheme="minorEastAsia" w:hAnsiTheme="minorEastAsia"/>
                <w:sz w:val="20"/>
                <w:szCs w:val="20"/>
                <w:lang w:val="en-US" w:eastAsia="zh-CN"/>
              </w:rPr>
              <w:t>2</w:t>
            </w:r>
          </w:p>
        </w:tc>
        <w:tc>
          <w:tcPr>
            <w:tcW w:w="1130" w:type="dxa"/>
            <w:tcBorders>
              <w:top w:val="single" w:color="auto" w:sz="4" w:space="0"/>
              <w:left w:val="single" w:color="auto" w:sz="4" w:space="0"/>
              <w:bottom w:val="single" w:color="auto" w:sz="4" w:space="0"/>
              <w:right w:val="single" w:color="auto" w:sz="4" w:space="0"/>
            </w:tcBorders>
            <w:vAlign w:val="center"/>
          </w:tcPr>
          <w:p w14:paraId="4A235888">
            <w:pPr>
              <w:spacing w:line="280" w:lineRule="exact"/>
              <w:jc w:val="center"/>
              <w:rPr>
                <w:rFonts w:cs="宋体" w:asciiTheme="minorEastAsia" w:hAnsiTheme="minorEastAsia"/>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125B1BEF">
            <w:pPr>
              <w:spacing w:line="280" w:lineRule="exact"/>
              <w:jc w:val="center"/>
              <w:rPr>
                <w:rFonts w:cs="宋体" w:asciiTheme="minorEastAsia" w:hAnsiTheme="minorEastAsia"/>
                <w:sz w:val="20"/>
                <w:szCs w:val="20"/>
              </w:rPr>
            </w:pPr>
          </w:p>
        </w:tc>
        <w:tc>
          <w:tcPr>
            <w:tcW w:w="1451" w:type="dxa"/>
            <w:vMerge w:val="continue"/>
            <w:tcBorders>
              <w:left w:val="single" w:color="auto" w:sz="4" w:space="0"/>
              <w:right w:val="single" w:color="auto" w:sz="4" w:space="0"/>
            </w:tcBorders>
            <w:vAlign w:val="center"/>
          </w:tcPr>
          <w:p w14:paraId="5A381EAA">
            <w:pPr>
              <w:pStyle w:val="9"/>
              <w:spacing w:line="280" w:lineRule="exact"/>
              <w:ind w:firstLine="0" w:firstLineChars="0"/>
              <w:jc w:val="center"/>
              <w:rPr>
                <w:rFonts w:asciiTheme="minorEastAsia" w:hAnsiTheme="minorEastAsia" w:eastAsiaTheme="minorEastAsia"/>
                <w:sz w:val="20"/>
                <w:szCs w:val="20"/>
              </w:rPr>
            </w:pPr>
          </w:p>
        </w:tc>
      </w:tr>
    </w:tbl>
    <w:p w14:paraId="69358AF7">
      <w:pPr>
        <w:spacing w:line="280" w:lineRule="exact"/>
        <w:jc w:val="center"/>
        <w:rPr>
          <w:rFonts w:hAnsi="黑体" w:eastAsia="黑体"/>
          <w:sz w:val="32"/>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7E767DC0">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方正小标宋简体" w:hAnsi="Times New Roman" w:eastAsia="方正小标宋简体"/>
          <w:sz w:val="44"/>
          <w:szCs w:val="44"/>
        </w:rPr>
      </w:pPr>
      <w:r>
        <w:rPr>
          <w:rFonts w:hint="eastAsia" w:ascii="方正小标宋简体" w:eastAsia="方正小标宋简体" w:cs="方正小标宋简体"/>
          <w:sz w:val="44"/>
          <w:szCs w:val="44"/>
          <w:lang w:val="en-US" w:eastAsia="zh-CN"/>
        </w:rPr>
        <w:t>附件1-2</w:t>
      </w:r>
      <w:r>
        <w:rPr>
          <w:rFonts w:hint="eastAsia" w:ascii="方正小标宋简体" w:hAnsi="Times New Roman" w:eastAsia="方正小标宋简体"/>
          <w:sz w:val="44"/>
          <w:szCs w:val="44"/>
        </w:rPr>
        <w:t xml:space="preserve"> 技术要求</w:t>
      </w:r>
    </w:p>
    <w:p w14:paraId="3374AF45">
      <w:pPr>
        <w:keepNext w:val="0"/>
        <w:keepLines w:val="0"/>
        <w:pageBreakBefore w:val="0"/>
        <w:widowControl w:val="0"/>
        <w:kinsoku/>
        <w:wordWrap/>
        <w:overflowPunct/>
        <w:topLinePunct w:val="0"/>
        <w:autoSpaceDE/>
        <w:autoSpaceDN/>
        <w:bidi w:val="0"/>
        <w:adjustRightInd w:val="0"/>
        <w:snapToGrid/>
        <w:spacing w:before="0" w:after="0" w:line="530" w:lineRule="exact"/>
        <w:ind w:firstLine="640" w:firstLineChars="200"/>
        <w:textAlignment w:val="auto"/>
        <w:outlineLvl w:val="9"/>
        <w:rPr>
          <w:rFonts w:ascii="黑体" w:hAnsi="黑体" w:cs="黑体"/>
          <w:b w:val="0"/>
          <w:bCs w:val="0"/>
          <w:sz w:val="32"/>
          <w:szCs w:val="32"/>
        </w:rPr>
      </w:pPr>
      <w:r>
        <w:rPr>
          <w:rFonts w:hint="eastAsia" w:ascii="黑体" w:hAnsi="黑体" w:cs="黑体"/>
          <w:b w:val="0"/>
          <w:bCs w:val="0"/>
          <w:sz w:val="32"/>
          <w:szCs w:val="32"/>
          <w:lang w:eastAsia="zh-CN"/>
        </w:rPr>
        <w:t>一</w:t>
      </w:r>
      <w:r>
        <w:rPr>
          <w:rFonts w:hint="eastAsia" w:ascii="黑体" w:hAnsi="黑体" w:cs="黑体"/>
          <w:b w:val="0"/>
          <w:bCs w:val="0"/>
          <w:sz w:val="32"/>
          <w:szCs w:val="32"/>
        </w:rPr>
        <w:t>、</w:t>
      </w:r>
      <w:bookmarkStart w:id="0" w:name="_Hlk129332993"/>
      <w:r>
        <w:rPr>
          <w:rFonts w:hint="eastAsia" w:ascii="黑体" w:hAnsi="黑体" w:cs="黑体"/>
          <w:b w:val="0"/>
          <w:bCs w:val="0"/>
          <w:sz w:val="32"/>
          <w:szCs w:val="32"/>
        </w:rPr>
        <w:t>履约验收</w:t>
      </w:r>
      <w:bookmarkEnd w:id="0"/>
    </w:p>
    <w:p w14:paraId="235F856C">
      <w:pPr>
        <w:adjustRightInd w:val="0"/>
        <w:spacing w:line="53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一</w:t>
      </w:r>
      <w:r>
        <w:rPr>
          <w:rFonts w:hint="eastAsia" w:ascii="仿宋_GB2312" w:eastAsia="仿宋_GB2312"/>
          <w:sz w:val="32"/>
          <w:szCs w:val="32"/>
        </w:rPr>
        <w:t>）</w:t>
      </w:r>
      <w:bookmarkStart w:id="1" w:name="_Hlk129302104"/>
      <w:bookmarkStart w:id="2" w:name="_Hlk129333184"/>
      <w:r>
        <w:rPr>
          <w:rFonts w:hint="eastAsia" w:ascii="仿宋_GB2312" w:eastAsia="仿宋_GB2312"/>
          <w:sz w:val="32"/>
          <w:szCs w:val="32"/>
        </w:rPr>
        <w:t>到货</w:t>
      </w:r>
      <w:bookmarkEnd w:id="1"/>
      <w:r>
        <w:rPr>
          <w:rFonts w:hint="eastAsia" w:ascii="仿宋_GB2312" w:eastAsia="仿宋_GB2312"/>
          <w:sz w:val="32"/>
          <w:szCs w:val="32"/>
        </w:rPr>
        <w:t>检验</w:t>
      </w:r>
      <w:bookmarkEnd w:id="2"/>
    </w:p>
    <w:p w14:paraId="7E1E01D9">
      <w:pPr>
        <w:adjustRightInd w:val="0"/>
        <w:spacing w:line="530" w:lineRule="exact"/>
        <w:ind w:firstLine="640" w:firstLineChars="200"/>
        <w:rPr>
          <w:rFonts w:ascii="仿宋_GB2312" w:eastAsia="仿宋_GB2312"/>
          <w:sz w:val="32"/>
          <w:szCs w:val="32"/>
        </w:rPr>
      </w:pPr>
      <w:bookmarkStart w:id="3" w:name="_Hlk129301698"/>
      <w:r>
        <w:rPr>
          <w:rFonts w:hint="eastAsia" w:ascii="仿宋_GB2312" w:eastAsia="仿宋_GB2312"/>
          <w:sz w:val="32"/>
          <w:szCs w:val="32"/>
        </w:rPr>
        <w:t>1</w:t>
      </w:r>
      <w:bookmarkStart w:id="4" w:name="_Hlk129302273"/>
      <w:r>
        <w:rPr>
          <w:rFonts w:hint="eastAsia" w:ascii="仿宋_GB2312" w:eastAsia="仿宋_GB2312"/>
          <w:sz w:val="32"/>
          <w:szCs w:val="32"/>
        </w:rPr>
        <w:t>.物资</w:t>
      </w:r>
      <w:bookmarkEnd w:id="4"/>
      <w:r>
        <w:rPr>
          <w:rFonts w:hint="eastAsia" w:ascii="仿宋_GB2312" w:eastAsia="仿宋_GB2312"/>
          <w:sz w:val="32"/>
          <w:szCs w:val="32"/>
        </w:rPr>
        <w:t>交货后，甲方应当在现场检验，包括但不限于外包装、合同号、箱件数、收货单位名称、品名、货号、批次及相关资料等；检验物资品名、型号规格、数量、外观、产品合格证、质量保证书、技术资料、出厂日期、出厂编号、</w:t>
      </w:r>
      <w:bookmarkStart w:id="5" w:name="_Hlk129326561"/>
      <w:r>
        <w:rPr>
          <w:rFonts w:hint="eastAsia" w:ascii="仿宋_GB2312" w:eastAsia="仿宋_GB2312"/>
          <w:sz w:val="32"/>
          <w:szCs w:val="32"/>
        </w:rPr>
        <w:t>物资编目编码、打码贴签</w:t>
      </w:r>
      <w:bookmarkEnd w:id="5"/>
      <w:r>
        <w:rPr>
          <w:rFonts w:hint="eastAsia" w:ascii="仿宋_GB2312" w:eastAsia="仿宋_GB2312"/>
          <w:sz w:val="32"/>
          <w:szCs w:val="32"/>
        </w:rPr>
        <w:t>等。</w:t>
      </w:r>
    </w:p>
    <w:p w14:paraId="36616C9C">
      <w:pPr>
        <w:adjustRightInd w:val="0"/>
        <w:spacing w:line="530" w:lineRule="exact"/>
        <w:ind w:firstLine="640" w:firstLineChars="200"/>
        <w:rPr>
          <w:rFonts w:ascii="仿宋_GB2312" w:eastAsia="仿宋_GB2312"/>
          <w:sz w:val="32"/>
          <w:szCs w:val="32"/>
        </w:rPr>
      </w:pPr>
      <w:r>
        <w:rPr>
          <w:rFonts w:hint="eastAsia" w:ascii="仿宋_GB2312" w:eastAsia="仿宋_GB2312"/>
          <w:sz w:val="32"/>
          <w:szCs w:val="32"/>
        </w:rPr>
        <w:t>2.到货检验由双方共同进行，乙方应当自费派遣代表到场参加到货检验，甲方应予</w:t>
      </w:r>
      <w:r>
        <w:rPr>
          <w:rFonts w:hint="eastAsia" w:ascii="仿宋_GB2312" w:eastAsia="仿宋_GB2312"/>
          <w:bCs/>
          <w:sz w:val="32"/>
          <w:szCs w:val="32"/>
        </w:rPr>
        <w:t>提供必要的临时办公场所和出入许可等。</w:t>
      </w:r>
    </w:p>
    <w:p w14:paraId="2BC835C9">
      <w:pPr>
        <w:adjustRightInd w:val="0"/>
        <w:spacing w:line="530" w:lineRule="exact"/>
        <w:ind w:firstLine="640" w:firstLineChars="200"/>
        <w:rPr>
          <w:rFonts w:ascii="仿宋_GB2312" w:eastAsia="仿宋_GB2312"/>
          <w:sz w:val="32"/>
          <w:szCs w:val="32"/>
        </w:rPr>
      </w:pPr>
      <w:r>
        <w:rPr>
          <w:rFonts w:hint="eastAsia" w:ascii="仿宋_GB2312" w:eastAsia="仿宋_GB2312"/>
          <w:sz w:val="32"/>
          <w:szCs w:val="32"/>
        </w:rPr>
        <w:t>3.在</w:t>
      </w:r>
      <w:bookmarkStart w:id="6" w:name="_Hlk129302538"/>
      <w:r>
        <w:rPr>
          <w:rFonts w:hint="eastAsia" w:ascii="仿宋_GB2312" w:eastAsia="仿宋_GB2312"/>
          <w:sz w:val="32"/>
          <w:szCs w:val="32"/>
        </w:rPr>
        <w:t>到货</w:t>
      </w:r>
      <w:bookmarkEnd w:id="6"/>
      <w:r>
        <w:rPr>
          <w:rFonts w:hint="eastAsia" w:ascii="仿宋_GB2312" w:eastAsia="仿宋_GB2312"/>
          <w:sz w:val="32"/>
          <w:szCs w:val="32"/>
        </w:rPr>
        <w:t>检验中发现</w:t>
      </w:r>
      <w:bookmarkStart w:id="7" w:name="_Hlk129302417"/>
      <w:r>
        <w:rPr>
          <w:rFonts w:hint="eastAsia" w:ascii="仿宋_GB2312" w:eastAsia="仿宋_GB2312"/>
          <w:sz w:val="32"/>
          <w:szCs w:val="32"/>
        </w:rPr>
        <w:t>物资</w:t>
      </w:r>
      <w:bookmarkEnd w:id="7"/>
      <w:r>
        <w:rPr>
          <w:rFonts w:hint="eastAsia" w:ascii="仿宋_GB2312" w:eastAsia="仿宋_GB2312"/>
          <w:sz w:val="32"/>
          <w:szCs w:val="32"/>
        </w:rPr>
        <w:t>短缺、损坏或其它与合同约定不符的情形，由乙方负责，乙方应当补齐、更换及采取其他补救措施。</w:t>
      </w:r>
    </w:p>
    <w:p w14:paraId="37F8F8AF">
      <w:pPr>
        <w:adjustRightInd w:val="0"/>
        <w:spacing w:line="530" w:lineRule="exact"/>
        <w:ind w:firstLine="640" w:firstLineChars="200"/>
        <w:rPr>
          <w:rFonts w:ascii="仿宋_GB2312" w:eastAsia="仿宋_GB2312"/>
          <w:sz w:val="32"/>
          <w:szCs w:val="32"/>
        </w:rPr>
      </w:pPr>
      <w:r>
        <w:rPr>
          <w:rFonts w:hint="eastAsia" w:ascii="仿宋_GB2312" w:eastAsia="仿宋_GB2312"/>
          <w:sz w:val="32"/>
          <w:szCs w:val="32"/>
        </w:rPr>
        <w:t>4.在到货检验中，双方应当共同签署检验报告，列明检验结果，包括检验合格或发现的任何短缺、损坏或其它与合同约定不符的情形。</w:t>
      </w:r>
    </w:p>
    <w:p w14:paraId="6D653CF9">
      <w:pPr>
        <w:pStyle w:val="3"/>
        <w:adjustRightInd w:val="0"/>
        <w:spacing w:after="0" w:line="530" w:lineRule="exact"/>
        <w:ind w:firstLine="640" w:firstLineChars="200"/>
        <w:rPr>
          <w:rFonts w:ascii="仿宋_GB2312" w:eastAsia="仿宋_GB2312"/>
          <w:sz w:val="32"/>
          <w:szCs w:val="32"/>
        </w:rPr>
      </w:pPr>
      <w:r>
        <w:rPr>
          <w:rFonts w:hint="eastAsia" w:ascii="仿宋_GB2312" w:eastAsia="仿宋_GB2312"/>
          <w:sz w:val="32"/>
          <w:szCs w:val="32"/>
        </w:rPr>
        <w:t>5.到货检验的检验结果不能对抗在</w:t>
      </w:r>
      <w:bookmarkStart w:id="8" w:name="_Hlk129303145"/>
      <w:r>
        <w:rPr>
          <w:rFonts w:hint="eastAsia" w:ascii="仿宋_GB2312" w:eastAsia="仿宋_GB2312"/>
          <w:sz w:val="32"/>
          <w:szCs w:val="32"/>
        </w:rPr>
        <w:t>物资</w:t>
      </w:r>
      <w:bookmarkEnd w:id="8"/>
      <w:r>
        <w:rPr>
          <w:rFonts w:hint="eastAsia" w:ascii="仿宋_GB2312" w:eastAsia="仿宋_GB2312"/>
          <w:sz w:val="32"/>
          <w:szCs w:val="32"/>
        </w:rPr>
        <w:t>的安装、调试、检测、验收中及质量保证期内发现的物资质量问题，亦不能免除或影响乙方依照合同约定对甲方负有的包括物资质量在内的任何义务或责任。</w:t>
      </w:r>
      <w:bookmarkEnd w:id="3"/>
    </w:p>
    <w:p w14:paraId="690D7669">
      <w:pPr>
        <w:pStyle w:val="3"/>
        <w:adjustRightInd w:val="0"/>
        <w:spacing w:after="0" w:line="530" w:lineRule="exact"/>
        <w:ind w:firstLine="640" w:firstLineChars="200"/>
        <w:rPr>
          <w:rFonts w:hint="eastAsia" w:ascii="仿宋_GB2312" w:hAnsi="楷体_GB2312" w:eastAsia="仿宋_GB2312" w:cs="楷体_GB2312"/>
          <w:sz w:val="32"/>
          <w:szCs w:val="32"/>
        </w:rPr>
      </w:pPr>
      <w:r>
        <w:rPr>
          <w:rFonts w:hint="eastAsia" w:ascii="仿宋_GB2312" w:eastAsia="仿宋_GB2312"/>
          <w:sz w:val="32"/>
          <w:szCs w:val="32"/>
        </w:rPr>
        <w:t>6.到货检验的时间为：</w:t>
      </w:r>
      <w:r>
        <w:rPr>
          <w:rFonts w:hint="eastAsia" w:ascii="仿宋_GB2312" w:hAnsi="楷体_GB2312" w:eastAsia="仿宋_GB2312" w:cs="楷体_GB2312"/>
          <w:sz w:val="32"/>
          <w:szCs w:val="32"/>
        </w:rPr>
        <w:t>交货后</w:t>
      </w:r>
      <w:r>
        <w:rPr>
          <w:rFonts w:hint="eastAsia" w:ascii="仿宋_GB2312" w:hAnsi="楷体_GB2312" w:eastAsia="仿宋_GB2312" w:cs="楷体_GB2312"/>
          <w:sz w:val="32"/>
          <w:szCs w:val="32"/>
          <w:lang w:val="en-US" w:eastAsia="zh-CN"/>
        </w:rPr>
        <w:t>15</w:t>
      </w:r>
      <w:r>
        <w:rPr>
          <w:rFonts w:hint="eastAsia" w:ascii="仿宋_GB2312" w:hAnsi="楷体_GB2312" w:eastAsia="仿宋_GB2312" w:cs="楷体_GB2312"/>
          <w:sz w:val="32"/>
          <w:szCs w:val="32"/>
        </w:rPr>
        <w:t>日</w:t>
      </w:r>
    </w:p>
    <w:p w14:paraId="4F6D9027">
      <w:pPr>
        <w:ind w:firstLine="640" w:firstLineChars="200"/>
        <w:rPr>
          <w:rFonts w:hint="eastAsia" w:eastAsia="仿宋_GB2312"/>
          <w:color w:val="C00000"/>
          <w:lang w:val="en-US" w:eastAsia="zh-CN"/>
        </w:rPr>
      </w:pPr>
      <w:r>
        <w:rPr>
          <w:rFonts w:hint="eastAsia" w:ascii="仿宋_GB2312" w:hAnsi="楷体_GB2312" w:eastAsia="仿宋_GB2312" w:cs="楷体_GB2312"/>
          <w:sz w:val="32"/>
          <w:szCs w:val="32"/>
          <w:lang w:val="en-US" w:eastAsia="zh-CN"/>
        </w:rPr>
        <w:t>7</w:t>
      </w:r>
      <w:r>
        <w:rPr>
          <w:rFonts w:hint="eastAsia" w:ascii="仿宋_GB2312" w:hAnsi="楷体_GB2312" w:eastAsia="仿宋_GB2312" w:cs="楷体_GB2312"/>
          <w:color w:val="C00000"/>
          <w:sz w:val="32"/>
          <w:szCs w:val="32"/>
          <w:lang w:val="en-US" w:eastAsia="zh-CN"/>
        </w:rPr>
        <w:t>.</w:t>
      </w:r>
      <w:r>
        <w:rPr>
          <w:rFonts w:hint="eastAsia" w:ascii="仿宋_GB2312" w:hAnsi="楷体_GB2312" w:eastAsia="仿宋_GB2312" w:cs="楷体_GB2312"/>
          <w:color w:val="auto"/>
          <w:sz w:val="32"/>
          <w:szCs w:val="32"/>
          <w:lang w:val="en-US" w:eastAsia="zh-CN"/>
        </w:rPr>
        <w:t>为保证售后持续性，乙方需提供设备生产厂家针对本项目的授权书、设备检测报告及售后服务承诺书。</w:t>
      </w:r>
    </w:p>
    <w:p w14:paraId="719CE226">
      <w:pPr>
        <w:adjustRightInd w:val="0"/>
        <w:spacing w:line="530" w:lineRule="exact"/>
        <w:ind w:firstLine="640" w:firstLineChars="200"/>
        <w:rPr>
          <w:rFonts w:ascii="仿宋_GB2312" w:eastAsia="仿宋_GB2312"/>
          <w:sz w:val="32"/>
          <w:szCs w:val="32"/>
        </w:rPr>
      </w:pPr>
      <w:bookmarkStart w:id="9" w:name="_Hlk129303860"/>
      <w:bookmarkStart w:id="10" w:name="_Hlk129333264"/>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w:t>
      </w:r>
      <w:bookmarkEnd w:id="9"/>
      <w:r>
        <w:rPr>
          <w:rFonts w:hint="eastAsia" w:ascii="仿宋_GB2312" w:eastAsia="仿宋_GB2312"/>
          <w:sz w:val="32"/>
          <w:szCs w:val="32"/>
        </w:rPr>
        <w:t>安装、调试</w:t>
      </w:r>
    </w:p>
    <w:bookmarkEnd w:id="10"/>
    <w:p w14:paraId="0F21D6EE">
      <w:pPr>
        <w:adjustRightInd w:val="0"/>
        <w:spacing w:line="530" w:lineRule="exact"/>
        <w:ind w:firstLine="640" w:firstLineChars="200"/>
        <w:rPr>
          <w:rFonts w:ascii="仿宋_GB2312" w:eastAsia="仿宋_GB2312"/>
          <w:sz w:val="32"/>
          <w:szCs w:val="32"/>
        </w:rPr>
      </w:pPr>
      <w:r>
        <w:rPr>
          <w:rFonts w:hint="eastAsia" w:ascii="仿宋_GB2312" w:eastAsia="仿宋_GB2312"/>
          <w:sz w:val="32"/>
          <w:szCs w:val="32"/>
        </w:rPr>
        <w:t>1.到货检验完成后，乙方应当按合同约定对</w:t>
      </w:r>
      <w:bookmarkStart w:id="11" w:name="_Hlk129303208"/>
      <w:r>
        <w:rPr>
          <w:rFonts w:hint="eastAsia" w:ascii="仿宋_GB2312" w:eastAsia="仿宋_GB2312"/>
          <w:sz w:val="32"/>
          <w:szCs w:val="32"/>
        </w:rPr>
        <w:t>物资</w:t>
      </w:r>
      <w:bookmarkEnd w:id="11"/>
      <w:r>
        <w:rPr>
          <w:rFonts w:hint="eastAsia" w:ascii="仿宋_GB2312" w:eastAsia="仿宋_GB2312"/>
          <w:sz w:val="32"/>
          <w:szCs w:val="32"/>
        </w:rPr>
        <w:t>进行安装、调试。</w:t>
      </w:r>
      <w:bookmarkStart w:id="12" w:name="_Hlk129304289"/>
    </w:p>
    <w:bookmarkEnd w:id="12"/>
    <w:p w14:paraId="094A2205">
      <w:pPr>
        <w:adjustRightInd w:val="0"/>
        <w:spacing w:line="530" w:lineRule="exact"/>
        <w:ind w:firstLine="640" w:firstLineChars="200"/>
        <w:rPr>
          <w:rFonts w:ascii="仿宋_GB2312" w:eastAsia="仿宋_GB2312"/>
          <w:sz w:val="32"/>
          <w:szCs w:val="32"/>
        </w:rPr>
      </w:pPr>
      <w:r>
        <w:rPr>
          <w:rFonts w:hint="eastAsia" w:ascii="仿宋_GB2312" w:eastAsia="仿宋_GB2312"/>
          <w:sz w:val="32"/>
          <w:szCs w:val="32"/>
        </w:rPr>
        <w:t>2.在安装、调试过程中，如出现安装、调试不成功或造成物资损坏的情况，乙方应当承担责任。</w:t>
      </w:r>
    </w:p>
    <w:p w14:paraId="40DE9031">
      <w:pPr>
        <w:adjustRightInd w:val="0"/>
        <w:spacing w:line="530" w:lineRule="exact"/>
        <w:ind w:firstLine="640" w:firstLineChars="200"/>
        <w:rPr>
          <w:rFonts w:ascii="仿宋_GB2312" w:eastAsia="仿宋_GB2312"/>
          <w:sz w:val="32"/>
          <w:szCs w:val="32"/>
        </w:rPr>
      </w:pPr>
      <w:r>
        <w:rPr>
          <w:rFonts w:hint="eastAsia" w:ascii="仿宋_GB2312" w:eastAsia="仿宋_GB2312"/>
          <w:sz w:val="32"/>
          <w:szCs w:val="32"/>
        </w:rPr>
        <w:t>3.双方应当对物资的安装、调试情况共同进行记录。</w:t>
      </w:r>
    </w:p>
    <w:p w14:paraId="5215B5B1">
      <w:pPr>
        <w:adjustRightInd w:val="0"/>
        <w:spacing w:line="530" w:lineRule="exact"/>
        <w:ind w:firstLine="640" w:firstLineChars="200"/>
        <w:rPr>
          <w:rFonts w:ascii="仿宋_GB2312" w:eastAsia="仿宋_GB2312"/>
          <w:sz w:val="32"/>
          <w:szCs w:val="32"/>
        </w:rPr>
      </w:pPr>
      <w:r>
        <w:rPr>
          <w:rFonts w:hint="eastAsia" w:ascii="仿宋_GB2312" w:eastAsia="仿宋_GB2312"/>
          <w:sz w:val="32"/>
          <w:szCs w:val="32"/>
        </w:rPr>
        <w:t>4.物资到货后，乙方应当在接到甲方通知后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15</w:t>
      </w:r>
      <w:r>
        <w:rPr>
          <w:rFonts w:hint="eastAsia" w:ascii="仿宋_GB2312" w:eastAsia="仿宋_GB2312"/>
          <w:sz w:val="32"/>
          <w:szCs w:val="32"/>
          <w:u w:val="single"/>
        </w:rPr>
        <w:t xml:space="preserve">  </w:t>
      </w:r>
      <w:r>
        <w:rPr>
          <w:rFonts w:hint="eastAsia" w:ascii="仿宋_GB2312" w:eastAsia="仿宋_GB2312"/>
          <w:sz w:val="32"/>
          <w:szCs w:val="32"/>
        </w:rPr>
        <w:t>日内完成安装调试。</w:t>
      </w:r>
    </w:p>
    <w:p w14:paraId="3663E54B">
      <w:pPr>
        <w:adjustRightInd w:val="0"/>
        <w:spacing w:line="53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）验收</w:t>
      </w:r>
    </w:p>
    <w:p w14:paraId="634E53C0">
      <w:pPr>
        <w:adjustRightInd w:val="0"/>
        <w:spacing w:line="53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1.物资达到合同约定的技术性能指标</w:t>
      </w:r>
      <w:r>
        <w:rPr>
          <w:rFonts w:hint="eastAsia" w:ascii="仿宋_GB2312" w:eastAsia="仿宋_GB2312"/>
          <w:sz w:val="32"/>
          <w:szCs w:val="32"/>
          <w:lang w:eastAsia="zh-CN"/>
        </w:rPr>
        <w:t>，</w:t>
      </w:r>
      <w:r>
        <w:rPr>
          <w:rFonts w:hint="eastAsia" w:ascii="仿宋_GB2312" w:eastAsia="仿宋_GB2312"/>
          <w:sz w:val="32"/>
          <w:szCs w:val="32"/>
        </w:rPr>
        <w:t>双方签署物资验收报告</w:t>
      </w:r>
      <w:bookmarkStart w:id="13" w:name="_Hlk129334400"/>
      <w:r>
        <w:rPr>
          <w:rFonts w:hint="eastAsia" w:ascii="仿宋_GB2312" w:eastAsia="仿宋_GB2312"/>
          <w:sz w:val="32"/>
          <w:szCs w:val="32"/>
          <w:lang w:eastAsia="zh-CN"/>
        </w:rPr>
        <w:t>。</w:t>
      </w:r>
      <w:bookmarkEnd w:id="13"/>
    </w:p>
    <w:p w14:paraId="1D395166">
      <w:pPr>
        <w:pStyle w:val="3"/>
        <w:adjustRightInd w:val="0"/>
        <w:spacing w:after="0" w:line="530" w:lineRule="exact"/>
        <w:ind w:firstLine="640" w:firstLineChars="200"/>
        <w:rPr>
          <w:rFonts w:ascii="仿宋_GB2312" w:eastAsia="仿宋_GB2312"/>
          <w:sz w:val="32"/>
          <w:szCs w:val="32"/>
          <w:highlight w:val="yellow"/>
        </w:rPr>
      </w:pPr>
      <w:r>
        <w:rPr>
          <w:rFonts w:hint="eastAsia" w:ascii="仿宋_GB2312" w:eastAsia="仿宋_GB2312"/>
          <w:sz w:val="32"/>
          <w:szCs w:val="32"/>
        </w:rPr>
        <w:t>2.双方应当签署物资验收报告一式二份，各持一份。验收日期为签署物资验收报告的日期。物资验收报告分批次签署的，最后一批物资验收报告签署日期为验收合格日期。</w:t>
      </w:r>
    </w:p>
    <w:p w14:paraId="65F3BE65">
      <w:pPr>
        <w:adjustRightInd w:val="0"/>
        <w:spacing w:line="530" w:lineRule="exact"/>
        <w:ind w:firstLine="640" w:firstLineChars="200"/>
        <w:rPr>
          <w:rFonts w:ascii="仿宋_GB2312" w:eastAsia="仿宋_GB2312"/>
          <w:sz w:val="32"/>
          <w:szCs w:val="32"/>
        </w:rPr>
      </w:pPr>
      <w:r>
        <w:rPr>
          <w:rFonts w:hint="eastAsia" w:ascii="仿宋_GB2312" w:eastAsia="仿宋_GB2312"/>
          <w:sz w:val="32"/>
          <w:szCs w:val="32"/>
        </w:rPr>
        <w:t>3.物资验收合格后，乙方应当向甲方办理物资交接手续，物资转入运行、使用、维护阶段。</w:t>
      </w:r>
    </w:p>
    <w:p w14:paraId="59674529">
      <w:pPr>
        <w:adjustRightInd w:val="0"/>
        <w:spacing w:line="530" w:lineRule="exact"/>
        <w:ind w:firstLine="640" w:firstLineChars="200"/>
        <w:rPr>
          <w:rFonts w:ascii="仿宋_GB2312" w:eastAsia="仿宋_GB2312"/>
          <w:sz w:val="32"/>
          <w:szCs w:val="32"/>
        </w:rPr>
      </w:pPr>
    </w:p>
    <w:p w14:paraId="1E7BB439">
      <w:pPr>
        <w:adjustRightInd w:val="0"/>
        <w:spacing w:line="530" w:lineRule="exact"/>
        <w:ind w:firstLine="640" w:firstLineChars="200"/>
        <w:rPr>
          <w:rFonts w:ascii="仿宋_GB2312" w:hAnsi="仿宋" w:eastAsia="仿宋_GB2312"/>
          <w:bCs/>
          <w:sz w:val="32"/>
          <w:szCs w:val="32"/>
        </w:rPr>
      </w:pPr>
    </w:p>
    <w:p w14:paraId="08F76DC2">
      <w:pPr>
        <w:spacing w:line="560" w:lineRule="exact"/>
        <w:ind w:firstLine="640" w:firstLineChars="200"/>
        <w:rPr>
          <w:rFonts w:hAnsi="黑体" w:eastAsia="黑体"/>
          <w:sz w:val="32"/>
          <w:szCs w:val="32"/>
        </w:rPr>
        <w:sectPr>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1E70FD80">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0"/>
        <w:rPr>
          <w:rFonts w:hint="eastAsia" w:ascii="方正小标宋简体" w:hAnsi="Times New Roman" w:eastAsia="方正小标宋简体"/>
          <w:sz w:val="44"/>
          <w:szCs w:val="44"/>
        </w:rPr>
      </w:pPr>
      <w:r>
        <w:rPr>
          <w:rFonts w:hint="eastAsia" w:ascii="黑体" w:hAnsi="黑体" w:eastAsia="黑体" w:cs="黑体"/>
          <w:bCs/>
          <w:sz w:val="32"/>
          <w:szCs w:val="32"/>
          <w:lang w:eastAsia="zh-CN"/>
        </w:rPr>
        <w:t>附件1-</w:t>
      </w:r>
      <w:r>
        <w:rPr>
          <w:rFonts w:hint="eastAsia" w:ascii="黑体" w:hAnsi="黑体" w:eastAsia="黑体" w:cs="黑体"/>
          <w:bCs/>
          <w:sz w:val="32"/>
          <w:szCs w:val="32"/>
          <w:lang w:val="en-US" w:eastAsia="zh-CN"/>
        </w:rPr>
        <w:t>3</w:t>
      </w:r>
      <w:r>
        <w:rPr>
          <w:rFonts w:hint="eastAsia" w:ascii="黑体" w:hAnsi="黑体" w:eastAsia="黑体" w:cs="黑体"/>
          <w:bCs/>
          <w:sz w:val="32"/>
          <w:szCs w:val="32"/>
          <w:lang w:eastAsia="zh-CN"/>
        </w:rPr>
        <w:t>：</w:t>
      </w:r>
      <w:r>
        <w:rPr>
          <w:rFonts w:hint="eastAsia" w:ascii="黑体" w:hAnsi="黑体" w:eastAsia="黑体" w:cs="黑体"/>
          <w:bCs/>
          <w:sz w:val="32"/>
          <w:szCs w:val="32"/>
        </w:rPr>
        <w:t>技术参数</w:t>
      </w:r>
    </w:p>
    <w:tbl>
      <w:tblPr>
        <w:tblStyle w:val="4"/>
        <w:tblW w:w="15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9"/>
        <w:gridCol w:w="1582"/>
        <w:gridCol w:w="11436"/>
        <w:gridCol w:w="898"/>
        <w:gridCol w:w="905"/>
      </w:tblGrid>
      <w:tr w14:paraId="12DD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5520" w:type="dxa"/>
            <w:gridSpan w:val="5"/>
            <w:shd w:val="clear" w:color="333399" w:fill="FFFFFF"/>
            <w:vAlign w:val="center"/>
          </w:tcPr>
          <w:p w14:paraId="7EB1AEC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30"/>
                <w:szCs w:val="30"/>
                <w:u w:val="none"/>
                <w:lang w:val="en-US" w:eastAsia="zh-CN" w:bidi="ar"/>
              </w:rPr>
              <w:t>医疗区门诊大厅视频系统技术参数</w:t>
            </w:r>
          </w:p>
        </w:tc>
      </w:tr>
      <w:tr w14:paraId="459F2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699" w:type="dxa"/>
            <w:tcBorders>
              <w:top w:val="single" w:color="000000" w:sz="4" w:space="0"/>
              <w:left w:val="single" w:color="000000" w:sz="4" w:space="0"/>
              <w:bottom w:val="single" w:color="000000" w:sz="4" w:space="0"/>
              <w:right w:val="single" w:color="000000" w:sz="4" w:space="0"/>
            </w:tcBorders>
            <w:shd w:val="clear" w:color="333399" w:fill="FFFFFF"/>
            <w:vAlign w:val="center"/>
          </w:tcPr>
          <w:p w14:paraId="4E2AEDD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20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品目</w:t>
            </w:r>
          </w:p>
        </w:tc>
        <w:tc>
          <w:tcPr>
            <w:tcW w:w="1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FD7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物资质量技术标准或服务内容及标准要求</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E43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计量</w:t>
            </w:r>
          </w:p>
          <w:p w14:paraId="1B2FD4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5C77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采购</w:t>
            </w:r>
          </w:p>
          <w:p w14:paraId="7DBCFE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r>
      <w:tr w14:paraId="4885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95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BF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LED全彩显示屏  (3块)</w:t>
            </w:r>
          </w:p>
        </w:tc>
        <w:tc>
          <w:tcPr>
            <w:tcW w:w="1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A4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显示屏尺寸：≥3.2m*1.44m（左）、≥7.04m×1.44m（中）、≥3.2m*1.44m（右）；屏幕分辨率：2080×936=1946880(左像素点)，4576×936=4283136(中像素点)、2080×936=1946880（右像素点)。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一、基本参数：1、像素间距：≤1.53mm；</w:t>
            </w:r>
          </w:p>
          <w:p w14:paraId="6A1E118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点密度：422500点/ m²；</w:t>
            </w:r>
          </w:p>
          <w:p w14:paraId="3BFF751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right="0" w:right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3、LED灯种类：SMD1515；</w:t>
            </w:r>
          </w:p>
          <w:p w14:paraId="2B63C4A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right="0" w:right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4、像素点组成：1R1G1B；</w:t>
            </w:r>
          </w:p>
          <w:p w14:paraId="367B898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right="0" w:right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5、模组尺寸：320mm×160mm；</w:t>
            </w:r>
          </w:p>
          <w:p w14:paraId="22F79C9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right="0" w:right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6、模组分辨率：208×104；</w:t>
            </w:r>
          </w:p>
          <w:p w14:paraId="7AE319E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right="0" w:right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7、安装方式：模组磁吸；</w:t>
            </w:r>
          </w:p>
          <w:p w14:paraId="58FBCCC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right="0" w:right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8、维护方式：前/后维护。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二、主要技术参数：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1、模组间相对错位均值：≤0.1mm；平均失效间隔工作时间：MTBF≥100000h；平均故障恢复时间：MTTR＜3分钟； LED显示屏能效：GB21520-2015，能效一级；能源效率≥3.2cd/w；</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2、像素失控率等级:整屏像素失控率符合SJ/T 11141-2017标准C级;PZ≤1×10-6 ，区域像素失控率符合SJ/T 11141-2017标准 C级;PQ≤1×10-6；干扰光：符合 GB/T36101-2018LED 显示屏干扰光标准 LED 显示屏亮度的限值规定；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3、视角：水平视角≥173°垂直视角≥171°；发光点中心距偏差：≤1% ；像素中心距相对偏差等级：JX≤3%；寿命典型值：≥120000；力学性能：拉伸强度≥220Pa，屈服强度≥192Pa，纵向拉升承载力≥2吨，横向拉升承载力≥2吨；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4、热插拔维护：LED 显示屏支持不关屏热插拔抢修维护功能；稳定性试验：设备在正常工作条件下，连续工作168h，不应出现电、机械或操作系统的故障；掉电存储功能：支持掉电存储功能，不丢失数据，上电自动恢复，无需重复配置。</w:t>
            </w:r>
          </w:p>
          <w:p w14:paraId="165CBF3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right="0" w:rightChars="0"/>
              <w:jc w:val="left"/>
              <w:textAlignment w:val="center"/>
              <w:outlineLvl w:val="9"/>
              <w:rPr>
                <w:rFonts w:hint="eastAsia" w:ascii="宋体" w:hAnsi="宋体" w:eastAsia="宋体" w:cs="宋体"/>
                <w:i w:val="0"/>
                <w:color w:val="000000"/>
                <w:kern w:val="0"/>
                <w:sz w:val="18"/>
                <w:szCs w:val="18"/>
                <w:u w:val="none"/>
                <w:lang w:val="en-US" w:eastAsia="zh-CN" w:bidi="ar"/>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1C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E6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19.35</w:t>
            </w:r>
          </w:p>
        </w:tc>
      </w:tr>
      <w:tr w14:paraId="10E3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85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99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高清视频控制器</w:t>
            </w:r>
          </w:p>
        </w:tc>
        <w:tc>
          <w:tcPr>
            <w:tcW w:w="1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5C3C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right="0" w:rightChars="0"/>
              <w:jc w:val="left"/>
              <w:textAlignment w:val="center"/>
              <w:outlineLvl w:val="9"/>
              <w:rPr>
                <w:rFonts w:hint="eastAsia" w:ascii="宋体" w:hAnsi="宋体" w:eastAsia="宋体" w:cs="宋体"/>
                <w:i w:val="0"/>
                <w:color w:val="000000"/>
                <w:kern w:val="0"/>
                <w:sz w:val="18"/>
                <w:szCs w:val="18"/>
                <w:u w:val="none"/>
                <w:lang w:val="en-US" w:eastAsia="zh-CN" w:bidi="ar"/>
              </w:rPr>
            </w:pPr>
          </w:p>
          <w:p w14:paraId="76EE529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right="0" w:rightChars="0"/>
              <w:jc w:val="left"/>
              <w:textAlignment w:val="center"/>
              <w:outlineLvl w:val="9"/>
              <w:rPr>
                <w:rFonts w:hint="eastAsia" w:ascii="宋体" w:hAnsi="宋体" w:eastAsia="宋体" w:cs="宋体"/>
                <w:i w:val="0"/>
                <w:color w:val="000000"/>
                <w:kern w:val="0"/>
                <w:sz w:val="18"/>
                <w:szCs w:val="18"/>
                <w:u w:val="none"/>
                <w:lang w:val="en-US" w:eastAsia="zh-CN" w:bidi="ar"/>
              </w:rPr>
            </w:pPr>
          </w:p>
          <w:p w14:paraId="68A09086">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单台具备不少于16路千兆网口输出，带载能力可达1040万像素、最宽16384像素、最高8192像素，网口带载没有矩形带载限制，支持自由走线，最大化提高网口带载利用率；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2、二合一设计理念，集视频处理器和发送卡功能于一体，系统连线更少，稳定性和兼容性大大提升：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3、拥有完备的视频输入接口： 1 路 HDMI 2.0，1路DP1.2，4 路 HDMI1.3，1 路 3G-SDI+LOOP（可根据实际需求选配）。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4、支持 HDR 输出，能够极大地增强显示屏的画质，使画面色彩更加 真实生动，细节更加清晰。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5、支持个性化的画质缩放：支持不少于三种画面缩放模式，包括点对点模式、全屏缩放、自定义缩放。搭载superview画质处理技术，画面可无极缩放；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6、支持对LED显示屏输出画面的画质调节，包括但不限于：亮度、饱和度、对比度等；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7、支持多画面同时显示，不少于6 画面的任意布局，至少包含2路4K画面+4路2K画面；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8、支持OSD字幕功能，字幕背景，内容可通过软件自定义编辑；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9、支持高位深信号输入源输入，可支持8bit 、10bit、12bit信号输入；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10、支持伴随音频和独立音频功能，输入接口支持音频伴随输入，输出音频支持随信号切换而切换，音量大小可调节。</w:t>
            </w:r>
          </w:p>
          <w:p w14:paraId="1C5B274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right="0" w:rightChars="0"/>
              <w:jc w:val="left"/>
              <w:textAlignment w:val="center"/>
              <w:outlineLvl w:val="9"/>
              <w:rPr>
                <w:rFonts w:hint="eastAsia" w:ascii="宋体" w:hAnsi="宋体" w:eastAsia="宋体" w:cs="宋体"/>
                <w:i w:val="0"/>
                <w:color w:val="000000"/>
                <w:kern w:val="0"/>
                <w:sz w:val="18"/>
                <w:szCs w:val="18"/>
                <w:u w:val="none"/>
                <w:lang w:val="en-US" w:eastAsia="zh-CN" w:bidi="ar"/>
              </w:rPr>
            </w:pPr>
          </w:p>
          <w:p w14:paraId="656F319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right="0" w:rightChars="0"/>
              <w:jc w:val="left"/>
              <w:textAlignment w:val="center"/>
              <w:outlineLvl w:val="9"/>
              <w:rPr>
                <w:rFonts w:hint="eastAsia" w:ascii="宋体" w:hAnsi="宋体" w:eastAsia="宋体" w:cs="宋体"/>
                <w:i w:val="0"/>
                <w:color w:val="000000"/>
                <w:kern w:val="0"/>
                <w:sz w:val="18"/>
                <w:szCs w:val="18"/>
                <w:u w:val="none"/>
                <w:lang w:val="en-US" w:eastAsia="zh-CN" w:bidi="ar"/>
              </w:rPr>
            </w:pPr>
          </w:p>
          <w:p w14:paraId="1FBD43E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right="0" w:rightChars="0"/>
              <w:jc w:val="left"/>
              <w:textAlignment w:val="center"/>
              <w:outlineLvl w:val="9"/>
              <w:rPr>
                <w:rFonts w:hint="eastAsia" w:ascii="宋体" w:hAnsi="宋体" w:eastAsia="宋体" w:cs="宋体"/>
                <w:i w:val="0"/>
                <w:color w:val="000000"/>
                <w:kern w:val="0"/>
                <w:sz w:val="18"/>
                <w:szCs w:val="18"/>
                <w:u w:val="none"/>
                <w:lang w:val="en-US" w:eastAsia="zh-CN" w:bidi="ar"/>
              </w:rPr>
            </w:pPr>
          </w:p>
          <w:p w14:paraId="45D4BBB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right="0" w:right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74A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A77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14:paraId="6963A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6A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CF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多媒体服务器</w:t>
            </w:r>
          </w:p>
        </w:tc>
        <w:tc>
          <w:tcPr>
            <w:tcW w:w="1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127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1、1U金属结构机箱；外壳防护等级符合 GB/T 4208-2017中 IP20 的要求；噪声不大于 45dB（A）；6核12线程3.30GHz主频高速处理器、16G DDR4 2666 高速内存、250 固态硬盘，企业版操作系统；MTBF 不小于300000 小时，平均修复时间 MTTR小于15 分钟；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2、支持1 路 DP 输出，接口分辨率可设置为4096*2160@60Hz，单接口极限宽度可设置为 8192，单口极限高度可设置 4095。支持4 路 HDMI 输出，第一个接口可设置为 4K 模式，分辨率可以设置为 4096*2160@60Hz，单接口极限宽度可设置为 8192，单口极限高度可设置 4095，此时另外三个 HDMI 接口禁用。第一个接口设置为 2K 模式时，4 个 HDMI 口可同时输出，分辨率设置为 1920*1080@60hz,单口极限宽度 2048，极限高度 1280；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3、支持一键硬件开关机控制和一键软件远程开关机控制，支持6路 USB 接口、1 路 3.5mm 麦克风音频输入接口、1 路 3.5mm音频输出接口，支持千兆网口通讯，支持第三方通过 TCP、UDP 进行集成控制；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4、支持不少于10 台设备联机控制，通过一台主机控制其他从机进行素材下发、画面编辑、属性编辑、节目切换、进度调整；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5、支持从本地媒体画面或输入源画面中拾取颜色，然后按照拾取的颜色进行抠像处理；支持在媒体库中添加本地的视频文件、图片文件、音频文件、字幕、数字时钟、PPT 文件、NDI 媒体、采集设备、多网页、流媒体、播放合集；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支持节目整体播放、暂停、停止、音量调节，单个媒体的音量调节，单个视频裁剪，支持多画面同时播放时按照主计时媒体进行跳转，节目锁定。支持排期播放和播放日志查看功能，支持软件异常后恢复正常播放的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7、支持素材可视化编辑、拖拽、复制、黏贴、多选、锁定、替换，属性调节和属性继承；支持节目的编辑、复制、黏贴；支持素材播控进度的自由控制、正计时、倒计时进度查看，支持输出画面解锁功能；</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BC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62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14:paraId="0060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8"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C4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E2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多媒体播控软件</w:t>
            </w:r>
          </w:p>
        </w:tc>
        <w:tc>
          <w:tcPr>
            <w:tcW w:w="1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840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1.支持8K4K@60fps视频素材的硬件解码和硬件渲染播放，播放效果流畅不卡顿（需搭配具备对应性能的工作站PC）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2.支持不少于4个动态图层和1个音频图层的同时播放；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3.支持实现多个输出接口的任意拆分重组以及任意角度旋转，实现对不规则显示屏的拼接带载，可支持1*2,2*2,2*3,3*3,4*4,5*5,6*6,7*7,8*8等多种拆分模式；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4.支持播放画面编辑和输出分离，画面播放的同时也可实现画面的预编辑和预览，预览编辑完成后再输出播放；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5.支持播放画面直切、淡入淡出的切换特效和渐变黑屏、测试画面、输出显示控制；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6.支持素材透明度，亮度、对比度、饱和度、色相的拉杆式实时调节；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7.支持将媒体库的媒体添加到节目中，同时支持对节目中任意一个媒体按区域进行画质调节、裁剪，遮罩；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8.支持节目整体播放、暂停、停止、音量调节，单个媒体的音量调节，单个媒体的快进和快退播放。支持切换节目时，对部分图层的播放继承，只切换局部媒体；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9.支持在媒体库中添加本地的视频、图片、音频、PPT、WORD、EXCEL、PDF、NDI媒体、采集设备、网站、流媒体、播放合集、时钟、字幕、序列帧、flash、Unity3D文件等多种素材；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10.支持H.264、H.265、MPGE-4/2、WMV、VP8、VP9视频格式的硬件解码和HAP格式的硬件加速播放。可实现8K4K@60fps视频画面的流畅播放；</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89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AF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14:paraId="1D5A9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BC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42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智能配电柜</w:t>
            </w:r>
          </w:p>
        </w:tc>
        <w:tc>
          <w:tcPr>
            <w:tcW w:w="1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464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1.具备手动控制设备供电的开启和关闭；</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2.单组回路输出，标配为手动控制，可添加定时开关控制；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3.具备上电保护功能；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4.具有电源状态指示、运行状态指示；</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D7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67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14:paraId="6F6C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5A5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18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全铝合金音柱</w:t>
            </w:r>
          </w:p>
        </w:tc>
        <w:tc>
          <w:tcPr>
            <w:tcW w:w="1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43C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1.喇叭单元：1"×1，5"×2；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2.额定功率：40W；</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3.输入电压：70V/100V；</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4.灵敏度(1m，1W)：94dB；</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5.最大声压级(1m)：110dB；</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6.频率响应：80-20kHz；</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E4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3F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14:paraId="6DC6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BC5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2C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功率放大器</w:t>
            </w:r>
          </w:p>
        </w:tc>
        <w:tc>
          <w:tcPr>
            <w:tcW w:w="1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B23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1.具有定压输出100V；额定功率：≥130W</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2.3路MIC输入，MIC1可优先输入;2路LINE输入，1路REC输出；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3.USB播放MP3，蓝牙播放，可模式切换;显示屏可显示机器工作温度，MP3，蓝牙音量，模式状态；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4.5个LED 显示机器工作状态；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5.具有直流保护、过载保护、短路保护、过热保护、限幅保护、软启动保护，机器性能更安全；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6.采用大量高精度的SMD器件，自动化生产工艺，产品可靠性更高；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7.采用高效率的环形变压器，具备磁屏蔽层，有效抗干扰；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8.自动变速风扇，优化的散热系统，使得机器性能更稳定。</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AA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04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14:paraId="611A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9"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CE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86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钢结构</w:t>
            </w:r>
          </w:p>
        </w:tc>
        <w:tc>
          <w:tcPr>
            <w:tcW w:w="1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F2D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屏幕安装使用，满足大屏幕现场安装需求，Q235标准.主体框架采用方管40mm×80mm×2mm或80mm×80mm×3mm，背条采用20mm×40mm×2mm，或者30mm×20mm×1.5mm，角铁采用50mm×50mm×3mm</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00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B1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14:paraId="5FFC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8B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D1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外边装饰</w:t>
            </w:r>
          </w:p>
        </w:tc>
        <w:tc>
          <w:tcPr>
            <w:tcW w:w="1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4BB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根据现场安装环境，切合实际情况处理，整体要求美观。</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3E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67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14:paraId="5A9D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32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96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线缆、通讯线</w:t>
            </w:r>
          </w:p>
        </w:tc>
        <w:tc>
          <w:tcPr>
            <w:tcW w:w="1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F35B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供电线缆使用高品质铜芯线缆，通讯线材为高品质超五类网线或光纤，满足大屏幕供电需求和通讯需求。</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8C3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32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14:paraId="26EA4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B5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72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技术服务</w:t>
            </w:r>
          </w:p>
        </w:tc>
        <w:tc>
          <w:tcPr>
            <w:tcW w:w="1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DB7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相关设备的安装、调试、后期维护等。</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F44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64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bl>
    <w:p w14:paraId="378E4C7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方正小标宋简体" w:hAnsi="Times New Roman" w:eastAsia="方正小标宋简体"/>
          <w:sz w:val="44"/>
          <w:szCs w:val="44"/>
        </w:rPr>
      </w:pPr>
    </w:p>
    <w:p w14:paraId="7FBC934F">
      <w:pPr>
        <w:widowControl/>
        <w:spacing w:line="560" w:lineRule="exact"/>
        <w:rPr>
          <w:rFonts w:hint="eastAsia" w:ascii="方正小标宋简体" w:hAnsi="Times New Roman" w:eastAsia="方正小标宋简体"/>
          <w:sz w:val="44"/>
          <w:szCs w:val="44"/>
        </w:rPr>
      </w:pPr>
    </w:p>
    <w:p w14:paraId="588F080F">
      <w:pPr>
        <w:widowControl/>
        <w:spacing w:line="560" w:lineRule="exact"/>
        <w:rPr>
          <w:rFonts w:hint="eastAsia" w:ascii="方正小标宋简体" w:hAnsi="Times New Roman" w:eastAsia="方正小标宋简体"/>
          <w:sz w:val="44"/>
          <w:szCs w:val="44"/>
        </w:rPr>
      </w:pPr>
    </w:p>
    <w:tbl>
      <w:tblPr>
        <w:tblStyle w:val="4"/>
        <w:tblW w:w="153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1"/>
        <w:gridCol w:w="1165"/>
        <w:gridCol w:w="12217"/>
        <w:gridCol w:w="578"/>
        <w:gridCol w:w="667"/>
      </w:tblGrid>
      <w:tr w14:paraId="5222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5308" w:type="dxa"/>
            <w:gridSpan w:val="5"/>
            <w:tcBorders>
              <w:top w:val="nil"/>
              <w:left w:val="nil"/>
              <w:bottom w:val="single" w:color="auto" w:sz="6" w:space="0"/>
              <w:right w:val="nil"/>
            </w:tcBorders>
            <w:shd w:val="solid" w:color="FFFFFF" w:fill="333399"/>
            <w:vAlign w:val="center"/>
          </w:tcPr>
          <w:p w14:paraId="288D63C0">
            <w:pPr>
              <w:spacing w:beforeLines="0" w:afterLines="0"/>
              <w:jc w:val="center"/>
              <w:rPr>
                <w:rFonts w:hint="eastAsia" w:ascii="宋体" w:hAnsi="宋体"/>
                <w:b/>
                <w:color w:val="000000"/>
                <w:sz w:val="18"/>
              </w:rPr>
            </w:pPr>
            <w:r>
              <w:rPr>
                <w:rFonts w:hint="eastAsia" w:ascii="宋体" w:hAnsi="宋体"/>
                <w:b/>
                <w:color w:val="000000"/>
                <w:sz w:val="30"/>
                <w:szCs w:val="30"/>
              </w:rPr>
              <w:t>医疗区门诊楼外及内外科楼大厅音视频系统技术参数</w:t>
            </w:r>
          </w:p>
        </w:tc>
      </w:tr>
      <w:tr w14:paraId="43F8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81" w:type="dxa"/>
            <w:tcBorders>
              <w:top w:val="single" w:color="auto" w:sz="6" w:space="0"/>
              <w:left w:val="single" w:color="auto" w:sz="6" w:space="0"/>
              <w:bottom w:val="single" w:color="auto" w:sz="6" w:space="0"/>
              <w:right w:val="single" w:color="auto" w:sz="6" w:space="0"/>
              <w:tl2br w:val="nil"/>
              <w:tr2bl w:val="nil"/>
            </w:tcBorders>
            <w:shd w:val="solid" w:color="FFFFFF" w:fill="333399"/>
            <w:vAlign w:val="center"/>
          </w:tcPr>
          <w:p w14:paraId="39BD0CF5">
            <w:pPr>
              <w:spacing w:beforeLines="0" w:afterLines="0"/>
              <w:jc w:val="center"/>
              <w:rPr>
                <w:rFonts w:hint="eastAsia" w:ascii="宋体" w:hAnsi="宋体"/>
                <w:b/>
                <w:color w:val="000000"/>
                <w:sz w:val="18"/>
              </w:rPr>
            </w:pPr>
            <w:r>
              <w:rPr>
                <w:rFonts w:hint="eastAsia" w:ascii="宋体" w:hAnsi="宋体"/>
                <w:b/>
                <w:color w:val="000000"/>
                <w:sz w:val="18"/>
              </w:rPr>
              <w:t>序号</w:t>
            </w:r>
          </w:p>
        </w:tc>
        <w:tc>
          <w:tcPr>
            <w:tcW w:w="116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8FE4370">
            <w:pPr>
              <w:spacing w:beforeLines="0" w:afterLines="0"/>
              <w:jc w:val="center"/>
              <w:rPr>
                <w:rFonts w:hint="eastAsia" w:ascii="宋体" w:hAnsi="宋体"/>
                <w:b/>
                <w:color w:val="000000"/>
                <w:sz w:val="18"/>
              </w:rPr>
            </w:pPr>
            <w:r>
              <w:rPr>
                <w:rFonts w:hint="eastAsia" w:ascii="宋体" w:hAnsi="宋体"/>
                <w:b/>
                <w:color w:val="000000"/>
                <w:sz w:val="18"/>
              </w:rPr>
              <w:t>品目</w:t>
            </w:r>
          </w:p>
        </w:tc>
        <w:tc>
          <w:tcPr>
            <w:tcW w:w="1221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9179E6E">
            <w:pPr>
              <w:spacing w:beforeLines="0" w:afterLines="0"/>
              <w:jc w:val="center"/>
              <w:rPr>
                <w:rFonts w:hint="eastAsia" w:ascii="宋体" w:hAnsi="宋体"/>
                <w:b/>
                <w:color w:val="000000"/>
                <w:sz w:val="18"/>
              </w:rPr>
            </w:pPr>
            <w:r>
              <w:rPr>
                <w:rFonts w:hint="eastAsia" w:ascii="宋体" w:hAnsi="宋体"/>
                <w:b/>
                <w:color w:val="000000"/>
                <w:sz w:val="18"/>
              </w:rPr>
              <w:t>物资质量技术标准或服务内容及标准要求</w:t>
            </w:r>
          </w:p>
        </w:tc>
        <w:tc>
          <w:tcPr>
            <w:tcW w:w="578"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AE4FD5A">
            <w:pPr>
              <w:spacing w:beforeLines="0" w:afterLines="0"/>
              <w:jc w:val="center"/>
              <w:rPr>
                <w:rFonts w:hint="eastAsia" w:ascii="宋体" w:hAnsi="宋体"/>
                <w:b/>
                <w:color w:val="000000"/>
                <w:sz w:val="18"/>
              </w:rPr>
            </w:pPr>
            <w:r>
              <w:rPr>
                <w:rFonts w:hint="eastAsia" w:ascii="宋体" w:hAnsi="宋体"/>
                <w:b/>
                <w:color w:val="000000"/>
                <w:sz w:val="18"/>
              </w:rPr>
              <w:t>计量单位</w:t>
            </w: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10F500C">
            <w:pPr>
              <w:spacing w:beforeLines="0" w:afterLines="0"/>
              <w:jc w:val="center"/>
              <w:rPr>
                <w:rFonts w:hint="eastAsia" w:ascii="宋体" w:hAnsi="宋体"/>
                <w:b/>
                <w:color w:val="000000"/>
                <w:sz w:val="18"/>
              </w:rPr>
            </w:pPr>
            <w:r>
              <w:rPr>
                <w:rFonts w:hint="eastAsia" w:ascii="宋体" w:hAnsi="宋体"/>
                <w:b/>
                <w:color w:val="000000"/>
                <w:sz w:val="18"/>
              </w:rPr>
              <w:t>采购数量</w:t>
            </w:r>
          </w:p>
        </w:tc>
      </w:tr>
      <w:tr w14:paraId="7067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81" w:type="dxa"/>
            <w:tcBorders>
              <w:top w:val="single" w:color="auto" w:sz="6" w:space="0"/>
              <w:left w:val="single" w:color="auto" w:sz="6" w:space="0"/>
              <w:bottom w:val="single" w:color="auto" w:sz="6" w:space="0"/>
              <w:right w:val="single" w:color="auto" w:sz="6" w:space="0"/>
              <w:tl2br w:val="nil"/>
              <w:tr2bl w:val="nil"/>
            </w:tcBorders>
            <w:vAlign w:val="center"/>
          </w:tcPr>
          <w:p w14:paraId="4C6E03AC">
            <w:pPr>
              <w:spacing w:beforeLines="0" w:afterLines="0"/>
              <w:jc w:val="center"/>
              <w:rPr>
                <w:rFonts w:hint="eastAsia" w:ascii="宋体" w:hAnsi="宋体"/>
                <w:color w:val="000000"/>
                <w:sz w:val="18"/>
              </w:rPr>
            </w:pPr>
            <w:r>
              <w:rPr>
                <w:rFonts w:hint="eastAsia" w:ascii="宋体" w:hAnsi="宋体"/>
                <w:color w:val="000000"/>
                <w:sz w:val="18"/>
              </w:rPr>
              <w:t>1</w:t>
            </w:r>
          </w:p>
        </w:tc>
        <w:tc>
          <w:tcPr>
            <w:tcW w:w="1165" w:type="dxa"/>
            <w:tcBorders>
              <w:top w:val="single" w:color="auto" w:sz="6" w:space="0"/>
              <w:left w:val="single" w:color="auto" w:sz="6" w:space="0"/>
              <w:bottom w:val="single" w:color="auto" w:sz="6" w:space="0"/>
              <w:right w:val="single" w:color="auto" w:sz="6" w:space="0"/>
              <w:tl2br w:val="nil"/>
              <w:tr2bl w:val="nil"/>
            </w:tcBorders>
            <w:vAlign w:val="center"/>
          </w:tcPr>
          <w:p w14:paraId="333AE85A">
            <w:pPr>
              <w:spacing w:beforeLines="0" w:afterLines="0"/>
              <w:jc w:val="center"/>
              <w:rPr>
                <w:rFonts w:hint="eastAsia" w:ascii="宋体" w:hAnsi="宋体"/>
                <w:color w:val="000000"/>
                <w:sz w:val="18"/>
              </w:rPr>
            </w:pPr>
            <w:r>
              <w:rPr>
                <w:rFonts w:hint="eastAsia" w:ascii="宋体" w:hAnsi="宋体"/>
                <w:color w:val="000000"/>
                <w:sz w:val="18"/>
              </w:rPr>
              <w:t>LED全彩显示屏</w:t>
            </w:r>
          </w:p>
          <w:p w14:paraId="3D4DA53A">
            <w:pPr>
              <w:spacing w:beforeLines="0" w:afterLines="0"/>
              <w:jc w:val="center"/>
              <w:rPr>
                <w:rFonts w:hint="eastAsia" w:ascii="宋体" w:hAnsi="宋体"/>
                <w:color w:val="000000"/>
                <w:sz w:val="18"/>
              </w:rPr>
            </w:pPr>
            <w:r>
              <w:rPr>
                <w:rFonts w:hint="eastAsia" w:ascii="宋体" w:hAnsi="宋体"/>
                <w:color w:val="000000"/>
                <w:sz w:val="18"/>
              </w:rPr>
              <w:t>(室外1块)</w:t>
            </w:r>
          </w:p>
        </w:tc>
        <w:tc>
          <w:tcPr>
            <w:tcW w:w="12217" w:type="dxa"/>
            <w:tcBorders>
              <w:top w:val="single" w:color="auto" w:sz="6" w:space="0"/>
              <w:left w:val="single" w:color="auto" w:sz="6" w:space="0"/>
              <w:bottom w:val="single" w:color="auto" w:sz="6" w:space="0"/>
              <w:right w:val="single" w:color="auto" w:sz="6" w:space="0"/>
              <w:tl2br w:val="nil"/>
              <w:tr2bl w:val="nil"/>
            </w:tcBorders>
            <w:vAlign w:val="center"/>
          </w:tcPr>
          <w:p w14:paraId="1BF47731">
            <w:pPr>
              <w:spacing w:beforeLines="0" w:afterLines="0"/>
              <w:jc w:val="both"/>
              <w:rPr>
                <w:rFonts w:hint="eastAsia" w:ascii="宋体" w:hAnsi="宋体"/>
                <w:color w:val="000000"/>
                <w:sz w:val="18"/>
              </w:rPr>
            </w:pPr>
            <w:r>
              <w:rPr>
                <w:rFonts w:hint="eastAsia" w:ascii="宋体" w:hAnsi="宋体"/>
                <w:color w:val="000000"/>
                <w:sz w:val="18"/>
              </w:rPr>
              <w:t>显示屏尺寸：≥4.8m*2.4m</w:t>
            </w:r>
          </w:p>
          <w:p w14:paraId="070AC505">
            <w:pPr>
              <w:spacing w:beforeLines="0" w:afterLines="0"/>
              <w:jc w:val="both"/>
              <w:rPr>
                <w:rFonts w:hint="eastAsia" w:ascii="宋体" w:hAnsi="宋体"/>
                <w:color w:val="000000"/>
                <w:sz w:val="18"/>
              </w:rPr>
            </w:pPr>
            <w:r>
              <w:rPr>
                <w:rFonts w:hint="eastAsia" w:ascii="宋体" w:hAnsi="宋体"/>
                <w:color w:val="000000"/>
                <w:sz w:val="18"/>
              </w:rPr>
              <w:t>一、显示屏模块</w:t>
            </w:r>
          </w:p>
          <w:p w14:paraId="72BAAC39">
            <w:pPr>
              <w:spacing w:beforeLines="0" w:afterLines="0"/>
              <w:jc w:val="both"/>
              <w:rPr>
                <w:rFonts w:hint="eastAsia" w:ascii="宋体" w:hAnsi="宋体"/>
                <w:color w:val="000000"/>
                <w:sz w:val="18"/>
              </w:rPr>
            </w:pPr>
            <w:r>
              <w:rPr>
                <w:rFonts w:hint="eastAsia" w:ascii="宋体" w:hAnsi="宋体"/>
                <w:color w:val="000000"/>
                <w:sz w:val="18"/>
              </w:rPr>
              <w:t>1、物理点间距：≤2.5㎜；</w:t>
            </w:r>
          </w:p>
          <w:p w14:paraId="2D6BBA98">
            <w:pPr>
              <w:spacing w:beforeLines="0" w:afterLines="0"/>
              <w:jc w:val="both"/>
              <w:rPr>
                <w:rFonts w:hint="eastAsia" w:ascii="宋体" w:hAnsi="宋体"/>
                <w:color w:val="000000"/>
                <w:sz w:val="18"/>
              </w:rPr>
            </w:pPr>
            <w:r>
              <w:rPr>
                <w:rFonts w:hint="eastAsia" w:ascii="宋体" w:hAnsi="宋体"/>
                <w:color w:val="000000"/>
                <w:sz w:val="18"/>
              </w:rPr>
              <w:t>2、物理密度 ≥160000点/㎡；</w:t>
            </w:r>
          </w:p>
          <w:p w14:paraId="4501DDE0">
            <w:pPr>
              <w:spacing w:beforeLines="0" w:afterLines="0"/>
              <w:jc w:val="both"/>
              <w:rPr>
                <w:rFonts w:hint="eastAsia" w:ascii="宋体" w:hAnsi="宋体"/>
                <w:color w:val="000000"/>
                <w:sz w:val="18"/>
              </w:rPr>
            </w:pPr>
            <w:r>
              <w:rPr>
                <w:rFonts w:hint="eastAsia" w:ascii="宋体" w:hAnsi="宋体"/>
                <w:color w:val="000000"/>
                <w:sz w:val="18"/>
              </w:rPr>
              <w:t>3、发光点颜色：1R1G1B；</w:t>
            </w:r>
          </w:p>
          <w:p w14:paraId="23EBAA2A">
            <w:pPr>
              <w:spacing w:beforeLines="0" w:afterLines="0"/>
              <w:jc w:val="both"/>
              <w:rPr>
                <w:rFonts w:hint="eastAsia" w:ascii="宋体" w:hAnsi="宋体"/>
                <w:color w:val="000000"/>
                <w:sz w:val="18"/>
              </w:rPr>
            </w:pPr>
            <w:r>
              <w:rPr>
                <w:rFonts w:hint="eastAsia" w:ascii="宋体" w:hAnsi="宋体"/>
                <w:color w:val="000000"/>
                <w:sz w:val="18"/>
              </w:rPr>
              <w:t>4、封装方式：SMD1415</w:t>
            </w:r>
            <w:r>
              <w:rPr>
                <w:rFonts w:hint="eastAsia" w:ascii="宋体" w:hAnsi="宋体" w:eastAsia="宋体"/>
                <w:color w:val="000000"/>
                <w:sz w:val="18"/>
                <w:lang w:eastAsia="zh-CN"/>
              </w:rPr>
              <w:t>；</w:t>
            </w:r>
          </w:p>
          <w:p w14:paraId="6A24E797">
            <w:pPr>
              <w:spacing w:beforeLines="0" w:afterLines="0"/>
              <w:jc w:val="both"/>
              <w:rPr>
                <w:rFonts w:hint="eastAsia" w:ascii="宋体" w:hAnsi="宋体"/>
                <w:color w:val="000000"/>
                <w:sz w:val="18"/>
              </w:rPr>
            </w:pPr>
            <w:r>
              <w:rPr>
                <w:rFonts w:hint="eastAsia" w:ascii="宋体" w:hAnsi="宋体"/>
                <w:color w:val="000000"/>
                <w:sz w:val="18"/>
              </w:rPr>
              <w:t>5：防水箱体</w:t>
            </w:r>
            <w:r>
              <w:rPr>
                <w:rFonts w:hint="eastAsia" w:ascii="宋体" w:hAnsi="宋体" w:eastAsia="宋体"/>
                <w:color w:val="000000"/>
                <w:sz w:val="18"/>
                <w:lang w:eastAsia="zh-CN"/>
              </w:rPr>
              <w:t>；</w:t>
            </w:r>
          </w:p>
          <w:p w14:paraId="57BF5E0C">
            <w:pPr>
              <w:spacing w:beforeLines="0" w:afterLines="0"/>
              <w:jc w:val="both"/>
              <w:rPr>
                <w:rFonts w:hint="eastAsia" w:ascii="宋体" w:hAnsi="宋体"/>
                <w:color w:val="000000"/>
                <w:sz w:val="18"/>
              </w:rPr>
            </w:pPr>
            <w:r>
              <w:rPr>
                <w:rFonts w:hint="eastAsia" w:ascii="宋体" w:hAnsi="宋体"/>
                <w:color w:val="000000"/>
                <w:sz w:val="18"/>
              </w:rPr>
              <w:t>二、供电：</w:t>
            </w:r>
          </w:p>
          <w:p w14:paraId="1D1433F7">
            <w:pPr>
              <w:spacing w:beforeLines="0" w:afterLines="0"/>
              <w:jc w:val="both"/>
              <w:rPr>
                <w:rFonts w:hint="eastAsia" w:ascii="宋体" w:hAnsi="宋体"/>
                <w:color w:val="000000"/>
                <w:sz w:val="18"/>
              </w:rPr>
            </w:pPr>
            <w:r>
              <w:rPr>
                <w:rFonts w:hint="eastAsia" w:ascii="宋体" w:hAnsi="宋体"/>
                <w:color w:val="000000"/>
                <w:sz w:val="18"/>
              </w:rPr>
              <w:t>1、工作电压：AC220/100±15%V</w:t>
            </w:r>
            <w:r>
              <w:rPr>
                <w:rFonts w:hint="eastAsia" w:ascii="宋体" w:hAnsi="宋体" w:eastAsia="宋体"/>
                <w:color w:val="000000"/>
                <w:sz w:val="18"/>
                <w:lang w:eastAsia="zh-CN"/>
              </w:rPr>
              <w:t>；</w:t>
            </w:r>
          </w:p>
          <w:p w14:paraId="3774DC2A">
            <w:pPr>
              <w:spacing w:beforeLines="0" w:afterLines="0"/>
              <w:jc w:val="both"/>
              <w:rPr>
                <w:rFonts w:hint="eastAsia" w:ascii="宋体" w:hAnsi="宋体"/>
                <w:color w:val="000000"/>
                <w:sz w:val="18"/>
              </w:rPr>
            </w:pPr>
            <w:r>
              <w:rPr>
                <w:rFonts w:hint="eastAsia" w:ascii="宋体" w:hAnsi="宋体"/>
                <w:color w:val="000000"/>
                <w:sz w:val="18"/>
              </w:rPr>
              <w:t>2、平均功耗：≤293W/㎡</w:t>
            </w:r>
            <w:r>
              <w:rPr>
                <w:rFonts w:hint="eastAsia" w:ascii="宋体" w:hAnsi="宋体" w:eastAsia="宋体"/>
                <w:color w:val="000000"/>
                <w:sz w:val="18"/>
                <w:lang w:eastAsia="zh-CN"/>
              </w:rPr>
              <w:t>；</w:t>
            </w:r>
          </w:p>
          <w:p w14:paraId="76F87D21">
            <w:pPr>
              <w:spacing w:beforeLines="0" w:afterLines="0"/>
              <w:jc w:val="both"/>
              <w:rPr>
                <w:rFonts w:hint="eastAsia" w:ascii="宋体" w:hAnsi="宋体"/>
                <w:color w:val="000000"/>
                <w:sz w:val="18"/>
              </w:rPr>
            </w:pPr>
            <w:r>
              <w:rPr>
                <w:rFonts w:hint="eastAsia" w:ascii="宋体" w:hAnsi="宋体"/>
                <w:color w:val="000000"/>
                <w:sz w:val="18"/>
              </w:rPr>
              <w:t>3、最大功耗：≤879W/㎡</w:t>
            </w:r>
            <w:r>
              <w:rPr>
                <w:rFonts w:hint="eastAsia" w:ascii="宋体" w:hAnsi="宋体" w:eastAsia="宋体"/>
                <w:color w:val="000000"/>
                <w:sz w:val="18"/>
                <w:lang w:eastAsia="zh-CN"/>
              </w:rPr>
              <w:t>；</w:t>
            </w:r>
          </w:p>
          <w:p w14:paraId="4386F69F">
            <w:pPr>
              <w:spacing w:beforeLines="0" w:afterLines="0"/>
              <w:jc w:val="both"/>
              <w:rPr>
                <w:rFonts w:hint="eastAsia" w:ascii="宋体" w:hAnsi="宋体"/>
                <w:color w:val="000000"/>
                <w:sz w:val="18"/>
              </w:rPr>
            </w:pPr>
            <w:r>
              <w:rPr>
                <w:rFonts w:hint="eastAsia" w:ascii="宋体" w:hAnsi="宋体"/>
                <w:color w:val="000000"/>
                <w:sz w:val="18"/>
              </w:rPr>
              <w:t>三、显示屏整屏：</w:t>
            </w:r>
          </w:p>
          <w:p w14:paraId="19B7420C">
            <w:pPr>
              <w:spacing w:beforeLines="0" w:afterLines="0"/>
              <w:jc w:val="both"/>
              <w:rPr>
                <w:rFonts w:hint="eastAsia" w:ascii="宋体" w:hAnsi="宋体"/>
                <w:color w:val="000000"/>
                <w:sz w:val="18"/>
              </w:rPr>
            </w:pPr>
            <w:r>
              <w:rPr>
                <w:rFonts w:hint="eastAsia" w:ascii="宋体" w:hAnsi="宋体"/>
                <w:color w:val="000000"/>
                <w:sz w:val="18"/>
              </w:rPr>
              <w:t>1、环境温度：存贮-25℃～40℃，工作-40℃～40℃</w:t>
            </w:r>
            <w:r>
              <w:rPr>
                <w:rFonts w:hint="eastAsia" w:ascii="宋体" w:hAnsi="宋体" w:eastAsia="宋体"/>
                <w:color w:val="000000"/>
                <w:sz w:val="18"/>
                <w:lang w:eastAsia="zh-CN"/>
              </w:rPr>
              <w:t>；</w:t>
            </w:r>
          </w:p>
          <w:p w14:paraId="1B3776F4">
            <w:pPr>
              <w:spacing w:beforeLines="0" w:afterLines="0"/>
              <w:jc w:val="both"/>
              <w:rPr>
                <w:rFonts w:hint="eastAsia" w:ascii="宋体" w:hAnsi="宋体"/>
                <w:color w:val="000000"/>
                <w:sz w:val="18"/>
              </w:rPr>
            </w:pPr>
            <w:r>
              <w:rPr>
                <w:rFonts w:hint="eastAsia" w:ascii="宋体" w:hAnsi="宋体"/>
                <w:color w:val="000000"/>
                <w:sz w:val="18"/>
              </w:rPr>
              <w:t>2、相对湿度：10%～85%</w:t>
            </w:r>
            <w:r>
              <w:rPr>
                <w:rFonts w:hint="eastAsia" w:ascii="宋体" w:hAnsi="宋体" w:eastAsia="宋体"/>
                <w:color w:val="000000"/>
                <w:sz w:val="18"/>
                <w:lang w:eastAsia="zh-CN"/>
              </w:rPr>
              <w:t>；</w:t>
            </w:r>
          </w:p>
          <w:p w14:paraId="73D2061C">
            <w:pPr>
              <w:spacing w:beforeLines="0" w:afterLines="0"/>
              <w:jc w:val="both"/>
              <w:rPr>
                <w:rFonts w:hint="eastAsia" w:ascii="宋体" w:hAnsi="宋体"/>
                <w:color w:val="000000"/>
                <w:sz w:val="18"/>
              </w:rPr>
            </w:pPr>
            <w:r>
              <w:rPr>
                <w:rFonts w:hint="eastAsia" w:ascii="宋体" w:hAnsi="宋体"/>
                <w:color w:val="000000"/>
                <w:sz w:val="18"/>
              </w:rPr>
              <w:t>四、主要技术参数：</w:t>
            </w:r>
          </w:p>
          <w:p w14:paraId="76BA5CDD">
            <w:pPr>
              <w:spacing w:beforeLines="0" w:afterLines="0"/>
              <w:jc w:val="both"/>
              <w:rPr>
                <w:rFonts w:hint="eastAsia" w:ascii="宋体" w:hAnsi="宋体"/>
                <w:color w:val="000000"/>
                <w:sz w:val="18"/>
              </w:rPr>
            </w:pPr>
            <w:r>
              <w:rPr>
                <w:rFonts w:hint="eastAsia" w:ascii="宋体" w:hAnsi="宋体"/>
                <w:color w:val="000000"/>
                <w:sz w:val="18"/>
              </w:rPr>
              <w:t>1、模组平整度：≤0.08mm；</w:t>
            </w:r>
          </w:p>
          <w:p w14:paraId="36BCC669">
            <w:pPr>
              <w:numPr>
                <w:ilvl w:val="0"/>
                <w:numId w:val="3"/>
              </w:numPr>
              <w:spacing w:beforeLines="0" w:afterLines="0"/>
              <w:jc w:val="both"/>
              <w:rPr>
                <w:rFonts w:hint="eastAsia" w:ascii="宋体" w:hAnsi="宋体"/>
                <w:color w:val="000000"/>
                <w:sz w:val="18"/>
              </w:rPr>
            </w:pPr>
            <w:r>
              <w:rPr>
                <w:rFonts w:hint="eastAsia" w:ascii="宋体" w:hAnsi="宋体"/>
                <w:color w:val="000000"/>
                <w:sz w:val="18"/>
              </w:rPr>
              <w:t>拼接整平度：≤0.1mm；</w:t>
            </w:r>
          </w:p>
          <w:p w14:paraId="5E9D9CBA">
            <w:pPr>
              <w:numPr>
                <w:ilvl w:val="0"/>
                <w:numId w:val="3"/>
              </w:numPr>
              <w:spacing w:beforeLines="0" w:afterLines="0"/>
              <w:jc w:val="both"/>
              <w:rPr>
                <w:rFonts w:hint="eastAsia" w:ascii="宋体" w:hAnsi="宋体"/>
                <w:color w:val="000000"/>
                <w:sz w:val="18"/>
              </w:rPr>
            </w:pPr>
            <w:r>
              <w:rPr>
                <w:rFonts w:hint="eastAsia" w:ascii="宋体" w:hAnsi="宋体"/>
                <w:color w:val="000000"/>
                <w:sz w:val="18"/>
              </w:rPr>
              <w:t>拼接接缝：≤0.1mm；</w:t>
            </w:r>
          </w:p>
          <w:p w14:paraId="29189767">
            <w:pPr>
              <w:numPr>
                <w:ilvl w:val="0"/>
                <w:numId w:val="3"/>
              </w:numPr>
              <w:spacing w:beforeLines="0" w:afterLines="0"/>
              <w:jc w:val="both"/>
              <w:rPr>
                <w:rFonts w:hint="eastAsia" w:ascii="宋体" w:hAnsi="宋体"/>
                <w:color w:val="000000"/>
                <w:sz w:val="18"/>
              </w:rPr>
            </w:pPr>
            <w:r>
              <w:rPr>
                <w:rFonts w:hint="eastAsia" w:ascii="宋体" w:hAnsi="宋体"/>
                <w:color w:val="000000"/>
                <w:sz w:val="18"/>
              </w:rPr>
              <w:t>外壳防护：GB4802；</w:t>
            </w:r>
          </w:p>
          <w:p w14:paraId="3D2DDCEF">
            <w:pPr>
              <w:numPr>
                <w:ilvl w:val="0"/>
                <w:numId w:val="3"/>
              </w:numPr>
              <w:spacing w:beforeLines="0" w:afterLines="0"/>
              <w:jc w:val="both"/>
              <w:rPr>
                <w:rFonts w:hint="eastAsia" w:ascii="宋体" w:hAnsi="宋体"/>
                <w:color w:val="000000"/>
                <w:sz w:val="18"/>
              </w:rPr>
            </w:pPr>
            <w:r>
              <w:rPr>
                <w:rFonts w:hint="eastAsia" w:ascii="宋体" w:hAnsi="宋体"/>
                <w:color w:val="000000"/>
                <w:sz w:val="18"/>
              </w:rPr>
              <w:t>模组接触电流值≤1.31mA</w:t>
            </w:r>
            <w:r>
              <w:rPr>
                <w:rFonts w:hint="eastAsia" w:ascii="宋体" w:hAnsi="宋体" w:eastAsia="宋体"/>
                <w:color w:val="000000"/>
                <w:sz w:val="18"/>
                <w:lang w:eastAsia="zh-CN"/>
              </w:rPr>
              <w:t>；</w:t>
            </w:r>
          </w:p>
          <w:p w14:paraId="2D154E65">
            <w:pPr>
              <w:numPr>
                <w:ilvl w:val="0"/>
                <w:numId w:val="3"/>
              </w:numPr>
              <w:spacing w:beforeLines="0" w:afterLines="0"/>
              <w:jc w:val="both"/>
              <w:rPr>
                <w:rFonts w:hint="eastAsia" w:ascii="宋体" w:hAnsi="宋体"/>
                <w:color w:val="000000"/>
                <w:sz w:val="18"/>
              </w:rPr>
            </w:pPr>
            <w:r>
              <w:rPr>
                <w:rFonts w:hint="eastAsia" w:ascii="宋体" w:hAnsi="宋体"/>
                <w:color w:val="000000"/>
                <w:sz w:val="18"/>
              </w:rPr>
              <w:t>抗电强度：1.5KV,1min；</w:t>
            </w:r>
          </w:p>
          <w:p w14:paraId="58586676">
            <w:pPr>
              <w:numPr>
                <w:ilvl w:val="0"/>
                <w:numId w:val="3"/>
              </w:numPr>
              <w:spacing w:beforeLines="0" w:afterLines="0"/>
              <w:jc w:val="both"/>
              <w:rPr>
                <w:rFonts w:hint="eastAsia" w:ascii="宋体" w:hAnsi="宋体"/>
                <w:color w:val="000000"/>
                <w:sz w:val="18"/>
              </w:rPr>
            </w:pPr>
            <w:r>
              <w:rPr>
                <w:rFonts w:hint="eastAsia" w:ascii="宋体" w:hAnsi="宋体"/>
                <w:color w:val="000000"/>
                <w:sz w:val="18"/>
              </w:rPr>
              <w:t>接地电阻≤100mΩ；</w:t>
            </w:r>
          </w:p>
          <w:p w14:paraId="6E9EDADA">
            <w:pPr>
              <w:numPr>
                <w:ilvl w:val="0"/>
                <w:numId w:val="3"/>
              </w:numPr>
              <w:spacing w:beforeLines="0" w:afterLines="0"/>
              <w:jc w:val="both"/>
              <w:rPr>
                <w:rFonts w:hint="eastAsia" w:ascii="宋体" w:hAnsi="宋体"/>
                <w:color w:val="000000"/>
                <w:sz w:val="18"/>
              </w:rPr>
            </w:pPr>
            <w:r>
              <w:rPr>
                <w:rFonts w:hint="eastAsia" w:ascii="宋体" w:hAnsi="宋体"/>
                <w:color w:val="000000"/>
                <w:sz w:val="18"/>
              </w:rPr>
              <w:t>抗拉力：≥12.4KN；</w:t>
            </w:r>
          </w:p>
          <w:p w14:paraId="288BCC61">
            <w:pPr>
              <w:numPr>
                <w:ilvl w:val="0"/>
                <w:numId w:val="3"/>
              </w:numPr>
              <w:spacing w:beforeLines="0" w:afterLines="0"/>
              <w:jc w:val="both"/>
              <w:rPr>
                <w:rFonts w:hint="eastAsia" w:ascii="宋体" w:hAnsi="宋体"/>
                <w:color w:val="000000"/>
                <w:sz w:val="18"/>
              </w:rPr>
            </w:pPr>
            <w:r>
              <w:rPr>
                <w:rFonts w:hint="eastAsia" w:ascii="宋体" w:hAnsi="宋体"/>
                <w:color w:val="000000"/>
                <w:sz w:val="18"/>
              </w:rPr>
              <w:t>安规测试：安全符合GB4793标准；</w:t>
            </w:r>
          </w:p>
          <w:p w14:paraId="3ECA034E">
            <w:pPr>
              <w:numPr>
                <w:ilvl w:val="0"/>
                <w:numId w:val="3"/>
              </w:numPr>
              <w:spacing w:beforeLines="0" w:afterLines="0"/>
              <w:jc w:val="both"/>
              <w:rPr>
                <w:rFonts w:hint="eastAsia" w:ascii="宋体" w:hAnsi="宋体"/>
                <w:color w:val="000000"/>
                <w:sz w:val="18"/>
              </w:rPr>
            </w:pPr>
            <w:r>
              <w:rPr>
                <w:rFonts w:hint="eastAsia" w:ascii="宋体" w:hAnsi="宋体"/>
                <w:color w:val="000000"/>
                <w:sz w:val="18"/>
              </w:rPr>
              <w:t>电磁抗干扰性：符合IEC801标准， 静电放电、浪涌、电快速瞬 变脉冲群、传导抗干扰、辐射抗干扰试验项目；</w:t>
            </w:r>
          </w:p>
          <w:p w14:paraId="57F37210">
            <w:pPr>
              <w:numPr>
                <w:ilvl w:val="0"/>
                <w:numId w:val="3"/>
              </w:numPr>
              <w:spacing w:beforeLines="0" w:afterLines="0"/>
              <w:jc w:val="both"/>
              <w:rPr>
                <w:rFonts w:hint="eastAsia" w:ascii="宋体" w:hAnsi="宋体"/>
                <w:color w:val="000000"/>
                <w:sz w:val="18"/>
              </w:rPr>
            </w:pPr>
            <w:r>
              <w:rPr>
                <w:rFonts w:hint="eastAsia" w:ascii="宋体" w:hAnsi="宋体"/>
                <w:color w:val="000000"/>
                <w:sz w:val="18"/>
              </w:rPr>
              <w:t>电磁兼容性：符合GB9254-2008要 求，达到CLASS B级要求；</w:t>
            </w:r>
          </w:p>
          <w:p w14:paraId="7646DFD9">
            <w:pPr>
              <w:numPr>
                <w:ilvl w:val="0"/>
                <w:numId w:val="3"/>
              </w:numPr>
              <w:spacing w:beforeLines="0" w:afterLines="0"/>
              <w:jc w:val="both"/>
              <w:rPr>
                <w:rFonts w:hint="eastAsia" w:ascii="宋体" w:hAnsi="宋体"/>
                <w:color w:val="000000"/>
                <w:sz w:val="18"/>
              </w:rPr>
            </w:pPr>
            <w:r>
              <w:rPr>
                <w:rFonts w:hint="eastAsia" w:ascii="宋体" w:hAnsi="宋体"/>
                <w:color w:val="000000"/>
                <w:sz w:val="18"/>
              </w:rPr>
              <w:t>自动调节亮度：显示屏具备智能光感功能， 可自动识别环境亮度强弱调 整屏幕亮度，以达到最佳的 视觉观看效果，防止视觉疲 劳，损伤视力；</w:t>
            </w:r>
          </w:p>
          <w:p w14:paraId="5F2D4DDB">
            <w:pPr>
              <w:numPr>
                <w:ilvl w:val="0"/>
                <w:numId w:val="3"/>
              </w:numPr>
              <w:spacing w:beforeLines="0" w:afterLines="0"/>
              <w:jc w:val="both"/>
              <w:rPr>
                <w:rFonts w:hint="eastAsia" w:ascii="宋体" w:hAnsi="宋体"/>
                <w:color w:val="000000"/>
                <w:sz w:val="18"/>
              </w:rPr>
            </w:pPr>
            <w:r>
              <w:rPr>
                <w:rFonts w:hint="eastAsia" w:ascii="宋体" w:hAnsi="宋体"/>
                <w:color w:val="000000"/>
                <w:sz w:val="18"/>
              </w:rPr>
              <w:t>光生物安全：在8h (30000s)曝辐中不造成光化学紫外危害(ES),并在1000s （约16min）内不造成近紫外危害（EUVA）, 并在10000s （约2. 8h）内不造成对视网膜蓝光危害（LB）并在10s内不造成对 视网膜热危害（LR）,并且 在1000s内不造成对眼睛的红外辐射危害（EIR）；</w:t>
            </w:r>
          </w:p>
          <w:p w14:paraId="108AB8B7">
            <w:pPr>
              <w:numPr>
                <w:ilvl w:val="0"/>
                <w:numId w:val="3"/>
              </w:numPr>
              <w:spacing w:beforeLines="0" w:afterLines="0"/>
              <w:jc w:val="both"/>
              <w:rPr>
                <w:rFonts w:hint="eastAsia" w:ascii="宋体" w:hAnsi="宋体"/>
                <w:color w:val="000000"/>
                <w:sz w:val="18"/>
              </w:rPr>
            </w:pPr>
            <w:r>
              <w:rPr>
                <w:rFonts w:hint="eastAsia" w:ascii="宋体" w:hAnsi="宋体"/>
                <w:color w:val="000000"/>
                <w:sz w:val="18"/>
              </w:rPr>
              <w:t>寿命≥100000小时；</w:t>
            </w:r>
          </w:p>
          <w:p w14:paraId="7259392F">
            <w:pPr>
              <w:numPr>
                <w:ilvl w:val="0"/>
                <w:numId w:val="3"/>
              </w:numPr>
              <w:spacing w:beforeLines="0" w:afterLines="0"/>
              <w:jc w:val="both"/>
              <w:rPr>
                <w:rFonts w:hint="eastAsia" w:ascii="宋体" w:hAnsi="宋体"/>
                <w:color w:val="000000"/>
                <w:sz w:val="18"/>
              </w:rPr>
            </w:pPr>
            <w:r>
              <w:rPr>
                <w:rFonts w:hint="eastAsia" w:ascii="宋体" w:hAnsi="宋体"/>
                <w:color w:val="000000"/>
                <w:sz w:val="18"/>
              </w:rPr>
              <w:t>图像质量主观评价：LED显示屏图像质量主观评 价整体 SJ/T 11590-2016, 符合为优级要求；</w:t>
            </w:r>
          </w:p>
          <w:p w14:paraId="0FAAE14F">
            <w:pPr>
              <w:numPr>
                <w:ilvl w:val="0"/>
                <w:numId w:val="3"/>
              </w:numPr>
              <w:spacing w:beforeLines="0" w:afterLines="0"/>
              <w:jc w:val="both"/>
              <w:rPr>
                <w:rFonts w:hint="eastAsia" w:ascii="宋体" w:hAnsi="宋体"/>
                <w:color w:val="000000"/>
                <w:sz w:val="18"/>
              </w:rPr>
            </w:pPr>
            <w:r>
              <w:rPr>
                <w:rFonts w:hint="eastAsia" w:ascii="宋体" w:hAnsi="宋体"/>
                <w:color w:val="000000"/>
                <w:sz w:val="18"/>
              </w:rPr>
              <w:t>正弦震动试验：依据 GB/T 4857. 7 10~55Hz,振幅 0. 35mm,每 一轴向循环扫频5次，每次 时间5min,符合正弦定频震 动抗震测试；</w:t>
            </w:r>
          </w:p>
          <w:p w14:paraId="260C319C">
            <w:pPr>
              <w:numPr>
                <w:ilvl w:val="0"/>
                <w:numId w:val="3"/>
              </w:numPr>
              <w:spacing w:beforeLines="0" w:afterLines="0"/>
              <w:jc w:val="both"/>
              <w:rPr>
                <w:rFonts w:hint="eastAsia" w:ascii="宋体" w:hAnsi="宋体"/>
                <w:color w:val="000000"/>
                <w:sz w:val="18"/>
              </w:rPr>
            </w:pPr>
            <w:r>
              <w:rPr>
                <w:rFonts w:hint="eastAsia" w:ascii="宋体" w:hAnsi="宋体"/>
                <w:color w:val="000000"/>
                <w:sz w:val="18"/>
              </w:rPr>
              <w:t>消影功能：LED显示屏正常工作时具备 消除鬼影（行消影、无拖尾 现象）、消除毛毛虫（列消 除）、消除“十”字架和列 常亮功能；</w:t>
            </w:r>
          </w:p>
          <w:p w14:paraId="5F03EE66">
            <w:pPr>
              <w:numPr>
                <w:ilvl w:val="0"/>
                <w:numId w:val="3"/>
              </w:numPr>
              <w:spacing w:beforeLines="0" w:afterLines="0"/>
              <w:jc w:val="both"/>
              <w:rPr>
                <w:rFonts w:hint="eastAsia" w:ascii="宋体" w:hAnsi="宋体"/>
                <w:color w:val="000000"/>
                <w:sz w:val="18"/>
              </w:rPr>
            </w:pPr>
            <w:r>
              <w:rPr>
                <w:rFonts w:hint="eastAsia" w:ascii="宋体" w:hAnsi="宋体"/>
                <w:color w:val="000000"/>
                <w:sz w:val="18"/>
              </w:rPr>
              <w:t>噪音检测：40/30dB-A;</w:t>
            </w:r>
          </w:p>
          <w:p w14:paraId="77C102DB">
            <w:pPr>
              <w:numPr>
                <w:ilvl w:val="0"/>
                <w:numId w:val="3"/>
              </w:numPr>
              <w:spacing w:beforeLines="0" w:afterLines="0"/>
              <w:jc w:val="both"/>
              <w:rPr>
                <w:rFonts w:hint="eastAsia" w:ascii="宋体" w:hAnsi="宋体"/>
                <w:color w:val="000000"/>
                <w:sz w:val="18"/>
              </w:rPr>
            </w:pPr>
            <w:r>
              <w:rPr>
                <w:rFonts w:hint="eastAsia" w:ascii="宋体" w:hAnsi="宋体"/>
                <w:color w:val="000000"/>
                <w:sz w:val="18"/>
              </w:rPr>
              <w:t>振动测试：在振动5HZ-55HZ-5HZ,振幅为0.19mm的条件下，显示正常，无损坏；</w:t>
            </w:r>
          </w:p>
          <w:p w14:paraId="797E0998">
            <w:pPr>
              <w:numPr>
                <w:ilvl w:val="0"/>
                <w:numId w:val="3"/>
              </w:numPr>
              <w:spacing w:beforeLines="0" w:afterLines="0"/>
              <w:jc w:val="both"/>
              <w:rPr>
                <w:rFonts w:hint="eastAsia" w:ascii="宋体" w:hAnsi="宋体"/>
                <w:color w:val="000000"/>
                <w:sz w:val="18"/>
              </w:rPr>
            </w:pPr>
            <w:r>
              <w:rPr>
                <w:rFonts w:hint="eastAsia" w:ascii="宋体" w:hAnsi="宋体"/>
                <w:color w:val="000000"/>
                <w:sz w:val="18"/>
              </w:rPr>
              <w:t>像素失控率：整屏失控率小于等于万分之一；</w:t>
            </w:r>
          </w:p>
          <w:p w14:paraId="7D3F031B">
            <w:pPr>
              <w:numPr>
                <w:ilvl w:val="0"/>
                <w:numId w:val="3"/>
              </w:numPr>
              <w:spacing w:beforeLines="0" w:afterLines="0"/>
              <w:jc w:val="both"/>
              <w:rPr>
                <w:rFonts w:hint="eastAsia" w:ascii="宋体" w:hAnsi="宋体"/>
                <w:color w:val="000000"/>
                <w:sz w:val="18"/>
              </w:rPr>
            </w:pPr>
            <w:r>
              <w:rPr>
                <w:rFonts w:hint="eastAsia" w:ascii="宋体" w:hAnsi="宋体"/>
                <w:color w:val="000000"/>
                <w:sz w:val="18"/>
              </w:rPr>
              <w:t>对比度：≥ 5000：1；</w:t>
            </w:r>
          </w:p>
          <w:p w14:paraId="787F2F26">
            <w:pPr>
              <w:numPr>
                <w:ilvl w:val="0"/>
                <w:numId w:val="0"/>
              </w:numPr>
              <w:spacing w:beforeLines="0" w:afterLines="0"/>
              <w:jc w:val="both"/>
              <w:rPr>
                <w:rFonts w:hint="eastAsia" w:ascii="宋体" w:hAnsi="宋体"/>
                <w:color w:val="000000"/>
                <w:sz w:val="18"/>
              </w:rPr>
            </w:pPr>
            <w:r>
              <w:rPr>
                <w:rFonts w:hint="eastAsia" w:ascii="宋体" w:hAnsi="宋体"/>
                <w:color w:val="000000"/>
                <w:sz w:val="18"/>
              </w:rPr>
              <w:t>▲22、屏幕亮度：6000cd/m2；</w:t>
            </w:r>
          </w:p>
          <w:p w14:paraId="12BB8BD4">
            <w:pPr>
              <w:numPr>
                <w:ilvl w:val="0"/>
                <w:numId w:val="0"/>
              </w:numPr>
              <w:spacing w:beforeLines="0" w:afterLines="0"/>
              <w:jc w:val="both"/>
              <w:rPr>
                <w:rFonts w:hint="eastAsia" w:ascii="宋体" w:hAnsi="宋体"/>
                <w:color w:val="000000"/>
                <w:sz w:val="18"/>
              </w:rPr>
            </w:pPr>
            <w:r>
              <w:rPr>
                <w:rFonts w:hint="eastAsia" w:ascii="宋体" w:hAnsi="宋体"/>
                <w:color w:val="000000"/>
                <w:sz w:val="18"/>
              </w:rPr>
              <w:t>23、亮度均匀性：≥98%；</w:t>
            </w:r>
          </w:p>
          <w:p w14:paraId="3FF869D3">
            <w:pPr>
              <w:numPr>
                <w:ilvl w:val="0"/>
                <w:numId w:val="0"/>
              </w:numPr>
              <w:spacing w:beforeLines="0" w:afterLines="0"/>
              <w:jc w:val="both"/>
              <w:rPr>
                <w:rFonts w:hint="eastAsia" w:ascii="宋体" w:hAnsi="宋体"/>
                <w:color w:val="000000"/>
                <w:sz w:val="18"/>
              </w:rPr>
            </w:pPr>
            <w:r>
              <w:rPr>
                <w:rFonts w:hint="eastAsia" w:ascii="宋体" w:hAnsi="宋体"/>
                <w:color w:val="000000"/>
                <w:sz w:val="18"/>
              </w:rPr>
              <w:t>▲24、灰度等级：≥16bit；</w:t>
            </w:r>
          </w:p>
          <w:p w14:paraId="1C1E39DE">
            <w:pPr>
              <w:numPr>
                <w:ilvl w:val="0"/>
                <w:numId w:val="0"/>
              </w:numPr>
              <w:spacing w:beforeLines="0" w:afterLines="0"/>
              <w:jc w:val="both"/>
              <w:rPr>
                <w:rFonts w:hint="eastAsia" w:ascii="宋体" w:hAnsi="宋体"/>
                <w:color w:val="000000"/>
                <w:sz w:val="18"/>
              </w:rPr>
            </w:pPr>
            <w:r>
              <w:rPr>
                <w:rFonts w:hint="eastAsia" w:ascii="宋体" w:hAnsi="宋体"/>
                <w:color w:val="000000"/>
                <w:sz w:val="18"/>
              </w:rPr>
              <w:t>▲25、视角：≥165°（水平/垂直）；</w:t>
            </w:r>
          </w:p>
          <w:p w14:paraId="662699A2">
            <w:pPr>
              <w:numPr>
                <w:ilvl w:val="0"/>
                <w:numId w:val="0"/>
              </w:numPr>
              <w:spacing w:beforeLines="0" w:afterLines="0"/>
              <w:jc w:val="both"/>
              <w:rPr>
                <w:rFonts w:hint="eastAsia" w:ascii="宋体" w:hAnsi="宋体"/>
                <w:color w:val="000000"/>
                <w:sz w:val="18"/>
              </w:rPr>
            </w:pPr>
            <w:r>
              <w:rPr>
                <w:rFonts w:hint="eastAsia" w:ascii="宋体" w:hAnsi="宋体"/>
                <w:color w:val="000000"/>
                <w:sz w:val="18"/>
              </w:rPr>
              <w:t>26、刷新频率：≥1920HZ；</w:t>
            </w:r>
          </w:p>
          <w:p w14:paraId="0BFD01CC">
            <w:pPr>
              <w:numPr>
                <w:ilvl w:val="0"/>
                <w:numId w:val="0"/>
              </w:numPr>
              <w:spacing w:beforeLines="0" w:afterLines="0"/>
              <w:jc w:val="both"/>
              <w:rPr>
                <w:rFonts w:hint="eastAsia" w:ascii="宋体" w:hAnsi="宋体"/>
                <w:color w:val="000000"/>
                <w:sz w:val="18"/>
              </w:rPr>
            </w:pPr>
            <w:r>
              <w:rPr>
                <w:rFonts w:hint="eastAsia" w:ascii="宋体" w:hAnsi="宋体"/>
                <w:color w:val="000000"/>
                <w:sz w:val="18"/>
              </w:rPr>
              <w:t>27、色温：1000K-9500K可调；</w:t>
            </w:r>
          </w:p>
          <w:p w14:paraId="77846D26">
            <w:pPr>
              <w:numPr>
                <w:ilvl w:val="0"/>
                <w:numId w:val="0"/>
              </w:numPr>
              <w:spacing w:beforeLines="0" w:afterLines="0"/>
              <w:jc w:val="both"/>
              <w:rPr>
                <w:rFonts w:hint="eastAsia" w:ascii="宋体" w:hAnsi="宋体"/>
                <w:color w:val="000000"/>
                <w:sz w:val="18"/>
              </w:rPr>
            </w:pPr>
            <w:r>
              <w:rPr>
                <w:rFonts w:hint="eastAsia" w:ascii="宋体" w:hAnsi="宋体"/>
                <w:color w:val="000000"/>
                <w:sz w:val="18"/>
              </w:rPr>
              <w:t>28、高低温工作：-30℃-60℃持续工作48小时合格；</w:t>
            </w:r>
          </w:p>
          <w:p w14:paraId="4A3ECDEE">
            <w:pPr>
              <w:numPr>
                <w:ilvl w:val="0"/>
                <w:numId w:val="0"/>
              </w:numPr>
              <w:spacing w:beforeLines="0" w:afterLines="0"/>
              <w:jc w:val="both"/>
              <w:rPr>
                <w:rFonts w:hint="eastAsia" w:ascii="宋体" w:hAnsi="宋体"/>
                <w:color w:val="000000"/>
                <w:sz w:val="18"/>
              </w:rPr>
            </w:pPr>
            <w:r>
              <w:rPr>
                <w:rFonts w:hint="eastAsia" w:ascii="宋体" w:hAnsi="宋体"/>
                <w:color w:val="000000"/>
                <w:sz w:val="18"/>
              </w:rPr>
              <w:t>29、高温高湿度：70℃，93%，120小时；</w:t>
            </w:r>
          </w:p>
          <w:p w14:paraId="56825950">
            <w:pPr>
              <w:numPr>
                <w:ilvl w:val="0"/>
                <w:numId w:val="0"/>
              </w:numPr>
              <w:spacing w:beforeLines="0" w:afterLines="0"/>
              <w:jc w:val="both"/>
              <w:rPr>
                <w:rFonts w:hint="eastAsia" w:ascii="宋体" w:hAnsi="宋体"/>
                <w:color w:val="000000"/>
                <w:sz w:val="18"/>
              </w:rPr>
            </w:pPr>
            <w:r>
              <w:rPr>
                <w:rFonts w:hint="eastAsia" w:ascii="宋体" w:hAnsi="宋体"/>
                <w:color w:val="000000"/>
                <w:sz w:val="18"/>
              </w:rPr>
              <w:t>30、电流增益调节级别：大于等于4位；</w:t>
            </w:r>
          </w:p>
          <w:p w14:paraId="50EF2069">
            <w:pPr>
              <w:numPr>
                <w:ilvl w:val="0"/>
                <w:numId w:val="0"/>
              </w:numPr>
              <w:spacing w:beforeLines="0" w:afterLines="0"/>
              <w:jc w:val="both"/>
              <w:rPr>
                <w:rFonts w:hint="eastAsia" w:ascii="宋体" w:hAnsi="宋体"/>
                <w:color w:val="000000"/>
                <w:sz w:val="18"/>
              </w:rPr>
            </w:pPr>
            <w:r>
              <w:rPr>
                <w:rFonts w:hint="eastAsia" w:ascii="宋体" w:hAnsi="宋体"/>
                <w:color w:val="000000"/>
                <w:sz w:val="18"/>
              </w:rPr>
              <w:t>31、发光点中心偏差：≤2%；</w:t>
            </w:r>
          </w:p>
          <w:p w14:paraId="28FD4D2B">
            <w:pPr>
              <w:numPr>
                <w:ilvl w:val="0"/>
                <w:numId w:val="0"/>
              </w:numPr>
              <w:spacing w:beforeLines="0" w:afterLines="0"/>
              <w:jc w:val="both"/>
              <w:rPr>
                <w:rFonts w:hint="eastAsia" w:ascii="宋体" w:hAnsi="宋体"/>
                <w:color w:val="000000"/>
                <w:sz w:val="18"/>
              </w:rPr>
            </w:pPr>
            <w:r>
              <w:rPr>
                <w:rFonts w:hint="eastAsia" w:ascii="宋体" w:hAnsi="宋体"/>
                <w:color w:val="000000"/>
                <w:sz w:val="18"/>
              </w:rPr>
              <w:t>32、漏电流容限值：≤0.5mA</w:t>
            </w:r>
            <w:r>
              <w:rPr>
                <w:rFonts w:hint="eastAsia" w:ascii="宋体" w:hAnsi="宋体" w:eastAsia="宋体"/>
                <w:color w:val="000000"/>
                <w:sz w:val="18"/>
                <w:lang w:eastAsia="zh-CN"/>
              </w:rPr>
              <w:t>；</w:t>
            </w:r>
          </w:p>
          <w:p w14:paraId="21419FA2">
            <w:pPr>
              <w:numPr>
                <w:ilvl w:val="0"/>
                <w:numId w:val="0"/>
              </w:numPr>
              <w:spacing w:beforeLines="0" w:afterLines="0"/>
              <w:jc w:val="both"/>
              <w:rPr>
                <w:rFonts w:hint="eastAsia" w:ascii="宋体" w:hAnsi="宋体"/>
                <w:color w:val="000000"/>
                <w:sz w:val="18"/>
              </w:rPr>
            </w:pPr>
            <w:r>
              <w:rPr>
                <w:rFonts w:hint="eastAsia" w:ascii="宋体" w:hAnsi="宋体"/>
                <w:color w:val="000000"/>
                <w:sz w:val="18"/>
              </w:rPr>
              <w:t>33、亮度调节能力：≥256级；</w:t>
            </w:r>
          </w:p>
          <w:p w14:paraId="19CAC85F">
            <w:pPr>
              <w:numPr>
                <w:ilvl w:val="0"/>
                <w:numId w:val="0"/>
              </w:numPr>
              <w:spacing w:beforeLines="0" w:afterLines="0"/>
              <w:jc w:val="both"/>
              <w:rPr>
                <w:rFonts w:hint="eastAsia" w:ascii="宋体" w:hAnsi="宋体"/>
                <w:color w:val="000000"/>
                <w:sz w:val="18"/>
              </w:rPr>
            </w:pPr>
            <w:r>
              <w:rPr>
                <w:rFonts w:hint="eastAsia" w:ascii="宋体" w:hAnsi="宋体"/>
                <w:color w:val="000000"/>
                <w:sz w:val="18"/>
              </w:rPr>
              <w:t>34、模组机械强度：≥10MP；</w:t>
            </w:r>
          </w:p>
          <w:p w14:paraId="7EB2FD6D">
            <w:pPr>
              <w:numPr>
                <w:ilvl w:val="0"/>
                <w:numId w:val="0"/>
              </w:numPr>
              <w:spacing w:beforeLines="0" w:afterLines="0"/>
              <w:jc w:val="both"/>
              <w:rPr>
                <w:rFonts w:hint="eastAsia" w:ascii="宋体" w:hAnsi="宋体"/>
                <w:color w:val="000000"/>
                <w:sz w:val="18"/>
              </w:rPr>
            </w:pPr>
            <w:r>
              <w:rPr>
                <w:rFonts w:hint="eastAsia" w:ascii="宋体" w:hAnsi="宋体"/>
                <w:color w:val="000000"/>
                <w:sz w:val="18"/>
              </w:rPr>
              <w:t>35、供电方式：支持电源均流供电</w:t>
            </w:r>
            <w:r>
              <w:rPr>
                <w:rFonts w:hint="eastAsia" w:ascii="宋体" w:hAnsi="宋体" w:eastAsia="宋体"/>
                <w:color w:val="000000"/>
                <w:sz w:val="18"/>
                <w:lang w:eastAsia="zh-CN"/>
              </w:rPr>
              <w:t>；</w:t>
            </w:r>
          </w:p>
          <w:p w14:paraId="7E4DD85C">
            <w:pPr>
              <w:numPr>
                <w:ilvl w:val="0"/>
                <w:numId w:val="0"/>
              </w:numPr>
              <w:spacing w:beforeLines="0" w:afterLines="0"/>
              <w:jc w:val="both"/>
              <w:rPr>
                <w:rFonts w:hint="eastAsia" w:ascii="宋体" w:hAnsi="宋体"/>
                <w:color w:val="000000"/>
                <w:sz w:val="18"/>
              </w:rPr>
            </w:pPr>
            <w:r>
              <w:rPr>
                <w:rFonts w:hint="eastAsia" w:ascii="宋体" w:hAnsi="宋体"/>
                <w:color w:val="000000"/>
                <w:sz w:val="18"/>
              </w:rPr>
              <w:t>36、图像补偿功能：动态图像自动补偿；</w:t>
            </w:r>
          </w:p>
          <w:p w14:paraId="39687E1D">
            <w:pPr>
              <w:numPr>
                <w:ilvl w:val="0"/>
                <w:numId w:val="0"/>
              </w:numPr>
              <w:spacing w:beforeLines="0" w:afterLines="0"/>
              <w:jc w:val="both"/>
              <w:rPr>
                <w:rFonts w:hint="eastAsia" w:ascii="宋体" w:hAnsi="宋体"/>
                <w:color w:val="000000"/>
                <w:sz w:val="18"/>
              </w:rPr>
            </w:pPr>
            <w:r>
              <w:rPr>
                <w:rFonts w:hint="eastAsia" w:ascii="宋体" w:hAnsi="宋体"/>
                <w:color w:val="000000"/>
                <w:sz w:val="18"/>
              </w:rPr>
              <w:t>37、中性盐雾试验：无腐蚀现象；</w:t>
            </w:r>
          </w:p>
          <w:p w14:paraId="32C36B88">
            <w:pPr>
              <w:numPr>
                <w:ilvl w:val="0"/>
                <w:numId w:val="0"/>
              </w:numPr>
              <w:spacing w:beforeLines="0" w:afterLines="0"/>
              <w:jc w:val="both"/>
              <w:rPr>
                <w:rFonts w:hint="eastAsia" w:ascii="宋体" w:hAnsi="宋体"/>
                <w:color w:val="000000"/>
                <w:sz w:val="18"/>
              </w:rPr>
            </w:pPr>
            <w:r>
              <w:rPr>
                <w:rFonts w:hint="eastAsia" w:ascii="宋体" w:hAnsi="宋体"/>
                <w:color w:val="000000"/>
                <w:sz w:val="18"/>
              </w:rPr>
              <w:t>38、UV紫外试验：外观功能无异常合格；</w:t>
            </w:r>
          </w:p>
          <w:p w14:paraId="654B5195">
            <w:pPr>
              <w:numPr>
                <w:ilvl w:val="0"/>
                <w:numId w:val="0"/>
              </w:numPr>
              <w:spacing w:beforeLines="0" w:afterLines="0"/>
              <w:jc w:val="both"/>
              <w:rPr>
                <w:rFonts w:hint="eastAsia" w:ascii="宋体" w:hAnsi="宋体"/>
                <w:color w:val="000000"/>
                <w:sz w:val="18"/>
              </w:rPr>
            </w:pPr>
            <w:r>
              <w:rPr>
                <w:rFonts w:hint="eastAsia" w:ascii="宋体" w:hAnsi="宋体"/>
                <w:color w:val="000000"/>
                <w:sz w:val="18"/>
              </w:rPr>
              <w:t>▲39、阻燃试验：V-0合格；</w:t>
            </w:r>
          </w:p>
          <w:p w14:paraId="2E135044">
            <w:pPr>
              <w:numPr>
                <w:ilvl w:val="0"/>
                <w:numId w:val="0"/>
              </w:numPr>
              <w:spacing w:beforeLines="0" w:afterLines="0"/>
              <w:jc w:val="both"/>
              <w:rPr>
                <w:rFonts w:hint="eastAsia" w:ascii="宋体" w:hAnsi="宋体"/>
                <w:color w:val="000000"/>
                <w:sz w:val="18"/>
              </w:rPr>
            </w:pPr>
            <w:r>
              <w:rPr>
                <w:rFonts w:hint="eastAsia" w:ascii="宋体" w:hAnsi="宋体"/>
                <w:color w:val="000000"/>
                <w:sz w:val="18"/>
              </w:rPr>
              <w:t>40、监测：LED显示屏箱体反馈可显示内部温度、电压幅度、信号运行实时监测。</w:t>
            </w: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7F77CE5E">
            <w:pPr>
              <w:spacing w:beforeLines="0" w:afterLines="0"/>
              <w:jc w:val="center"/>
              <w:rPr>
                <w:rFonts w:hint="eastAsia" w:ascii="宋体" w:hAnsi="宋体"/>
                <w:color w:val="000000"/>
                <w:sz w:val="18"/>
              </w:rPr>
            </w:pPr>
            <w:r>
              <w:rPr>
                <w:rFonts w:hint="eastAsia" w:ascii="宋体" w:hAnsi="宋体"/>
                <w:color w:val="000000"/>
                <w:sz w:val="18"/>
              </w:rPr>
              <w:t>㎡</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158AF665">
            <w:pPr>
              <w:spacing w:beforeLines="0" w:afterLines="0"/>
              <w:jc w:val="center"/>
              <w:rPr>
                <w:rFonts w:hint="eastAsia" w:ascii="宋体" w:hAnsi="宋体"/>
                <w:color w:val="000000"/>
                <w:sz w:val="18"/>
              </w:rPr>
            </w:pPr>
            <w:r>
              <w:rPr>
                <w:rFonts w:hint="eastAsia" w:ascii="宋体" w:hAnsi="宋体"/>
                <w:color w:val="000000"/>
                <w:sz w:val="18"/>
              </w:rPr>
              <w:t>11.52</w:t>
            </w:r>
          </w:p>
        </w:tc>
      </w:tr>
      <w:tr w14:paraId="0FE8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trPr>
        <w:tc>
          <w:tcPr>
            <w:tcW w:w="681" w:type="dxa"/>
            <w:tcBorders>
              <w:top w:val="single" w:color="auto" w:sz="6" w:space="0"/>
              <w:left w:val="single" w:color="auto" w:sz="6" w:space="0"/>
              <w:bottom w:val="single" w:color="auto" w:sz="6" w:space="0"/>
              <w:right w:val="single" w:color="auto" w:sz="6" w:space="0"/>
              <w:tl2br w:val="nil"/>
              <w:tr2bl w:val="nil"/>
            </w:tcBorders>
            <w:vAlign w:val="center"/>
          </w:tcPr>
          <w:p w14:paraId="566E0F0B">
            <w:pPr>
              <w:spacing w:beforeLines="0" w:afterLines="0"/>
              <w:ind w:firstLine="180" w:firstLineChars="100"/>
              <w:jc w:val="both"/>
              <w:rPr>
                <w:rFonts w:hint="eastAsia" w:ascii="宋体" w:hAnsi="宋体"/>
                <w:color w:val="000000"/>
                <w:sz w:val="18"/>
              </w:rPr>
            </w:pPr>
            <w:r>
              <w:rPr>
                <w:rFonts w:hint="eastAsia" w:ascii="宋体" w:hAnsi="宋体"/>
                <w:color w:val="000000"/>
                <w:sz w:val="18"/>
              </w:rPr>
              <w:t>2</w:t>
            </w:r>
          </w:p>
        </w:tc>
        <w:tc>
          <w:tcPr>
            <w:tcW w:w="1165" w:type="dxa"/>
            <w:tcBorders>
              <w:top w:val="single" w:color="auto" w:sz="6" w:space="0"/>
              <w:left w:val="single" w:color="auto" w:sz="6" w:space="0"/>
              <w:bottom w:val="single" w:color="auto" w:sz="6" w:space="0"/>
              <w:right w:val="single" w:color="auto" w:sz="6" w:space="0"/>
              <w:tl2br w:val="nil"/>
              <w:tr2bl w:val="nil"/>
            </w:tcBorders>
            <w:vAlign w:val="center"/>
          </w:tcPr>
          <w:p w14:paraId="457F0CC8">
            <w:pPr>
              <w:spacing w:beforeLines="0" w:afterLines="0"/>
              <w:jc w:val="center"/>
              <w:rPr>
                <w:rFonts w:hint="eastAsia" w:ascii="宋体" w:hAnsi="宋体"/>
                <w:color w:val="000000"/>
                <w:sz w:val="18"/>
              </w:rPr>
            </w:pPr>
            <w:r>
              <w:rPr>
                <w:rFonts w:hint="eastAsia" w:ascii="宋体" w:hAnsi="宋体"/>
                <w:color w:val="000000"/>
                <w:sz w:val="18"/>
              </w:rPr>
              <w:t>LED全彩显示屏</w:t>
            </w:r>
          </w:p>
          <w:p w14:paraId="4EAF466A">
            <w:pPr>
              <w:spacing w:beforeLines="0" w:afterLines="0"/>
              <w:jc w:val="center"/>
              <w:rPr>
                <w:rFonts w:hint="eastAsia" w:ascii="宋体" w:hAnsi="宋体"/>
                <w:color w:val="000000"/>
                <w:sz w:val="18"/>
              </w:rPr>
            </w:pPr>
            <w:r>
              <w:rPr>
                <w:rFonts w:hint="eastAsia" w:ascii="宋体" w:hAnsi="宋体"/>
                <w:color w:val="000000"/>
                <w:sz w:val="18"/>
              </w:rPr>
              <w:t>(室内2块)</w:t>
            </w:r>
          </w:p>
        </w:tc>
        <w:tc>
          <w:tcPr>
            <w:tcW w:w="12217" w:type="dxa"/>
            <w:tcBorders>
              <w:top w:val="single" w:color="auto" w:sz="6" w:space="0"/>
              <w:left w:val="single" w:color="auto" w:sz="6" w:space="0"/>
              <w:bottom w:val="single" w:color="auto" w:sz="6" w:space="0"/>
              <w:right w:val="single" w:color="auto" w:sz="6" w:space="0"/>
              <w:tl2br w:val="nil"/>
              <w:tr2bl w:val="nil"/>
            </w:tcBorders>
            <w:vAlign w:val="center"/>
          </w:tcPr>
          <w:p w14:paraId="203BA314">
            <w:pPr>
              <w:spacing w:beforeLines="0" w:afterLines="0"/>
              <w:jc w:val="both"/>
              <w:rPr>
                <w:rFonts w:hint="eastAsia" w:ascii="宋体" w:hAnsi="宋体"/>
                <w:color w:val="000000"/>
                <w:sz w:val="18"/>
              </w:rPr>
            </w:pPr>
            <w:r>
              <w:rPr>
                <w:rFonts w:hint="eastAsia" w:ascii="宋体" w:hAnsi="宋体"/>
                <w:color w:val="000000"/>
                <w:sz w:val="18"/>
              </w:rPr>
              <w:t>显示屏1尺寸：≥3.2m*1.92m、显示屏2尺寸≥1.6m×1.6m</w:t>
            </w:r>
          </w:p>
          <w:p w14:paraId="2428FFC2">
            <w:pPr>
              <w:numPr>
                <w:ilvl w:val="0"/>
                <w:numId w:val="4"/>
              </w:numPr>
              <w:spacing w:beforeLines="0" w:afterLines="0"/>
              <w:jc w:val="both"/>
              <w:rPr>
                <w:rFonts w:hint="eastAsia" w:ascii="宋体" w:hAnsi="宋体"/>
                <w:color w:val="000000"/>
                <w:sz w:val="18"/>
              </w:rPr>
            </w:pPr>
            <w:r>
              <w:rPr>
                <w:rFonts w:hint="eastAsia" w:ascii="宋体" w:hAnsi="宋体"/>
                <w:color w:val="000000"/>
                <w:sz w:val="18"/>
              </w:rPr>
              <w:t>基本参数：</w:t>
            </w:r>
          </w:p>
          <w:p w14:paraId="071B3719">
            <w:pPr>
              <w:numPr>
                <w:ilvl w:val="0"/>
                <w:numId w:val="5"/>
              </w:numPr>
              <w:spacing w:beforeLines="0" w:afterLines="0"/>
              <w:jc w:val="both"/>
              <w:rPr>
                <w:rFonts w:hint="eastAsia" w:ascii="宋体" w:hAnsi="宋体"/>
                <w:color w:val="000000"/>
                <w:sz w:val="18"/>
              </w:rPr>
            </w:pPr>
            <w:r>
              <w:rPr>
                <w:rFonts w:hint="eastAsia" w:ascii="宋体" w:hAnsi="宋体"/>
                <w:color w:val="000000"/>
                <w:sz w:val="18"/>
              </w:rPr>
              <w:t>像素间距：≤1.86mm；</w:t>
            </w:r>
          </w:p>
          <w:p w14:paraId="4C88B773">
            <w:pPr>
              <w:numPr>
                <w:ilvl w:val="0"/>
                <w:numId w:val="5"/>
              </w:numPr>
              <w:spacing w:beforeLines="0" w:afterLines="0"/>
              <w:jc w:val="both"/>
              <w:rPr>
                <w:rFonts w:hint="eastAsia" w:ascii="宋体" w:hAnsi="宋体"/>
                <w:color w:val="000000"/>
                <w:sz w:val="18"/>
              </w:rPr>
            </w:pPr>
            <w:r>
              <w:rPr>
                <w:rFonts w:hint="eastAsia" w:ascii="宋体" w:hAnsi="宋体"/>
                <w:color w:val="000000"/>
                <w:sz w:val="18"/>
              </w:rPr>
              <w:t>点密度：289051点/ m²；</w:t>
            </w:r>
          </w:p>
          <w:p w14:paraId="751E02BA">
            <w:pPr>
              <w:numPr>
                <w:ilvl w:val="0"/>
                <w:numId w:val="5"/>
              </w:numPr>
              <w:spacing w:beforeLines="0" w:afterLines="0"/>
              <w:jc w:val="both"/>
              <w:rPr>
                <w:rFonts w:hint="eastAsia" w:ascii="宋体" w:hAnsi="宋体"/>
                <w:color w:val="000000"/>
                <w:sz w:val="18"/>
              </w:rPr>
            </w:pPr>
            <w:r>
              <w:rPr>
                <w:rFonts w:hint="eastAsia" w:ascii="宋体" w:hAnsi="宋体"/>
                <w:color w:val="000000"/>
                <w:sz w:val="18"/>
              </w:rPr>
              <w:t>LED灯种类：SMD1515；</w:t>
            </w:r>
          </w:p>
          <w:p w14:paraId="468A3F99">
            <w:pPr>
              <w:numPr>
                <w:ilvl w:val="0"/>
                <w:numId w:val="5"/>
              </w:numPr>
              <w:spacing w:beforeLines="0" w:afterLines="0"/>
              <w:jc w:val="both"/>
              <w:rPr>
                <w:rFonts w:hint="eastAsia" w:ascii="宋体" w:hAnsi="宋体"/>
                <w:color w:val="000000"/>
                <w:sz w:val="18"/>
              </w:rPr>
            </w:pPr>
            <w:r>
              <w:rPr>
                <w:rFonts w:hint="eastAsia" w:ascii="宋体" w:hAnsi="宋体"/>
                <w:color w:val="000000"/>
                <w:sz w:val="18"/>
              </w:rPr>
              <w:t>像素点组成：1R1G1B；</w:t>
            </w:r>
          </w:p>
          <w:p w14:paraId="5B85A166">
            <w:pPr>
              <w:numPr>
                <w:ilvl w:val="0"/>
                <w:numId w:val="5"/>
              </w:numPr>
              <w:spacing w:beforeLines="0" w:afterLines="0"/>
              <w:jc w:val="both"/>
              <w:rPr>
                <w:rFonts w:hint="eastAsia" w:ascii="宋体" w:hAnsi="宋体"/>
                <w:color w:val="000000"/>
                <w:sz w:val="18"/>
              </w:rPr>
            </w:pPr>
            <w:r>
              <w:rPr>
                <w:rFonts w:hint="eastAsia" w:ascii="宋体" w:hAnsi="宋体"/>
                <w:color w:val="000000"/>
                <w:sz w:val="18"/>
              </w:rPr>
              <w:t>模组尺寸：320mm×160mm；</w:t>
            </w:r>
          </w:p>
          <w:p w14:paraId="0609C746">
            <w:pPr>
              <w:numPr>
                <w:ilvl w:val="0"/>
                <w:numId w:val="5"/>
              </w:numPr>
              <w:spacing w:beforeLines="0" w:afterLines="0"/>
              <w:jc w:val="both"/>
              <w:rPr>
                <w:rFonts w:hint="eastAsia" w:ascii="宋体" w:hAnsi="宋体"/>
                <w:color w:val="000000"/>
                <w:sz w:val="18"/>
              </w:rPr>
            </w:pPr>
            <w:r>
              <w:rPr>
                <w:rFonts w:hint="eastAsia" w:ascii="宋体" w:hAnsi="宋体"/>
                <w:color w:val="000000"/>
                <w:sz w:val="18"/>
              </w:rPr>
              <w:t>模组分辨率：172×86；</w:t>
            </w:r>
          </w:p>
          <w:p w14:paraId="55D0AEAF">
            <w:pPr>
              <w:numPr>
                <w:ilvl w:val="0"/>
                <w:numId w:val="5"/>
              </w:numPr>
              <w:spacing w:beforeLines="0" w:afterLines="0"/>
              <w:jc w:val="both"/>
              <w:rPr>
                <w:rFonts w:hint="eastAsia" w:ascii="宋体" w:hAnsi="宋体"/>
                <w:color w:val="000000"/>
                <w:sz w:val="18"/>
              </w:rPr>
            </w:pPr>
            <w:r>
              <w:rPr>
                <w:rFonts w:hint="eastAsia" w:ascii="宋体" w:hAnsi="宋体"/>
                <w:color w:val="000000"/>
                <w:sz w:val="18"/>
              </w:rPr>
              <w:t>安装方式：模组磁吸</w:t>
            </w:r>
            <w:r>
              <w:rPr>
                <w:rFonts w:hint="eastAsia" w:ascii="宋体" w:hAnsi="宋体" w:eastAsia="宋体"/>
                <w:color w:val="000000"/>
                <w:sz w:val="18"/>
                <w:lang w:eastAsia="zh-CN"/>
              </w:rPr>
              <w:t>；</w:t>
            </w:r>
          </w:p>
          <w:p w14:paraId="159E6B37">
            <w:pPr>
              <w:numPr>
                <w:ilvl w:val="0"/>
                <w:numId w:val="5"/>
              </w:numPr>
              <w:spacing w:beforeLines="0" w:afterLines="0"/>
              <w:jc w:val="both"/>
              <w:rPr>
                <w:rFonts w:hint="eastAsia" w:ascii="宋体" w:hAnsi="宋体"/>
                <w:color w:val="000000"/>
                <w:sz w:val="18"/>
              </w:rPr>
            </w:pPr>
            <w:r>
              <w:rPr>
                <w:rFonts w:hint="eastAsia" w:ascii="宋体" w:hAnsi="宋体"/>
                <w:color w:val="000000"/>
                <w:sz w:val="18"/>
              </w:rPr>
              <w:t>维护方式：前/后维护；</w:t>
            </w:r>
          </w:p>
          <w:p w14:paraId="71833F9B">
            <w:pPr>
              <w:numPr>
                <w:ilvl w:val="0"/>
                <w:numId w:val="5"/>
              </w:numPr>
              <w:spacing w:beforeLines="0" w:afterLines="0"/>
              <w:jc w:val="both"/>
              <w:rPr>
                <w:rFonts w:hint="eastAsia" w:ascii="宋体" w:hAnsi="宋体"/>
                <w:color w:val="000000"/>
                <w:sz w:val="18"/>
              </w:rPr>
            </w:pPr>
            <w:r>
              <w:rPr>
                <w:rFonts w:hint="eastAsia" w:ascii="宋体" w:hAnsi="宋体"/>
                <w:color w:val="000000"/>
                <w:sz w:val="18"/>
              </w:rPr>
              <w:t>屏幕纯显示面积：</w:t>
            </w:r>
            <w:r>
              <w:rPr>
                <w:rFonts w:hint="eastAsia" w:ascii="宋体" w:hAnsi="宋体" w:eastAsia="宋体"/>
                <w:color w:val="000000"/>
                <w:sz w:val="18"/>
                <w:lang w:eastAsia="zh-CN"/>
              </w:rPr>
              <w:t>（</w:t>
            </w:r>
            <w:r>
              <w:rPr>
                <w:rFonts w:hint="eastAsia" w:ascii="宋体" w:hAnsi="宋体" w:eastAsia="宋体"/>
                <w:color w:val="000000"/>
                <w:sz w:val="18"/>
                <w:lang w:val="en-US" w:eastAsia="zh-CN"/>
              </w:rPr>
              <w:t>1</w:t>
            </w:r>
            <w:r>
              <w:rPr>
                <w:rFonts w:hint="eastAsia" w:ascii="宋体" w:hAnsi="宋体" w:eastAsia="宋体"/>
                <w:color w:val="000000"/>
                <w:sz w:val="18"/>
                <w:lang w:eastAsia="zh-CN"/>
              </w:rPr>
              <w:t>）</w:t>
            </w:r>
            <w:r>
              <w:rPr>
                <w:rFonts w:hint="eastAsia" w:ascii="宋体" w:hAnsi="宋体"/>
                <w:color w:val="000000"/>
                <w:sz w:val="18"/>
              </w:rPr>
              <w:t>屏1：≥3.2m×1.92m=6.144㎡；</w:t>
            </w:r>
            <w:r>
              <w:rPr>
                <w:rFonts w:hint="eastAsia" w:ascii="宋体" w:hAnsi="宋体" w:eastAsia="宋体"/>
                <w:color w:val="000000"/>
                <w:sz w:val="18"/>
                <w:lang w:eastAsia="zh-CN"/>
              </w:rPr>
              <w:t>（</w:t>
            </w:r>
            <w:r>
              <w:rPr>
                <w:rFonts w:hint="eastAsia" w:ascii="宋体" w:hAnsi="宋体" w:eastAsia="宋体"/>
                <w:color w:val="000000"/>
                <w:sz w:val="18"/>
                <w:lang w:val="en-US" w:eastAsia="zh-CN"/>
              </w:rPr>
              <w:t>2</w:t>
            </w:r>
            <w:r>
              <w:rPr>
                <w:rFonts w:hint="eastAsia" w:ascii="宋体" w:hAnsi="宋体" w:eastAsia="宋体"/>
                <w:color w:val="000000"/>
                <w:sz w:val="18"/>
                <w:lang w:eastAsia="zh-CN"/>
              </w:rPr>
              <w:t>）</w:t>
            </w:r>
            <w:r>
              <w:rPr>
                <w:rFonts w:hint="eastAsia" w:ascii="宋体" w:hAnsi="宋体"/>
                <w:color w:val="000000"/>
                <w:sz w:val="18"/>
              </w:rPr>
              <w:t>屏2：≥1.6m×1.6m=2.56㎡；</w:t>
            </w:r>
          </w:p>
          <w:p w14:paraId="7DF45B7D">
            <w:pPr>
              <w:numPr>
                <w:ilvl w:val="0"/>
                <w:numId w:val="0"/>
              </w:numPr>
              <w:spacing w:beforeLines="0" w:afterLines="0"/>
              <w:jc w:val="both"/>
              <w:rPr>
                <w:rFonts w:hint="eastAsia" w:ascii="宋体" w:hAnsi="宋体"/>
                <w:color w:val="000000"/>
                <w:sz w:val="18"/>
              </w:rPr>
            </w:pPr>
            <w:r>
              <w:rPr>
                <w:rFonts w:hint="eastAsia" w:ascii="宋体" w:hAnsi="宋体" w:eastAsia="宋体"/>
                <w:color w:val="000000"/>
                <w:sz w:val="18"/>
                <w:lang w:val="en-US" w:eastAsia="zh-CN"/>
              </w:rPr>
              <w:t>10</w:t>
            </w:r>
            <w:r>
              <w:rPr>
                <w:rFonts w:hint="eastAsia" w:ascii="宋体" w:hAnsi="宋体"/>
                <w:color w:val="000000"/>
                <w:sz w:val="18"/>
              </w:rPr>
              <w:t>、屏幕分辨率：屏1≥1720×1032=1775040(像素点)；   屏2：≥  860×860 =739600 (像素点)</w:t>
            </w:r>
          </w:p>
          <w:p w14:paraId="6462C15E">
            <w:pPr>
              <w:spacing w:beforeLines="0" w:afterLines="0"/>
              <w:jc w:val="both"/>
              <w:rPr>
                <w:rFonts w:hint="eastAsia" w:ascii="宋体" w:hAnsi="宋体"/>
                <w:color w:val="000000"/>
                <w:sz w:val="18"/>
              </w:rPr>
            </w:pPr>
            <w:r>
              <w:rPr>
                <w:rFonts w:hint="eastAsia" w:ascii="宋体" w:hAnsi="宋体"/>
                <w:color w:val="000000"/>
                <w:sz w:val="18"/>
              </w:rPr>
              <w:t>二、主要技术参数：</w:t>
            </w:r>
          </w:p>
          <w:p w14:paraId="76B365CE">
            <w:pPr>
              <w:spacing w:beforeLines="0" w:afterLines="0"/>
              <w:jc w:val="both"/>
              <w:rPr>
                <w:rFonts w:hint="eastAsia" w:ascii="宋体" w:hAnsi="宋体"/>
                <w:color w:val="000000"/>
                <w:sz w:val="18"/>
              </w:rPr>
            </w:pPr>
            <w:r>
              <w:rPr>
                <w:rFonts w:hint="eastAsia" w:ascii="宋体" w:hAnsi="宋体"/>
                <w:color w:val="000000"/>
                <w:sz w:val="18"/>
              </w:rPr>
              <w:t>▲1、模组间相对错位均值：≤0.1mm；平均失效间隔工作时间：MTBF≥100000h；平均故障恢复时间：MTTR＜3分钟； LED显示屏能效：GB21520-2015，能效一级；能源效率≥3.2cd/w；</w:t>
            </w:r>
          </w:p>
          <w:p w14:paraId="1F324B76">
            <w:pPr>
              <w:spacing w:beforeLines="0" w:afterLines="0"/>
              <w:jc w:val="both"/>
              <w:rPr>
                <w:rFonts w:hint="eastAsia" w:ascii="宋体" w:hAnsi="宋体"/>
                <w:color w:val="000000"/>
                <w:sz w:val="18"/>
              </w:rPr>
            </w:pPr>
            <w:r>
              <w:rPr>
                <w:rFonts w:hint="eastAsia" w:ascii="宋体" w:hAnsi="宋体"/>
                <w:color w:val="000000"/>
                <w:sz w:val="18"/>
              </w:rPr>
              <w:t>▲2、像素失控率等级:整屏像素失控率符合SJ/T 11141-2017标准C级;PZ≤1×10-6 ，区域像素失控率符合SJ/T 11141-2017标准 C级;PQ≤1×10-6；干扰光：符合 GB/T36101-2018LED 显示屏干扰光标准 LED 显示屏亮度的限值规定；</w:t>
            </w:r>
          </w:p>
          <w:p w14:paraId="61BB78C7">
            <w:pPr>
              <w:spacing w:beforeLines="0" w:afterLines="0"/>
              <w:jc w:val="both"/>
              <w:rPr>
                <w:rFonts w:hint="eastAsia" w:ascii="宋体" w:hAnsi="宋体"/>
                <w:color w:val="000000"/>
                <w:sz w:val="18"/>
              </w:rPr>
            </w:pPr>
            <w:r>
              <w:rPr>
                <w:rFonts w:hint="eastAsia" w:ascii="宋体" w:hAnsi="宋体"/>
                <w:color w:val="000000"/>
                <w:sz w:val="18"/>
              </w:rPr>
              <w:t>▲3、监控自检技术：可实现 LED 单点检测、通讯检测、温度检测，电源检测，温度监控等功能；供电要求：供电要求100-240VAC±10%，符合双供电技术；静电电压衰减：（±1000V-±100V）≤2s）;电气防护：LED显示屏通过过流、断路、短路、过压、欠压、超温、超负荷、断电等测试；</w:t>
            </w:r>
          </w:p>
          <w:p w14:paraId="07FED89A">
            <w:pPr>
              <w:spacing w:beforeLines="0" w:afterLines="0"/>
              <w:jc w:val="both"/>
              <w:rPr>
                <w:rFonts w:hint="eastAsia" w:ascii="宋体" w:hAnsi="宋体"/>
                <w:color w:val="000000"/>
                <w:sz w:val="18"/>
              </w:rPr>
            </w:pPr>
            <w:r>
              <w:rPr>
                <w:rFonts w:hint="eastAsia" w:ascii="宋体" w:hAnsi="宋体"/>
                <w:color w:val="000000"/>
                <w:sz w:val="18"/>
              </w:rPr>
              <w:t>▲4、HDR显示技术：依据CESI/TS 008-2019标准，支持HDR高动态光照渲染技术符合要求；摩尔纹抑制功能：显示屏支持抑制摩尔纹功能，减轻摩尔纹视觉主观效果 80%；逐点校正功能：支持单点亮度色度校正功能，校正后亮度损失＜8%；色准：△E≤0.9；</w:t>
            </w:r>
          </w:p>
          <w:p w14:paraId="7D5DFB17">
            <w:pPr>
              <w:spacing w:beforeLines="0" w:afterLines="0"/>
              <w:jc w:val="both"/>
              <w:rPr>
                <w:rFonts w:hint="eastAsia" w:ascii="宋体" w:hAnsi="宋体"/>
                <w:color w:val="000000"/>
                <w:sz w:val="18"/>
              </w:rPr>
            </w:pPr>
            <w:r>
              <w:rPr>
                <w:rFonts w:hint="eastAsia" w:ascii="宋体" w:hAnsi="宋体"/>
                <w:color w:val="000000"/>
                <w:sz w:val="18"/>
              </w:rPr>
              <w:t>▲5、低灰高亮：100%亮度时，16bit灰度；70%亮度时，16bit灰度；50%亮度时，13bit灰度；20%亮度时，12bit灰度；低亮高灰：支持PWM灰阶控制技术提升低灰视觉效果;支持软件实现不同亮度情况下灰度8-18bit任意设置0-100%亮度时，8-16bits任意灰度设置；</w:t>
            </w:r>
          </w:p>
          <w:p w14:paraId="552AB0F4">
            <w:pPr>
              <w:spacing w:beforeLines="0" w:afterLines="0"/>
              <w:jc w:val="both"/>
              <w:rPr>
                <w:rFonts w:hint="eastAsia" w:ascii="宋体" w:hAnsi="宋体"/>
                <w:color w:val="000000"/>
                <w:sz w:val="18"/>
              </w:rPr>
            </w:pPr>
            <w:r>
              <w:rPr>
                <w:rFonts w:hint="eastAsia" w:ascii="宋体" w:hAnsi="宋体"/>
                <w:color w:val="000000"/>
                <w:sz w:val="18"/>
              </w:rPr>
              <w:t>▲6、自动 GAMMA 校正技术设置：支持自动GAMMA校正技术，通过构造非线性校正曲线和色坐标变换系数矩阵实现了显示效果的不断改善，各项重要指标如色彩还原性、色温调节范围、亮度均匀性、色度均匀性、刷新率、换帧频率等，均符合广电级标准；</w:t>
            </w:r>
          </w:p>
          <w:p w14:paraId="230043D5">
            <w:pPr>
              <w:spacing w:beforeLines="0" w:afterLines="0"/>
              <w:jc w:val="both"/>
              <w:rPr>
                <w:rFonts w:hint="eastAsia" w:ascii="宋体" w:hAnsi="宋体"/>
                <w:color w:val="000000"/>
                <w:sz w:val="18"/>
              </w:rPr>
            </w:pPr>
            <w:r>
              <w:rPr>
                <w:rFonts w:hint="eastAsia" w:ascii="宋体" w:hAnsi="宋体"/>
                <w:color w:val="000000"/>
                <w:sz w:val="18"/>
              </w:rPr>
              <w:t>▲7、视角：水平视角≥173°垂直视角≥171°；发光点中心距偏差：≤1% ；像素中心距相对偏差等级：JX≤3%；寿命典型值：≥120000；力学性能：拉伸强度≥220Pa，屈服强度≥192Pa，纵向拉升承载力≥2吨，横向拉升承载力≥2吨；</w:t>
            </w:r>
          </w:p>
          <w:p w14:paraId="4304EA3A">
            <w:pPr>
              <w:spacing w:beforeLines="0" w:afterLines="0"/>
              <w:jc w:val="both"/>
              <w:rPr>
                <w:rFonts w:hint="eastAsia" w:ascii="宋体" w:hAnsi="宋体"/>
                <w:color w:val="000000"/>
                <w:sz w:val="18"/>
              </w:rPr>
            </w:pPr>
            <w:r>
              <w:rPr>
                <w:rFonts w:hint="eastAsia" w:ascii="宋体" w:hAnsi="宋体"/>
                <w:color w:val="000000"/>
                <w:sz w:val="18"/>
              </w:rPr>
              <w:t>▲8、色域空间：LED显示屏Color Space覆盖率≥122% YIQ（NTSC），LED显示屏Color Space覆盖率≥172% YUV（PAL）合格； 色温及色温误差：白平衡6500K±5%（1000K至20000K可调），色温为6500K时，100%，75%，50%，25%四挡电平白场调节色温误差≤180K；</w:t>
            </w:r>
          </w:p>
          <w:p w14:paraId="59638E5B">
            <w:pPr>
              <w:spacing w:beforeLines="0" w:afterLines="0"/>
              <w:jc w:val="both"/>
              <w:rPr>
                <w:rFonts w:hint="eastAsia" w:ascii="宋体" w:hAnsi="宋体"/>
                <w:color w:val="000000"/>
                <w:sz w:val="18"/>
              </w:rPr>
            </w:pPr>
            <w:r>
              <w:rPr>
                <w:rFonts w:hint="eastAsia" w:ascii="宋体" w:hAnsi="宋体"/>
                <w:color w:val="000000"/>
                <w:sz w:val="18"/>
              </w:rPr>
              <w:t>▲9、温升：按GB4943.1-2011的规定进行，LED显示屏在满负荷工作30min后用测温计测试各可触及点温度，LED显示屏正常使用时在达到热平衡后，屏体结构的金属部分的温升应不超过35K，绝缘材料温升应不超过35K；灯珠推力测试：随机选择LED灯珠，在灯珠四侧以水平夹角45°的方向施加推力12N，灯珠未破碎或脱落；</w:t>
            </w:r>
          </w:p>
          <w:p w14:paraId="652F460A">
            <w:pPr>
              <w:spacing w:beforeLines="0" w:afterLines="0"/>
              <w:jc w:val="both"/>
              <w:rPr>
                <w:rFonts w:hint="eastAsia" w:ascii="宋体" w:hAnsi="宋体"/>
                <w:color w:val="000000"/>
                <w:sz w:val="18"/>
              </w:rPr>
            </w:pPr>
            <w:r>
              <w:rPr>
                <w:rFonts w:hint="eastAsia" w:ascii="宋体" w:hAnsi="宋体"/>
                <w:color w:val="000000"/>
                <w:sz w:val="18"/>
              </w:rPr>
              <w:t>▲10、拼缝亮线暗线校正：从控制系统和结构设计两方面消除亮、暗线，彻底改善困扰LED显示屏安装精度造成的亮、暗线问题；亮度均匀性及鉴别等级：符合 SJ/T 11141-2017 标准 C 级；IGU≥99%，按照SJ/T 11141-2017 5.10.6规定：C级；BJ≥23；</w:t>
            </w:r>
          </w:p>
          <w:p w14:paraId="7F229F48">
            <w:pPr>
              <w:spacing w:beforeLines="0" w:afterLines="0"/>
              <w:jc w:val="both"/>
              <w:rPr>
                <w:rFonts w:hint="eastAsia" w:ascii="宋体" w:hAnsi="宋体"/>
                <w:color w:val="000000"/>
                <w:sz w:val="18"/>
              </w:rPr>
            </w:pPr>
            <w:r>
              <w:rPr>
                <w:rFonts w:hint="eastAsia" w:ascii="宋体" w:hAnsi="宋体"/>
                <w:color w:val="000000"/>
                <w:sz w:val="18"/>
              </w:rPr>
              <w:t>▲11、防眩光设计：采用黑色防眩光设计，防止炫光影响可提升视觉观感；视觉舒适度：（VICO 指数）范围在 0-1 级，满足CSA035.2-2017 标准；</w:t>
            </w:r>
          </w:p>
          <w:p w14:paraId="5C7B300B">
            <w:pPr>
              <w:spacing w:beforeLines="0" w:afterLines="0"/>
              <w:jc w:val="both"/>
              <w:rPr>
                <w:rFonts w:hint="eastAsia" w:ascii="宋体" w:hAnsi="宋体"/>
                <w:color w:val="000000"/>
                <w:sz w:val="18"/>
              </w:rPr>
            </w:pPr>
            <w:r>
              <w:rPr>
                <w:rFonts w:hint="eastAsia" w:ascii="宋体" w:hAnsi="宋体"/>
                <w:color w:val="000000"/>
                <w:sz w:val="18"/>
              </w:rPr>
              <w:t>▲12、热插拔维护：LED 显示屏支持不关屏热插拔抢修维护功能；稳定性试验：设备在正常工作条件下，连续工作168h，不应出现电、机械或操作系统的故障；掉电存储功能：支持掉电存储功能，不丢失数据，上电自动恢复，无需重复配置；</w:t>
            </w:r>
          </w:p>
          <w:p w14:paraId="5C9D07AA">
            <w:pPr>
              <w:spacing w:beforeLines="0" w:afterLines="0"/>
              <w:jc w:val="both"/>
              <w:rPr>
                <w:rFonts w:hint="eastAsia" w:ascii="宋体" w:hAnsi="宋体"/>
                <w:color w:val="000000"/>
                <w:sz w:val="18"/>
              </w:rPr>
            </w:pPr>
            <w:r>
              <w:rPr>
                <w:rFonts w:hint="eastAsia" w:ascii="宋体" w:hAnsi="宋体"/>
                <w:color w:val="000000"/>
                <w:sz w:val="18"/>
              </w:rPr>
              <w:t>▲13、跌落测试：按GB/T2423.7-2018，样品处于自由状态下,检测面跌落、角跌落。倾跌与翻倒、自由跌落、弹跳跌落；内部线材：使用低烟无卤素环保线材；多层印刷电路板：支持2层，4层，6层，8层，10层设计；</w:t>
            </w:r>
          </w:p>
          <w:p w14:paraId="3D76C4C3">
            <w:pPr>
              <w:spacing w:beforeLines="0" w:afterLines="0"/>
              <w:jc w:val="both"/>
              <w:rPr>
                <w:rFonts w:hint="eastAsia" w:ascii="宋体" w:hAnsi="宋体"/>
                <w:color w:val="000000"/>
                <w:sz w:val="18"/>
              </w:rPr>
            </w:pPr>
            <w:r>
              <w:rPr>
                <w:rFonts w:hint="eastAsia" w:ascii="宋体" w:hAnsi="宋体"/>
                <w:color w:val="000000"/>
                <w:sz w:val="18"/>
              </w:rPr>
              <w:t>▲14、信号传输：采用数字化网络传输技术或标准化HDCP传输技术，支持Tyte-C接口、光纤接口或者HDCP 协议的接口实现5G大带载带宽传输；维护方式：前维护，模组与单元箱体间采用磁吸固定方式；</w:t>
            </w:r>
          </w:p>
          <w:p w14:paraId="3A6EF636">
            <w:pPr>
              <w:spacing w:beforeLines="0" w:afterLines="0"/>
              <w:jc w:val="both"/>
              <w:rPr>
                <w:rFonts w:hint="eastAsia" w:ascii="宋体" w:hAnsi="宋体"/>
                <w:color w:val="000000"/>
                <w:sz w:val="18"/>
              </w:rPr>
            </w:pPr>
            <w:r>
              <w:rPr>
                <w:rFonts w:hint="eastAsia" w:ascii="宋体" w:hAnsi="宋体"/>
                <w:color w:val="000000"/>
                <w:sz w:val="18"/>
              </w:rPr>
              <w:t>▲15、多点测温：具有多点测温系统，均衡散热，防止局部温度过高造成色彩漂移，并提高显示屏寿命；一键点屏：支持一键点屏技术，开机后自动识别连接，无需重新系统配置；一键调试：支持联网一键下载程序文件和调试；SELV电路：具备SELV电路；防碰撞：具备防撞碰焊盘技术LED，支持模组级LED灯防撞灯保护装置，符合GB/T20138-2006/IEC62262-2002要求；</w:t>
            </w:r>
          </w:p>
          <w:p w14:paraId="3B87E9B4">
            <w:pPr>
              <w:spacing w:beforeLines="0" w:afterLines="0"/>
              <w:jc w:val="both"/>
              <w:rPr>
                <w:rFonts w:hint="eastAsia" w:ascii="宋体" w:hAnsi="宋体"/>
                <w:color w:val="000000"/>
                <w:sz w:val="18"/>
              </w:rPr>
            </w:pPr>
            <w:r>
              <w:rPr>
                <w:rFonts w:hint="eastAsia" w:ascii="宋体" w:hAnsi="宋体"/>
                <w:color w:val="000000"/>
                <w:sz w:val="18"/>
              </w:rPr>
              <w:t>▲16、驱动芯片功能：具有列下消隐功能，倍频刷新率提升2/4/8/16，低灰偏色改善；电流增益调节级别、电流增益：≥8位，电流增益调节范围1%~199%；显示模组运输试验：按GB/T6587-2012中5.10.1.3的流通条件登记3级对显示模组进行；PCB电路设计：PCB采用FR-4材质，灯驱合一，电路及表面处理采用双层板OSP工艺；</w:t>
            </w:r>
          </w:p>
          <w:p w14:paraId="25E324EA">
            <w:pPr>
              <w:spacing w:beforeLines="0" w:afterLines="0"/>
              <w:jc w:val="left"/>
              <w:rPr>
                <w:rFonts w:hint="eastAsia" w:ascii="宋体" w:hAnsi="宋体"/>
                <w:color w:val="000000"/>
                <w:sz w:val="18"/>
              </w:rPr>
            </w:pPr>
            <w:r>
              <w:rPr>
                <w:rFonts w:hint="eastAsia" w:ascii="宋体" w:hAnsi="宋体"/>
                <w:color w:val="000000"/>
                <w:sz w:val="18"/>
              </w:rPr>
              <w:t>▲17、动态节能：带有智能节电功能、带电黑屏节电功能，开启智能节电功能比没有开启节能45%以上；宽动态处理：具有H2S 宽动态处理技术，解决主控机二次重复播放时的衰减等现象；一体化控制平台:一体化控制平台，模块化统一管理，可针对LED显示模块进行统一管理，设置亮度、色温、灰度等参数；                                                                                                                                                                                                                     ▲18、抗震等级：符合模拟九级地震试验（抗震等级＞9级GB/T17742-2020中国地震烈度表）：盐雾试验：盐雾10级；模组机械强度：≥25MP；脱机显示：支持脱机无信号下显示预制画面信息、画面轮询，永不黑屏；</w:t>
            </w:r>
          </w:p>
          <w:p w14:paraId="5F4638D1">
            <w:pPr>
              <w:spacing w:beforeLines="0" w:afterLines="0"/>
              <w:jc w:val="both"/>
              <w:rPr>
                <w:rFonts w:hint="eastAsia" w:ascii="宋体" w:hAnsi="宋体"/>
                <w:color w:val="000000"/>
                <w:sz w:val="18"/>
              </w:rPr>
            </w:pP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2512A907">
            <w:pPr>
              <w:spacing w:beforeLines="0" w:afterLines="0"/>
              <w:jc w:val="center"/>
              <w:rPr>
                <w:rFonts w:hint="eastAsia" w:ascii="宋体" w:hAnsi="宋体"/>
                <w:color w:val="000000"/>
                <w:sz w:val="18"/>
              </w:rPr>
            </w:pPr>
            <w:r>
              <w:rPr>
                <w:rFonts w:hint="eastAsia" w:ascii="宋体" w:hAnsi="宋体"/>
                <w:color w:val="000000"/>
                <w:sz w:val="18"/>
              </w:rPr>
              <w:t>㎡</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5AACE9CD">
            <w:pPr>
              <w:spacing w:beforeLines="0" w:afterLines="0"/>
              <w:jc w:val="center"/>
              <w:rPr>
                <w:rFonts w:hint="eastAsia" w:ascii="宋体" w:hAnsi="宋体"/>
                <w:color w:val="000000"/>
                <w:sz w:val="18"/>
              </w:rPr>
            </w:pPr>
            <w:r>
              <w:rPr>
                <w:rFonts w:hint="eastAsia" w:ascii="宋体" w:hAnsi="宋体"/>
                <w:color w:val="000000"/>
                <w:sz w:val="18"/>
              </w:rPr>
              <w:t>8.7</w:t>
            </w:r>
          </w:p>
        </w:tc>
      </w:tr>
      <w:tr w14:paraId="0DA0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81"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A8D68CC">
            <w:pPr>
              <w:spacing w:beforeLines="0" w:afterLines="0"/>
              <w:ind w:firstLine="180" w:firstLineChars="100"/>
              <w:jc w:val="both"/>
              <w:rPr>
                <w:rFonts w:hint="eastAsia" w:ascii="宋体" w:hAnsi="宋体"/>
                <w:color w:val="000000"/>
                <w:sz w:val="18"/>
              </w:rPr>
            </w:pPr>
            <w:r>
              <w:rPr>
                <w:rFonts w:hint="eastAsia" w:ascii="宋体" w:hAnsi="宋体"/>
                <w:color w:val="000000"/>
                <w:sz w:val="18"/>
              </w:rPr>
              <w:t>3</w:t>
            </w:r>
          </w:p>
        </w:tc>
        <w:tc>
          <w:tcPr>
            <w:tcW w:w="116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5FD7E30">
            <w:pPr>
              <w:spacing w:beforeLines="0" w:afterLines="0"/>
              <w:jc w:val="center"/>
              <w:rPr>
                <w:rFonts w:hint="eastAsia" w:ascii="宋体" w:hAnsi="宋体"/>
                <w:color w:val="000000"/>
                <w:sz w:val="18"/>
              </w:rPr>
            </w:pPr>
            <w:r>
              <w:rPr>
                <w:rFonts w:hint="eastAsia" w:ascii="宋体" w:hAnsi="宋体"/>
                <w:color w:val="000000"/>
                <w:sz w:val="18"/>
              </w:rPr>
              <w:t>高清视频</w:t>
            </w:r>
          </w:p>
          <w:p w14:paraId="55E89A2A">
            <w:pPr>
              <w:spacing w:beforeLines="0" w:afterLines="0"/>
              <w:jc w:val="center"/>
              <w:rPr>
                <w:rFonts w:hint="eastAsia" w:ascii="宋体" w:hAnsi="宋体"/>
                <w:color w:val="000000"/>
                <w:sz w:val="18"/>
              </w:rPr>
            </w:pPr>
            <w:r>
              <w:rPr>
                <w:rFonts w:hint="eastAsia" w:ascii="宋体" w:hAnsi="宋体"/>
                <w:color w:val="000000"/>
                <w:sz w:val="18"/>
              </w:rPr>
              <w:t>控制器</w:t>
            </w:r>
          </w:p>
        </w:tc>
        <w:tc>
          <w:tcPr>
            <w:tcW w:w="1221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018B26F">
            <w:pPr>
              <w:spacing w:beforeLines="0" w:afterLines="0"/>
              <w:jc w:val="both"/>
              <w:rPr>
                <w:rFonts w:hint="eastAsia" w:ascii="宋体" w:hAnsi="宋体"/>
                <w:color w:val="000000"/>
                <w:sz w:val="18"/>
              </w:rPr>
            </w:pPr>
            <w:r>
              <w:rPr>
                <w:rFonts w:hint="eastAsia" w:ascii="宋体" w:hAnsi="宋体"/>
                <w:color w:val="000000"/>
                <w:sz w:val="18"/>
              </w:rPr>
              <w:t>▲1、支持6路千兆网口输出，支持显示屏输出画面缩放。宽度范围64-4096，高度范围64-1920，最大带载390w，支持自由走线，摆脱矩形带载限制</w:t>
            </w:r>
          </w:p>
          <w:p w14:paraId="7991EFA0">
            <w:pPr>
              <w:spacing w:beforeLines="0" w:afterLines="0"/>
              <w:jc w:val="both"/>
              <w:rPr>
                <w:rFonts w:hint="eastAsia" w:ascii="宋体" w:hAnsi="宋体"/>
                <w:color w:val="000000"/>
                <w:sz w:val="18"/>
              </w:rPr>
            </w:pPr>
            <w:r>
              <w:rPr>
                <w:rFonts w:hint="eastAsia" w:ascii="宋体" w:hAnsi="宋体"/>
                <w:color w:val="000000"/>
                <w:sz w:val="18"/>
              </w:rPr>
              <w:t>▲2、 硬件配置：4 核A55 ARM处理器 主频1.8GHz；板载2G运行内存，32G内部存储空间</w:t>
            </w:r>
          </w:p>
          <w:p w14:paraId="4DFA30C1">
            <w:pPr>
              <w:spacing w:beforeLines="0" w:afterLines="0"/>
              <w:jc w:val="both"/>
              <w:rPr>
                <w:rFonts w:hint="eastAsia" w:ascii="宋体" w:hAnsi="宋体"/>
                <w:color w:val="000000"/>
                <w:sz w:val="18"/>
              </w:rPr>
            </w:pPr>
            <w:r>
              <w:rPr>
                <w:rFonts w:hint="eastAsia" w:ascii="宋体" w:hAnsi="宋体"/>
                <w:color w:val="000000"/>
                <w:sz w:val="18"/>
              </w:rPr>
              <w:t>3、2路HDMI1.3输入，1路HDMI OUT输出</w:t>
            </w:r>
          </w:p>
          <w:p w14:paraId="0FDC2942">
            <w:pPr>
              <w:spacing w:beforeLines="0" w:afterLines="0"/>
              <w:jc w:val="both"/>
              <w:rPr>
                <w:rFonts w:hint="eastAsia" w:ascii="宋体" w:hAnsi="宋体"/>
                <w:color w:val="000000"/>
                <w:sz w:val="18"/>
              </w:rPr>
            </w:pPr>
            <w:r>
              <w:rPr>
                <w:rFonts w:hint="eastAsia" w:ascii="宋体" w:hAnsi="宋体"/>
                <w:color w:val="000000"/>
                <w:sz w:val="18"/>
              </w:rPr>
              <w:t>4、支持2路音频输出，1xSPDF数字音频输出接口，1x3.5mm音频输出；</w:t>
            </w:r>
          </w:p>
          <w:p w14:paraId="3F5A1216">
            <w:pPr>
              <w:spacing w:beforeLines="0" w:afterLines="0"/>
              <w:jc w:val="both"/>
              <w:rPr>
                <w:rFonts w:hint="eastAsia" w:ascii="宋体" w:hAnsi="宋体"/>
                <w:color w:val="000000"/>
                <w:sz w:val="18"/>
              </w:rPr>
            </w:pPr>
            <w:r>
              <w:rPr>
                <w:rFonts w:hint="eastAsia" w:ascii="宋体" w:hAnsi="宋体"/>
                <w:color w:val="000000"/>
                <w:sz w:val="18"/>
              </w:rPr>
              <w:t>5、支持3路USB2.0输入，用于多媒体播放和功能扩展</w:t>
            </w:r>
          </w:p>
          <w:p w14:paraId="311175F4">
            <w:pPr>
              <w:spacing w:beforeLines="0" w:afterLines="0"/>
              <w:jc w:val="both"/>
              <w:rPr>
                <w:rFonts w:hint="eastAsia" w:ascii="宋体" w:hAnsi="宋体"/>
                <w:color w:val="000000"/>
                <w:sz w:val="18"/>
              </w:rPr>
            </w:pPr>
            <w:r>
              <w:rPr>
                <w:rFonts w:hint="eastAsia" w:ascii="宋体" w:hAnsi="宋体"/>
                <w:color w:val="000000"/>
                <w:sz w:val="18"/>
              </w:rPr>
              <w:t>6、支持一路千兆以太网控制，支持TCP/IP协议，一路RS232串口，对接中控设备，一路传感器接口</w:t>
            </w:r>
          </w:p>
          <w:p w14:paraId="4E9161C6">
            <w:pPr>
              <w:spacing w:beforeLines="0" w:afterLines="0"/>
              <w:jc w:val="both"/>
              <w:rPr>
                <w:rFonts w:hint="eastAsia" w:ascii="宋体" w:hAnsi="宋体"/>
                <w:color w:val="000000"/>
                <w:sz w:val="18"/>
              </w:rPr>
            </w:pPr>
            <w:r>
              <w:rPr>
                <w:rFonts w:hint="eastAsia" w:ascii="宋体" w:hAnsi="宋体"/>
                <w:color w:val="000000"/>
                <w:sz w:val="18"/>
              </w:rPr>
              <w:t>7、集成一路继电器，可以用于连接固态继电器，方便进行LED显示屏电源管理</w:t>
            </w:r>
          </w:p>
          <w:p w14:paraId="5966F11D">
            <w:pPr>
              <w:spacing w:beforeLines="0" w:afterLines="0"/>
              <w:jc w:val="both"/>
              <w:rPr>
                <w:rFonts w:hint="eastAsia" w:ascii="宋体" w:hAnsi="宋体"/>
                <w:color w:val="000000"/>
                <w:sz w:val="18"/>
              </w:rPr>
            </w:pPr>
            <w:r>
              <w:rPr>
                <w:rFonts w:hint="eastAsia" w:ascii="宋体" w:hAnsi="宋体"/>
                <w:color w:val="000000"/>
                <w:sz w:val="18"/>
              </w:rPr>
              <w:t>▲8、双WIFI模式，同时支持WiFi AP 和WIFI STA两种模式</w:t>
            </w:r>
          </w:p>
          <w:p w14:paraId="307E398F">
            <w:pPr>
              <w:spacing w:beforeLines="0" w:afterLines="0"/>
              <w:jc w:val="both"/>
              <w:rPr>
                <w:rFonts w:hint="eastAsia" w:ascii="宋体" w:hAnsi="宋体"/>
                <w:color w:val="000000"/>
                <w:sz w:val="18"/>
              </w:rPr>
            </w:pPr>
            <w:r>
              <w:rPr>
                <w:rFonts w:hint="eastAsia" w:ascii="宋体" w:hAnsi="宋体"/>
                <w:color w:val="000000"/>
                <w:sz w:val="18"/>
              </w:rPr>
              <w:t>▲9、支持多种播控方式</w:t>
            </w:r>
          </w:p>
          <w:p w14:paraId="6FD21991">
            <w:pPr>
              <w:spacing w:beforeLines="0" w:afterLines="0"/>
              <w:jc w:val="both"/>
              <w:rPr>
                <w:rFonts w:hint="eastAsia" w:ascii="宋体" w:hAnsi="宋体"/>
                <w:color w:val="000000"/>
                <w:sz w:val="18"/>
              </w:rPr>
            </w:pPr>
            <w:r>
              <w:rPr>
                <w:rFonts w:hint="eastAsia" w:ascii="宋体" w:hAnsi="宋体"/>
                <w:color w:val="000000"/>
                <w:sz w:val="18"/>
              </w:rPr>
              <w:t>-U盘播放：可即插即播或拷贝播放，支持HEVC/H265./H264等主流编码格式的4K高清视频解码；</w:t>
            </w:r>
          </w:p>
          <w:p w14:paraId="04267EB6">
            <w:pPr>
              <w:spacing w:beforeLines="0" w:afterLines="0"/>
              <w:jc w:val="both"/>
              <w:rPr>
                <w:rFonts w:hint="eastAsia" w:ascii="宋体" w:hAnsi="宋体"/>
                <w:color w:val="000000"/>
                <w:sz w:val="18"/>
              </w:rPr>
            </w:pPr>
            <w:r>
              <w:rPr>
                <w:rFonts w:hint="eastAsia" w:ascii="宋体" w:hAnsi="宋体"/>
                <w:color w:val="000000"/>
                <w:sz w:val="18"/>
              </w:rPr>
              <w:t>-手机APP智能操控：可通过手机安装APP应用，实现节目制作发布和显示屏控制；</w:t>
            </w:r>
          </w:p>
          <w:p w14:paraId="5B56C9FC">
            <w:pPr>
              <w:spacing w:beforeLines="0" w:afterLines="0"/>
              <w:jc w:val="both"/>
              <w:rPr>
                <w:rFonts w:hint="eastAsia" w:ascii="宋体" w:hAnsi="宋体"/>
                <w:color w:val="000000"/>
                <w:sz w:val="18"/>
              </w:rPr>
            </w:pPr>
            <w:r>
              <w:rPr>
                <w:rFonts w:hint="eastAsia" w:ascii="宋体" w:hAnsi="宋体"/>
                <w:color w:val="000000"/>
                <w:sz w:val="18"/>
              </w:rPr>
              <w:t>-遥控器播控：可在显示屏上进行本地节目播控及简单的节目制作</w:t>
            </w:r>
          </w:p>
          <w:p w14:paraId="78FA8C36">
            <w:pPr>
              <w:spacing w:beforeLines="0" w:afterLines="0"/>
              <w:jc w:val="both"/>
              <w:rPr>
                <w:rFonts w:hint="eastAsia" w:ascii="宋体" w:hAnsi="宋体"/>
                <w:color w:val="000000"/>
                <w:sz w:val="18"/>
              </w:rPr>
            </w:pPr>
            <w:r>
              <w:rPr>
                <w:rFonts w:hint="eastAsia" w:ascii="宋体" w:hAnsi="宋体"/>
                <w:color w:val="000000"/>
                <w:sz w:val="18"/>
              </w:rPr>
              <w:t>▲10、系统支持主流文本、图片、视频格式；如：PPT、Word、Excel、JPG、PNG、GIF、AVI、MP4等；</w:t>
            </w:r>
          </w:p>
          <w:p w14:paraId="12F54D9C">
            <w:pPr>
              <w:spacing w:beforeLines="0" w:afterLines="0"/>
              <w:jc w:val="both"/>
              <w:rPr>
                <w:rFonts w:hint="eastAsia" w:ascii="宋体" w:hAnsi="宋体"/>
                <w:color w:val="000000"/>
                <w:sz w:val="18"/>
              </w:rPr>
            </w:pPr>
            <w:r>
              <w:rPr>
                <w:rFonts w:hint="eastAsia" w:ascii="宋体" w:hAnsi="宋体"/>
                <w:color w:val="000000"/>
                <w:sz w:val="18"/>
              </w:rPr>
              <w:t>▲11、支持Type-c接口/USB接口投屏器，支持多平台终端投屏（包括Windows、Mac OS、IOS、Android系统，最多9路无线投屏画面同时显示），配合终端APP可实现无线投屏控制：镜像反控、无线快照、无线发言</w:t>
            </w:r>
          </w:p>
          <w:p w14:paraId="58A1166A">
            <w:pPr>
              <w:spacing w:beforeLines="0" w:afterLines="0"/>
              <w:jc w:val="both"/>
              <w:rPr>
                <w:rFonts w:hint="eastAsia" w:ascii="宋体" w:hAnsi="宋体"/>
                <w:color w:val="000000"/>
                <w:sz w:val="18"/>
              </w:rPr>
            </w:pPr>
            <w:r>
              <w:rPr>
                <w:rFonts w:hint="eastAsia" w:ascii="宋体" w:hAnsi="宋体"/>
                <w:color w:val="000000"/>
                <w:sz w:val="18"/>
              </w:rPr>
              <w:t>▲12、支持通过遥控器进行音量调整、亮度调整、输入源切换等操控；</w:t>
            </w:r>
          </w:p>
          <w:p w14:paraId="574FEBD5">
            <w:pPr>
              <w:spacing w:beforeLines="0" w:afterLines="0"/>
              <w:jc w:val="both"/>
              <w:rPr>
                <w:rFonts w:hint="eastAsia" w:ascii="宋体" w:hAnsi="宋体"/>
                <w:color w:val="000000"/>
                <w:sz w:val="18"/>
              </w:rPr>
            </w:pPr>
            <w:r>
              <w:rPr>
                <w:rFonts w:hint="eastAsia" w:ascii="宋体" w:hAnsi="宋体"/>
                <w:color w:val="000000"/>
                <w:sz w:val="18"/>
              </w:rPr>
              <w:t>▲13、支持遥控器AI语音控制，集成丰富的语音控制指令，轻松实现屏幕控制</w:t>
            </w:r>
          </w:p>
          <w:p w14:paraId="3CF01FB6">
            <w:pPr>
              <w:spacing w:beforeLines="0" w:afterLines="0"/>
              <w:jc w:val="both"/>
              <w:rPr>
                <w:rFonts w:hint="eastAsia" w:ascii="宋体" w:hAnsi="宋体"/>
                <w:color w:val="000000"/>
                <w:sz w:val="18"/>
              </w:rPr>
            </w:pPr>
            <w:r>
              <w:rPr>
                <w:rFonts w:hint="eastAsia" w:ascii="宋体" w:hAnsi="宋体"/>
                <w:color w:val="000000"/>
                <w:sz w:val="18"/>
              </w:rPr>
              <w:t>▲14、支持红外待机唤醒，待机进入低功耗模式，实现待机功耗小于0.5w</w:t>
            </w:r>
          </w:p>
          <w:p w14:paraId="18DAB0D8">
            <w:pPr>
              <w:spacing w:beforeLines="0" w:afterLines="0"/>
              <w:jc w:val="both"/>
              <w:rPr>
                <w:rFonts w:hint="eastAsia" w:ascii="宋体" w:hAnsi="宋体"/>
                <w:color w:val="000000"/>
                <w:sz w:val="18"/>
              </w:rPr>
            </w:pPr>
            <w:r>
              <w:rPr>
                <w:rFonts w:hint="eastAsia" w:ascii="宋体" w:hAnsi="宋体"/>
                <w:color w:val="000000"/>
                <w:sz w:val="18"/>
              </w:rPr>
              <w:t>15、支持蓝牙5.0，可兼容蓝牙遥控器、蓝牙鼠标、蓝牙键盘、蓝牙音响等；</w:t>
            </w:r>
          </w:p>
          <w:p w14:paraId="0208AC73">
            <w:pPr>
              <w:spacing w:beforeLines="0" w:afterLines="0"/>
              <w:jc w:val="both"/>
              <w:rPr>
                <w:rFonts w:hint="eastAsia" w:ascii="宋体" w:hAnsi="宋体"/>
                <w:color w:val="000000"/>
                <w:sz w:val="18"/>
              </w:rPr>
            </w:pPr>
            <w:r>
              <w:rPr>
                <w:rFonts w:hint="eastAsia" w:ascii="宋体" w:hAnsi="宋体"/>
                <w:color w:val="000000"/>
                <w:sz w:val="18"/>
              </w:rPr>
              <w:t>▲16、基于Android11定制的桌面UI系统，可添加第三方APP应用</w:t>
            </w:r>
          </w:p>
          <w:p w14:paraId="45498675">
            <w:pPr>
              <w:spacing w:beforeLines="0" w:afterLines="0"/>
              <w:jc w:val="both"/>
              <w:rPr>
                <w:rFonts w:hint="eastAsia" w:ascii="宋体" w:hAnsi="宋体"/>
                <w:color w:val="000000"/>
                <w:sz w:val="18"/>
              </w:rPr>
            </w:pPr>
            <w:r>
              <w:rPr>
                <w:rFonts w:hint="eastAsia" w:ascii="宋体" w:hAnsi="宋体"/>
                <w:color w:val="000000"/>
                <w:sz w:val="18"/>
              </w:rPr>
              <w:t>▲17、系统支持预设画面模式切换，包含标准模式、会议模式等4种效果模式；也可针对每一种模式通过手动调节“亮度”、“饱和度”、“对比度”、“色温”、“色调”来改变屏幕显示效果；</w:t>
            </w:r>
          </w:p>
          <w:p w14:paraId="15BB82F0">
            <w:pPr>
              <w:spacing w:beforeLines="0" w:afterLines="0"/>
              <w:jc w:val="both"/>
              <w:rPr>
                <w:rFonts w:hint="eastAsia" w:ascii="宋体" w:hAnsi="宋体"/>
                <w:color w:val="000000"/>
                <w:sz w:val="18"/>
              </w:rPr>
            </w:pPr>
            <w:r>
              <w:rPr>
                <w:rFonts w:hint="eastAsia" w:ascii="宋体" w:hAnsi="宋体"/>
                <w:color w:val="000000"/>
                <w:sz w:val="18"/>
              </w:rPr>
              <w:t>▲18、支持手机端APP扫码 或者手动获取配置文件参数下发进行屏体点亮；支持手机APP手动或者拍照完成显示屏连接；支持手机APP手动和拍照完成显示屏亮暗线校正；</w:t>
            </w:r>
          </w:p>
          <w:p w14:paraId="061D268B">
            <w:pPr>
              <w:spacing w:beforeLines="0" w:afterLines="0"/>
              <w:jc w:val="both"/>
              <w:rPr>
                <w:rFonts w:hint="eastAsia" w:ascii="宋体" w:hAnsi="宋体"/>
                <w:color w:val="000000"/>
                <w:sz w:val="18"/>
              </w:rPr>
            </w:pPr>
            <w:r>
              <w:rPr>
                <w:rFonts w:hint="eastAsia" w:ascii="宋体" w:hAnsi="宋体"/>
                <w:color w:val="000000"/>
                <w:sz w:val="18"/>
              </w:rPr>
              <w:t>19、支持逐点亮色度校正。</w:t>
            </w: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329CB766">
            <w:pPr>
              <w:spacing w:beforeLines="0" w:afterLines="0"/>
              <w:jc w:val="center"/>
              <w:rPr>
                <w:rFonts w:hint="eastAsia" w:ascii="宋体" w:hAnsi="宋体"/>
                <w:color w:val="000000"/>
                <w:sz w:val="18"/>
              </w:rPr>
            </w:pPr>
            <w:r>
              <w:rPr>
                <w:rFonts w:hint="eastAsia" w:ascii="宋体" w:hAnsi="宋体"/>
                <w:color w:val="000000"/>
                <w:sz w:val="18"/>
              </w:rPr>
              <w:t>台</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73FBBF79">
            <w:pPr>
              <w:spacing w:beforeLines="0" w:afterLines="0"/>
              <w:jc w:val="center"/>
              <w:rPr>
                <w:rFonts w:hint="eastAsia" w:ascii="宋体" w:hAnsi="宋体"/>
                <w:color w:val="000000"/>
                <w:sz w:val="18"/>
              </w:rPr>
            </w:pPr>
            <w:r>
              <w:rPr>
                <w:rFonts w:hint="eastAsia" w:ascii="宋体" w:hAnsi="宋体"/>
                <w:color w:val="000000"/>
                <w:sz w:val="18"/>
              </w:rPr>
              <w:t>3</w:t>
            </w:r>
          </w:p>
        </w:tc>
      </w:tr>
      <w:tr w14:paraId="5DC2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81"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B3E72B1">
            <w:pPr>
              <w:spacing w:beforeLines="0" w:afterLines="0"/>
              <w:ind w:firstLine="180" w:firstLineChars="100"/>
              <w:jc w:val="both"/>
              <w:rPr>
                <w:rFonts w:hint="eastAsia" w:ascii="宋体" w:hAnsi="宋体"/>
                <w:color w:val="000000"/>
                <w:sz w:val="18"/>
              </w:rPr>
            </w:pPr>
            <w:r>
              <w:rPr>
                <w:rFonts w:hint="eastAsia" w:ascii="宋体" w:hAnsi="宋体"/>
                <w:color w:val="000000"/>
                <w:sz w:val="18"/>
              </w:rPr>
              <w:t>4</w:t>
            </w:r>
          </w:p>
        </w:tc>
        <w:tc>
          <w:tcPr>
            <w:tcW w:w="116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6302BB9">
            <w:pPr>
              <w:spacing w:beforeLines="0" w:afterLines="0"/>
              <w:jc w:val="center"/>
              <w:rPr>
                <w:rFonts w:hint="eastAsia" w:ascii="宋体" w:hAnsi="宋体"/>
                <w:color w:val="000000"/>
                <w:sz w:val="18"/>
              </w:rPr>
            </w:pPr>
            <w:r>
              <w:rPr>
                <w:rFonts w:hint="eastAsia" w:ascii="宋体" w:hAnsi="宋体"/>
                <w:color w:val="000000"/>
                <w:sz w:val="18"/>
              </w:rPr>
              <w:t>多媒体</w:t>
            </w:r>
          </w:p>
          <w:p w14:paraId="6307F38D">
            <w:pPr>
              <w:spacing w:beforeLines="0" w:afterLines="0"/>
              <w:jc w:val="center"/>
              <w:rPr>
                <w:rFonts w:hint="eastAsia" w:ascii="宋体" w:hAnsi="宋体"/>
                <w:color w:val="000000"/>
                <w:sz w:val="18"/>
              </w:rPr>
            </w:pPr>
            <w:r>
              <w:rPr>
                <w:rFonts w:hint="eastAsia" w:ascii="宋体" w:hAnsi="宋体"/>
                <w:color w:val="000000"/>
                <w:sz w:val="18"/>
              </w:rPr>
              <w:t>服务器</w:t>
            </w:r>
          </w:p>
        </w:tc>
        <w:tc>
          <w:tcPr>
            <w:tcW w:w="1221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187A0E81">
            <w:pPr>
              <w:spacing w:beforeLines="0" w:afterLines="0"/>
              <w:jc w:val="both"/>
              <w:rPr>
                <w:rFonts w:hint="eastAsia" w:ascii="宋体" w:hAnsi="宋体"/>
                <w:color w:val="000000"/>
                <w:sz w:val="18"/>
              </w:rPr>
            </w:pPr>
            <w:r>
              <w:rPr>
                <w:rFonts w:hint="eastAsia" w:ascii="宋体" w:hAnsi="宋体"/>
                <w:color w:val="000000"/>
                <w:sz w:val="18"/>
              </w:rPr>
              <w:t>1、1U金属结构机箱；外壳防护等级符合 GB/T 4208-2017中 IP20 的要求；噪声不大于 45dB（A）；6核12线程3.30GHz主频高速处理器、16G DDR4 2666 高速内存、250 固态硬盘，企业版操作系统；MTBF 不小于300000 小时，平均修复时间 MTTR小于15 分钟；</w:t>
            </w:r>
          </w:p>
          <w:p w14:paraId="2F8C6E0B">
            <w:pPr>
              <w:numPr>
                <w:ilvl w:val="0"/>
                <w:numId w:val="6"/>
              </w:numPr>
              <w:spacing w:beforeLines="0" w:afterLines="0"/>
              <w:jc w:val="both"/>
              <w:rPr>
                <w:rFonts w:hint="eastAsia" w:ascii="宋体" w:hAnsi="宋体"/>
                <w:color w:val="000000"/>
                <w:sz w:val="18"/>
              </w:rPr>
            </w:pPr>
            <w:r>
              <w:rPr>
                <w:rFonts w:hint="eastAsia" w:ascii="宋体" w:hAnsi="宋体"/>
                <w:color w:val="000000"/>
                <w:sz w:val="18"/>
              </w:rPr>
              <w:t>支持1 路 DP 输出，接口分辨率可设置为4096*2160@60Hz，单接口极限宽度可设置为 8192，单口极限高度可设置 4095。支持4 路 HDMI 输出，第一个接口可设置为 4K 模式，分辨率可以设置为 4096*2160@60Hz，单接口极限宽度可设置为 8192，单口极限高度可设置 4095，此时另外三个 HDMI 接口禁用。第一个接口设置为 2K 模式时，4 个 HDMI 口可同时输出，分辨率设置为 1920*1080@60hz,单口极限宽度 2048，极限高度 1280；</w:t>
            </w:r>
          </w:p>
          <w:p w14:paraId="78C5A6DF">
            <w:pPr>
              <w:numPr>
                <w:ilvl w:val="0"/>
                <w:numId w:val="6"/>
              </w:numPr>
              <w:spacing w:beforeLines="0" w:afterLines="0"/>
              <w:jc w:val="both"/>
              <w:rPr>
                <w:rFonts w:hint="eastAsia" w:ascii="宋体" w:hAnsi="宋体"/>
                <w:color w:val="000000"/>
                <w:sz w:val="18"/>
              </w:rPr>
            </w:pPr>
            <w:r>
              <w:rPr>
                <w:rFonts w:hint="eastAsia" w:ascii="宋体" w:hAnsi="宋体"/>
                <w:color w:val="000000"/>
                <w:sz w:val="18"/>
              </w:rPr>
              <w:t>支持一键硬件开关机控制和一键软件远程开关机控制，支持6路 USB 接口、1 路 3.5mm 麦克风音频输入接口、1 路 3.5mm音频输出接口，支持千兆网口通讯，支持第三方通过 TCP、UDP 进行集成控制；</w:t>
            </w:r>
          </w:p>
          <w:p w14:paraId="12BDA71C">
            <w:pPr>
              <w:spacing w:beforeLines="0" w:afterLines="0"/>
              <w:jc w:val="both"/>
              <w:rPr>
                <w:rFonts w:hint="eastAsia" w:ascii="宋体" w:hAnsi="宋体"/>
                <w:color w:val="000000"/>
                <w:sz w:val="18"/>
              </w:rPr>
            </w:pPr>
            <w:r>
              <w:rPr>
                <w:rFonts w:hint="eastAsia" w:ascii="宋体" w:hAnsi="宋体"/>
                <w:color w:val="000000"/>
                <w:sz w:val="18"/>
              </w:rPr>
              <w:t>4、支持不少于10 台设备联机控制，通过一台主机控制其他从机进行素材下发、画面编辑、属性编辑、节目切换、进度调整；</w:t>
            </w:r>
          </w:p>
          <w:p w14:paraId="228FC75B">
            <w:pPr>
              <w:spacing w:beforeLines="0" w:afterLines="0"/>
              <w:jc w:val="both"/>
              <w:rPr>
                <w:rFonts w:hint="eastAsia" w:ascii="宋体" w:hAnsi="宋体"/>
                <w:color w:val="000000"/>
                <w:sz w:val="18"/>
              </w:rPr>
            </w:pPr>
            <w:r>
              <w:rPr>
                <w:rFonts w:hint="eastAsia" w:ascii="宋体" w:hAnsi="宋体"/>
                <w:color w:val="000000"/>
                <w:sz w:val="18"/>
              </w:rPr>
              <w:t>5、支持输出接口的任意拆分重组以及任意角度旋转，实现对不规则显示屏的拼接带载；支持1路4K输出，可以拆分成1024个子输出，每个子输出支持任意角度旋转，可对子输出接口位置任意进行排序；</w:t>
            </w:r>
          </w:p>
          <w:p w14:paraId="245E7E37">
            <w:pPr>
              <w:spacing w:beforeLines="0" w:afterLines="0"/>
              <w:jc w:val="both"/>
              <w:rPr>
                <w:rFonts w:hint="eastAsia" w:ascii="宋体" w:hAnsi="宋体"/>
                <w:color w:val="000000"/>
                <w:sz w:val="18"/>
              </w:rPr>
            </w:pPr>
            <w:r>
              <w:rPr>
                <w:rFonts w:hint="eastAsia" w:ascii="宋体" w:hAnsi="宋体"/>
                <w:color w:val="000000"/>
                <w:sz w:val="18"/>
              </w:rPr>
              <w:t>▲6、支持可视化智控平台移动端程序对播放画面的编辑和控制；</w:t>
            </w:r>
          </w:p>
          <w:p w14:paraId="3EA13EDA">
            <w:pPr>
              <w:numPr>
                <w:ilvl w:val="0"/>
                <w:numId w:val="7"/>
              </w:numPr>
              <w:spacing w:beforeLines="0" w:afterLines="0"/>
              <w:jc w:val="both"/>
              <w:rPr>
                <w:rFonts w:hint="eastAsia" w:ascii="宋体" w:hAnsi="宋体"/>
                <w:color w:val="000000"/>
                <w:sz w:val="18"/>
              </w:rPr>
            </w:pPr>
            <w:r>
              <w:rPr>
                <w:rFonts w:hint="eastAsia" w:ascii="宋体" w:hAnsi="宋体"/>
                <w:color w:val="000000"/>
                <w:sz w:val="18"/>
              </w:rPr>
              <w:t>支持从本地媒体画面或输入源画面中拾取颜色，然后按照拾取的颜色进行抠像处理；支持在媒体库中添加本地的视频文件、图片文件、音频文件、字幕、数字时钟、PPT 文件、NDI 媒体、采集设备、多网页、流媒体、播放合集；</w:t>
            </w:r>
          </w:p>
          <w:p w14:paraId="5FF4C481">
            <w:pPr>
              <w:numPr>
                <w:ilvl w:val="0"/>
                <w:numId w:val="0"/>
              </w:numPr>
              <w:spacing w:beforeLines="0" w:afterLines="0"/>
              <w:jc w:val="both"/>
              <w:rPr>
                <w:rFonts w:hint="eastAsia" w:ascii="宋体" w:hAnsi="宋体"/>
                <w:color w:val="000000"/>
                <w:sz w:val="18"/>
              </w:rPr>
            </w:pPr>
            <w:r>
              <w:rPr>
                <w:rFonts w:hint="eastAsia" w:ascii="宋体" w:hAnsi="宋体"/>
                <w:color w:val="000000"/>
                <w:sz w:val="18"/>
              </w:rPr>
              <w:t>▲8、支持节目整体播放、暂停、停止、音量调节，单个媒体的音量调节，单个视频裁剪，支持多画面同时播放时按照主计时媒体进行跳转，节目锁定。支持排期播放和播放日志查看功能。支持软件异常后恢复正常播放的功能；</w:t>
            </w:r>
          </w:p>
          <w:p w14:paraId="19379B62">
            <w:pPr>
              <w:spacing w:beforeLines="0" w:afterLines="0"/>
              <w:jc w:val="both"/>
              <w:rPr>
                <w:rFonts w:hint="eastAsia" w:ascii="宋体" w:hAnsi="宋体"/>
                <w:color w:val="000000"/>
                <w:sz w:val="18"/>
              </w:rPr>
            </w:pPr>
            <w:r>
              <w:rPr>
                <w:rFonts w:hint="eastAsia" w:ascii="宋体" w:hAnsi="宋体"/>
                <w:color w:val="000000"/>
                <w:sz w:val="18"/>
              </w:rPr>
              <w:t>▲9、支持素材可视化编辑、拖拽、复制、黏贴、多选、锁定、替换，属性调节和属性继承；支持节目的编辑、复制、黏贴；支持素材播控进度的自由控制、正计时、倒计时进度查看，支持输出画面解锁功能；</w:t>
            </w:r>
          </w:p>
          <w:p w14:paraId="536DEF4B">
            <w:pPr>
              <w:numPr>
                <w:ilvl w:val="0"/>
                <w:numId w:val="8"/>
              </w:numPr>
              <w:spacing w:beforeLines="0" w:afterLines="0"/>
              <w:jc w:val="both"/>
              <w:rPr>
                <w:rFonts w:hint="eastAsia" w:ascii="宋体" w:hAnsi="宋体"/>
                <w:color w:val="000000"/>
                <w:sz w:val="18"/>
              </w:rPr>
            </w:pPr>
            <w:r>
              <w:rPr>
                <w:rFonts w:hint="eastAsia" w:ascii="宋体" w:hAnsi="宋体"/>
                <w:color w:val="000000"/>
                <w:sz w:val="18"/>
              </w:rPr>
              <w:t>支持多页签功能播放多个网页，降低网页播放资源占用；支持转码功能，可实现 H.264（AVC）、H.265（HEVC）编码或 VP9 编码的转码播放；</w:t>
            </w:r>
          </w:p>
          <w:p w14:paraId="5349EF2F">
            <w:pPr>
              <w:numPr>
                <w:ilvl w:val="0"/>
                <w:numId w:val="0"/>
              </w:numPr>
              <w:spacing w:beforeLines="0" w:afterLines="0"/>
              <w:jc w:val="both"/>
              <w:rPr>
                <w:rFonts w:hint="eastAsia" w:ascii="宋体" w:hAnsi="宋体"/>
                <w:color w:val="000000"/>
                <w:sz w:val="18"/>
              </w:rPr>
            </w:pPr>
            <w:r>
              <w:rPr>
                <w:rFonts w:hint="eastAsia" w:ascii="宋体" w:hAnsi="宋体"/>
                <w:color w:val="000000"/>
                <w:sz w:val="18"/>
              </w:rPr>
              <w:t>11、支持多种视频、图片、音频、office文件的播放；视频格式支持不少于：H.265 (HEVC)、 VP9、HAP, HAP-Alpha、VC1、AV1、ProRes、MPEG4、WMV2等；图片格式支持不少于：jpeg、bmp、png、gif等；音频格式支持不少于：aac、flac、amr、ape、wav、wma等；office文件支持不少于：ppt、pptx；</w:t>
            </w:r>
          </w:p>
          <w:p w14:paraId="621FCF64">
            <w:pPr>
              <w:spacing w:beforeLines="0" w:afterLines="0"/>
              <w:jc w:val="both"/>
              <w:rPr>
                <w:rFonts w:hint="eastAsia" w:ascii="宋体" w:hAnsi="宋体"/>
                <w:color w:val="000000"/>
                <w:sz w:val="18"/>
              </w:rPr>
            </w:pPr>
            <w:r>
              <w:rPr>
                <w:rFonts w:hint="eastAsia" w:ascii="宋体" w:hAnsi="宋体"/>
                <w:color w:val="000000"/>
                <w:sz w:val="18"/>
              </w:rPr>
              <w:t>12、提供所投产品3C认证、产品彩页等证明材料;</w:t>
            </w:r>
          </w:p>
          <w:p w14:paraId="176A6740">
            <w:pPr>
              <w:spacing w:beforeLines="0" w:afterLines="0"/>
              <w:jc w:val="both"/>
              <w:rPr>
                <w:rFonts w:hint="eastAsia" w:ascii="宋体" w:hAnsi="宋体"/>
                <w:color w:val="000000"/>
                <w:sz w:val="18"/>
              </w:rPr>
            </w:pPr>
          </w:p>
          <w:p w14:paraId="02BCD9B1">
            <w:pPr>
              <w:spacing w:beforeLines="0" w:afterLines="0"/>
              <w:jc w:val="both"/>
              <w:rPr>
                <w:rFonts w:hint="eastAsia" w:ascii="宋体" w:hAnsi="宋体"/>
                <w:color w:val="000000"/>
                <w:sz w:val="18"/>
              </w:rPr>
            </w:pP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2F87DDC6">
            <w:pPr>
              <w:spacing w:beforeLines="0" w:afterLines="0"/>
              <w:ind w:firstLine="180" w:firstLineChars="100"/>
              <w:jc w:val="both"/>
              <w:rPr>
                <w:rFonts w:hint="eastAsia" w:ascii="宋体" w:hAnsi="宋体"/>
                <w:color w:val="000000"/>
                <w:sz w:val="18"/>
              </w:rPr>
            </w:pPr>
            <w:r>
              <w:rPr>
                <w:rFonts w:hint="eastAsia" w:ascii="宋体" w:hAnsi="宋体"/>
                <w:color w:val="000000"/>
                <w:sz w:val="18"/>
              </w:rPr>
              <w:t>台</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7984B32E">
            <w:pPr>
              <w:spacing w:beforeLines="0" w:afterLines="0"/>
              <w:ind w:firstLine="180" w:firstLineChars="100"/>
              <w:jc w:val="both"/>
              <w:rPr>
                <w:rFonts w:hint="eastAsia" w:ascii="宋体" w:hAnsi="宋体"/>
                <w:color w:val="000000"/>
                <w:sz w:val="18"/>
              </w:rPr>
            </w:pPr>
            <w:r>
              <w:rPr>
                <w:rFonts w:hint="eastAsia" w:ascii="宋体" w:hAnsi="宋体"/>
                <w:color w:val="000000"/>
                <w:sz w:val="18"/>
              </w:rPr>
              <w:t>1</w:t>
            </w:r>
          </w:p>
        </w:tc>
      </w:tr>
      <w:tr w14:paraId="139AD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9" w:hRule="atLeast"/>
        </w:trPr>
        <w:tc>
          <w:tcPr>
            <w:tcW w:w="681"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9942005">
            <w:pPr>
              <w:spacing w:beforeLines="0" w:afterLines="0"/>
              <w:ind w:firstLine="180" w:firstLineChars="100"/>
              <w:jc w:val="both"/>
              <w:rPr>
                <w:rFonts w:hint="eastAsia" w:ascii="宋体" w:hAnsi="宋体"/>
                <w:color w:val="000000"/>
                <w:sz w:val="18"/>
              </w:rPr>
            </w:pPr>
            <w:r>
              <w:rPr>
                <w:rFonts w:hint="eastAsia" w:ascii="宋体" w:hAnsi="宋体"/>
                <w:color w:val="000000"/>
                <w:sz w:val="18"/>
              </w:rPr>
              <w:t>5</w:t>
            </w:r>
          </w:p>
        </w:tc>
        <w:tc>
          <w:tcPr>
            <w:tcW w:w="116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DC98573">
            <w:pPr>
              <w:spacing w:beforeLines="0" w:afterLines="0"/>
              <w:jc w:val="center"/>
              <w:rPr>
                <w:rFonts w:hint="eastAsia" w:ascii="宋体" w:hAnsi="宋体"/>
                <w:color w:val="000000"/>
                <w:sz w:val="18"/>
              </w:rPr>
            </w:pPr>
            <w:r>
              <w:rPr>
                <w:rFonts w:hint="eastAsia" w:ascii="宋体" w:hAnsi="宋体"/>
                <w:color w:val="000000"/>
                <w:sz w:val="18"/>
              </w:rPr>
              <w:t>多媒体播</w:t>
            </w:r>
          </w:p>
          <w:p w14:paraId="39B2450B">
            <w:pPr>
              <w:spacing w:beforeLines="0" w:afterLines="0"/>
              <w:jc w:val="center"/>
              <w:rPr>
                <w:rFonts w:hint="eastAsia" w:ascii="宋体" w:hAnsi="宋体"/>
                <w:color w:val="000000"/>
                <w:sz w:val="18"/>
              </w:rPr>
            </w:pPr>
            <w:r>
              <w:rPr>
                <w:rFonts w:hint="eastAsia" w:ascii="宋体" w:hAnsi="宋体"/>
                <w:color w:val="000000"/>
                <w:sz w:val="18"/>
              </w:rPr>
              <w:t>控软件</w:t>
            </w:r>
          </w:p>
        </w:tc>
        <w:tc>
          <w:tcPr>
            <w:tcW w:w="1221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06D7F3DF">
            <w:pPr>
              <w:spacing w:beforeLines="0" w:afterLines="0"/>
              <w:jc w:val="both"/>
              <w:rPr>
                <w:rFonts w:hint="eastAsia" w:ascii="宋体" w:hAnsi="宋体"/>
                <w:color w:val="000000"/>
                <w:sz w:val="18"/>
              </w:rPr>
            </w:pPr>
            <w:r>
              <w:rPr>
                <w:rFonts w:hint="eastAsia" w:ascii="宋体" w:hAnsi="宋体"/>
                <w:color w:val="000000"/>
                <w:sz w:val="18"/>
              </w:rPr>
              <w:t>1.支持8K4K@60fps视频素材的硬件解码和硬件渲染播放，播放效果流畅不卡顿（需搭配具备对应性能的工作站PC）</w:t>
            </w:r>
          </w:p>
          <w:p w14:paraId="6D408B7C">
            <w:pPr>
              <w:spacing w:beforeLines="0" w:afterLines="0"/>
              <w:jc w:val="both"/>
              <w:rPr>
                <w:rFonts w:hint="eastAsia" w:ascii="宋体" w:hAnsi="宋体"/>
                <w:color w:val="000000"/>
                <w:sz w:val="18"/>
              </w:rPr>
            </w:pPr>
            <w:r>
              <w:rPr>
                <w:rFonts w:hint="eastAsia" w:ascii="宋体" w:hAnsi="宋体"/>
                <w:color w:val="000000"/>
                <w:sz w:val="18"/>
              </w:rPr>
              <w:t>2.支持不少于4个动态图层和1个音频图层的同时播放。</w:t>
            </w:r>
          </w:p>
          <w:p w14:paraId="077F429D">
            <w:pPr>
              <w:spacing w:beforeLines="0" w:afterLines="0"/>
              <w:jc w:val="both"/>
              <w:rPr>
                <w:rFonts w:hint="eastAsia" w:ascii="宋体" w:hAnsi="宋体"/>
                <w:color w:val="000000"/>
                <w:sz w:val="18"/>
              </w:rPr>
            </w:pPr>
            <w:r>
              <w:rPr>
                <w:rFonts w:hint="eastAsia" w:ascii="宋体" w:hAnsi="宋体"/>
                <w:color w:val="000000"/>
                <w:sz w:val="18"/>
              </w:rPr>
              <w:t>3.支持实现多个输出接口的任意拆分重组以及任意角度旋转，实现对不规则显示屏的拼接带载，可支持1*2,2*2,2*3,3*3,4*4,5*5,6*6,7*7,8*8等多种拆分模式;</w:t>
            </w:r>
          </w:p>
          <w:p w14:paraId="1A088511">
            <w:pPr>
              <w:spacing w:beforeLines="0" w:afterLines="0"/>
              <w:jc w:val="both"/>
              <w:rPr>
                <w:rFonts w:hint="eastAsia" w:ascii="宋体" w:hAnsi="宋体"/>
                <w:color w:val="000000"/>
                <w:sz w:val="18"/>
              </w:rPr>
            </w:pPr>
            <w:r>
              <w:rPr>
                <w:rFonts w:hint="eastAsia" w:ascii="宋体" w:hAnsi="宋体"/>
                <w:color w:val="000000"/>
                <w:sz w:val="18"/>
              </w:rPr>
              <w:t>4.支持播放画面编辑和输出分离，画面播放的同时也可实现画面的预编辑和预览，预览编辑完成后再输出播放。</w:t>
            </w:r>
          </w:p>
          <w:p w14:paraId="7FBD1CC1">
            <w:pPr>
              <w:spacing w:beforeLines="0" w:afterLines="0"/>
              <w:jc w:val="both"/>
              <w:rPr>
                <w:rFonts w:hint="eastAsia" w:ascii="宋体" w:hAnsi="宋体"/>
                <w:color w:val="000000"/>
                <w:sz w:val="18"/>
              </w:rPr>
            </w:pPr>
            <w:r>
              <w:rPr>
                <w:rFonts w:hint="eastAsia" w:ascii="宋体" w:hAnsi="宋体"/>
                <w:color w:val="000000"/>
                <w:sz w:val="18"/>
              </w:rPr>
              <w:t>5.支持播放画面直切、淡入淡出的切换特效和渐变黑屏、测试画面、输出显示控制。</w:t>
            </w:r>
          </w:p>
          <w:p w14:paraId="4F8827A6">
            <w:pPr>
              <w:spacing w:beforeLines="0" w:afterLines="0"/>
              <w:jc w:val="both"/>
              <w:rPr>
                <w:rFonts w:hint="eastAsia" w:ascii="宋体" w:hAnsi="宋体"/>
                <w:color w:val="000000"/>
                <w:sz w:val="18"/>
              </w:rPr>
            </w:pPr>
            <w:r>
              <w:rPr>
                <w:rFonts w:hint="eastAsia" w:ascii="宋体" w:hAnsi="宋体"/>
                <w:color w:val="000000"/>
                <w:sz w:val="18"/>
              </w:rPr>
              <w:t>6.支持素材透明度，亮度、对比度、饱和度、色相的拉杆式实时调节。。</w:t>
            </w:r>
          </w:p>
          <w:p w14:paraId="17446573">
            <w:pPr>
              <w:spacing w:beforeLines="0" w:afterLines="0"/>
              <w:jc w:val="both"/>
              <w:rPr>
                <w:rFonts w:hint="eastAsia" w:ascii="宋体" w:hAnsi="宋体"/>
                <w:color w:val="000000"/>
                <w:sz w:val="18"/>
              </w:rPr>
            </w:pPr>
            <w:r>
              <w:rPr>
                <w:rFonts w:hint="eastAsia" w:ascii="宋体" w:hAnsi="宋体"/>
                <w:color w:val="000000"/>
                <w:sz w:val="18"/>
              </w:rPr>
              <w:t>7.支持将媒体库的媒体添加到节目中，同时支持对节目中任意一个媒体按区域进行画质调节、裁剪，遮罩。</w:t>
            </w:r>
          </w:p>
          <w:p w14:paraId="15DCAEA7">
            <w:pPr>
              <w:spacing w:beforeLines="0" w:afterLines="0"/>
              <w:jc w:val="both"/>
              <w:rPr>
                <w:rFonts w:hint="eastAsia" w:ascii="宋体" w:hAnsi="宋体"/>
                <w:color w:val="000000"/>
                <w:sz w:val="18"/>
              </w:rPr>
            </w:pPr>
            <w:r>
              <w:rPr>
                <w:rFonts w:hint="eastAsia" w:ascii="宋体" w:hAnsi="宋体"/>
                <w:color w:val="000000"/>
                <w:sz w:val="18"/>
              </w:rPr>
              <w:t>8.支持节目整体播放、暂停、停止、音量调节，单个媒体的音量调节，单个媒体的快进和快退播放。支持切换节目时，对部分图层的播放继承，只切换局部媒体。</w:t>
            </w:r>
          </w:p>
          <w:p w14:paraId="5819FECC">
            <w:pPr>
              <w:spacing w:beforeLines="0" w:afterLines="0"/>
              <w:jc w:val="both"/>
              <w:rPr>
                <w:rFonts w:hint="eastAsia" w:ascii="宋体" w:hAnsi="宋体"/>
                <w:color w:val="000000"/>
                <w:sz w:val="18"/>
              </w:rPr>
            </w:pPr>
            <w:r>
              <w:rPr>
                <w:rFonts w:hint="eastAsia" w:ascii="宋体" w:hAnsi="宋体"/>
                <w:color w:val="000000"/>
                <w:sz w:val="18"/>
              </w:rPr>
              <w:t>9.支持多画面同时播放时按照主计时媒体进行跳转或各画面独立播放。</w:t>
            </w:r>
          </w:p>
          <w:p w14:paraId="73CC0473">
            <w:pPr>
              <w:spacing w:beforeLines="0" w:afterLines="0"/>
              <w:jc w:val="both"/>
              <w:rPr>
                <w:rFonts w:hint="eastAsia" w:ascii="宋体" w:hAnsi="宋体"/>
                <w:color w:val="000000"/>
                <w:sz w:val="18"/>
              </w:rPr>
            </w:pPr>
            <w:r>
              <w:rPr>
                <w:rFonts w:hint="eastAsia" w:ascii="宋体" w:hAnsi="宋体"/>
                <w:color w:val="000000"/>
                <w:sz w:val="18"/>
              </w:rPr>
              <w:t>10.支持通过可视化控制平台软件对播放画面的编辑和控制，支持IOS/WINDOWS/鸿蒙/安卓主流平板或电脑；</w:t>
            </w:r>
          </w:p>
          <w:p w14:paraId="7AD91698">
            <w:pPr>
              <w:spacing w:beforeLines="0" w:afterLines="0"/>
              <w:jc w:val="both"/>
              <w:rPr>
                <w:rFonts w:hint="eastAsia" w:ascii="宋体" w:hAnsi="宋体"/>
                <w:color w:val="000000"/>
                <w:sz w:val="18"/>
              </w:rPr>
            </w:pPr>
            <w:r>
              <w:rPr>
                <w:rFonts w:hint="eastAsia" w:ascii="宋体" w:hAnsi="宋体"/>
                <w:color w:val="000000"/>
                <w:sz w:val="18"/>
              </w:rPr>
              <w:t>11.支持输出接口虚拟放大和缩小，方便点对点开窗。支持输出接口标记，快速定位输出接口的位置</w:t>
            </w:r>
            <w:r>
              <w:rPr>
                <w:rFonts w:hint="eastAsia" w:ascii="宋体" w:hAnsi="宋体" w:eastAsia="宋体"/>
                <w:color w:val="000000"/>
                <w:sz w:val="18"/>
                <w:lang w:eastAsia="zh-CN"/>
              </w:rPr>
              <w:t>；</w:t>
            </w:r>
          </w:p>
          <w:p w14:paraId="6CC09F17">
            <w:pPr>
              <w:spacing w:beforeLines="0" w:afterLines="0"/>
              <w:jc w:val="both"/>
              <w:rPr>
                <w:rFonts w:hint="eastAsia" w:ascii="宋体" w:hAnsi="宋体"/>
                <w:color w:val="000000"/>
                <w:sz w:val="18"/>
              </w:rPr>
            </w:pPr>
            <w:r>
              <w:rPr>
                <w:rFonts w:hint="eastAsia" w:ascii="宋体" w:hAnsi="宋体"/>
                <w:color w:val="000000"/>
                <w:sz w:val="18"/>
              </w:rPr>
              <w:t>1</w:t>
            </w:r>
            <w:r>
              <w:rPr>
                <w:rFonts w:hint="eastAsia" w:ascii="宋体" w:hAnsi="宋体" w:eastAsia="宋体"/>
                <w:color w:val="000000"/>
                <w:sz w:val="18"/>
                <w:lang w:val="en-US" w:eastAsia="zh-CN"/>
              </w:rPr>
              <w:t>2</w:t>
            </w:r>
            <w:r>
              <w:rPr>
                <w:rFonts w:hint="eastAsia" w:ascii="宋体" w:hAnsi="宋体"/>
                <w:color w:val="000000"/>
                <w:sz w:val="18"/>
              </w:rPr>
              <w:t>.支持在媒体库中添加本地的视频、图片、音频、PPT、WORD、EXCEL、PDF、NDI媒体、采集设备、网站、流媒体、播放合集、时钟、字幕、序列帧、flash、Unity3D文件等多种素材。</w:t>
            </w:r>
          </w:p>
          <w:p w14:paraId="7A4E26FA">
            <w:pPr>
              <w:spacing w:beforeLines="0" w:afterLines="0"/>
              <w:jc w:val="both"/>
              <w:rPr>
                <w:rFonts w:hint="eastAsia" w:ascii="宋体" w:hAnsi="宋体"/>
                <w:color w:val="000000"/>
                <w:sz w:val="18"/>
              </w:rPr>
            </w:pPr>
            <w:r>
              <w:rPr>
                <w:rFonts w:hint="eastAsia" w:ascii="宋体" w:hAnsi="宋体"/>
                <w:color w:val="000000"/>
                <w:sz w:val="18"/>
              </w:rPr>
              <w:t>1</w:t>
            </w:r>
            <w:r>
              <w:rPr>
                <w:rFonts w:hint="eastAsia" w:ascii="宋体" w:hAnsi="宋体" w:eastAsia="宋体"/>
                <w:color w:val="000000"/>
                <w:sz w:val="18"/>
                <w:lang w:val="en-US" w:eastAsia="zh-CN"/>
              </w:rPr>
              <w:t>3</w:t>
            </w:r>
            <w:r>
              <w:rPr>
                <w:rFonts w:hint="eastAsia" w:ascii="宋体" w:hAnsi="宋体"/>
                <w:color w:val="000000"/>
                <w:sz w:val="18"/>
              </w:rPr>
              <w:t>.支持H.264、H.265、MPGE-4/2、WMV、VP8、VP9视频格式的硬件解码和HAP格式的硬件加速播放。可实现8K4K@60fps视频画面的流畅播放。</w:t>
            </w:r>
          </w:p>
          <w:p w14:paraId="31ABDA51">
            <w:pPr>
              <w:spacing w:beforeLines="0" w:afterLines="0"/>
              <w:jc w:val="both"/>
              <w:rPr>
                <w:rFonts w:hint="eastAsia" w:ascii="宋体" w:hAnsi="宋体"/>
                <w:color w:val="000000"/>
                <w:sz w:val="18"/>
              </w:rPr>
            </w:pPr>
            <w:r>
              <w:rPr>
                <w:rFonts w:hint="eastAsia" w:ascii="宋体" w:hAnsi="宋体"/>
                <w:color w:val="000000"/>
                <w:sz w:val="18"/>
              </w:rPr>
              <w:t>14.支持多个视频随路音频的解嵌，可通过硬件的多个音频输出口同时分离输出。。</w:t>
            </w:r>
          </w:p>
          <w:p w14:paraId="47F8FB48">
            <w:pPr>
              <w:spacing w:beforeLines="0" w:afterLines="0"/>
              <w:jc w:val="both"/>
              <w:rPr>
                <w:rFonts w:hint="eastAsia" w:ascii="宋体" w:hAnsi="宋体"/>
                <w:color w:val="000000"/>
                <w:sz w:val="18"/>
              </w:rPr>
            </w:pPr>
            <w:r>
              <w:rPr>
                <w:rFonts w:hint="eastAsia" w:ascii="宋体" w:hAnsi="宋体"/>
                <w:color w:val="000000"/>
                <w:sz w:val="18"/>
              </w:rPr>
              <w:t>15.支持播放节目的排期播放并对排期节目的播放日志进行查看及导出管理。</w:t>
            </w:r>
          </w:p>
          <w:p w14:paraId="7EF6CA18">
            <w:pPr>
              <w:spacing w:beforeLines="0" w:afterLines="0"/>
              <w:jc w:val="both"/>
              <w:rPr>
                <w:rFonts w:hint="eastAsia" w:ascii="宋体" w:hAnsi="宋体"/>
                <w:color w:val="000000"/>
                <w:sz w:val="18"/>
              </w:rPr>
            </w:pPr>
            <w:r>
              <w:rPr>
                <w:rFonts w:hint="eastAsia" w:ascii="宋体" w:hAnsi="宋体"/>
                <w:color w:val="000000"/>
                <w:sz w:val="18"/>
              </w:rPr>
              <w:t>16.开放外部控制协议，可方便用户进行自由集成；</w:t>
            </w:r>
          </w:p>
          <w:p w14:paraId="4C9CF710">
            <w:pPr>
              <w:spacing w:beforeLines="0" w:afterLines="0"/>
              <w:jc w:val="both"/>
              <w:rPr>
                <w:rFonts w:hint="eastAsia" w:ascii="宋体" w:hAnsi="宋体"/>
                <w:color w:val="000000"/>
                <w:sz w:val="18"/>
              </w:rPr>
            </w:pPr>
          </w:p>
          <w:p w14:paraId="178D579D">
            <w:pPr>
              <w:spacing w:beforeLines="0" w:afterLines="0"/>
              <w:jc w:val="both"/>
              <w:rPr>
                <w:rFonts w:hint="eastAsia" w:ascii="宋体" w:hAnsi="宋体"/>
                <w:color w:val="000000"/>
                <w:sz w:val="18"/>
              </w:rPr>
            </w:pPr>
          </w:p>
          <w:p w14:paraId="381B4AB1">
            <w:pPr>
              <w:spacing w:beforeLines="0" w:afterLines="0"/>
              <w:jc w:val="both"/>
              <w:rPr>
                <w:rFonts w:hint="eastAsia" w:ascii="宋体" w:hAnsi="宋体"/>
                <w:color w:val="000000"/>
                <w:sz w:val="18"/>
              </w:rPr>
            </w:pPr>
          </w:p>
          <w:p w14:paraId="06E9A119">
            <w:pPr>
              <w:spacing w:beforeLines="0" w:afterLines="0"/>
              <w:jc w:val="both"/>
              <w:rPr>
                <w:rFonts w:hint="eastAsia" w:ascii="宋体" w:hAnsi="宋体"/>
                <w:color w:val="000000"/>
                <w:sz w:val="18"/>
              </w:rPr>
            </w:pPr>
          </w:p>
          <w:p w14:paraId="435BCC83">
            <w:pPr>
              <w:spacing w:beforeLines="0" w:afterLines="0"/>
              <w:jc w:val="both"/>
              <w:rPr>
                <w:rFonts w:hint="eastAsia" w:ascii="宋体" w:hAnsi="宋体"/>
                <w:color w:val="000000"/>
                <w:sz w:val="18"/>
              </w:rPr>
            </w:pPr>
          </w:p>
          <w:p w14:paraId="136C101C">
            <w:pPr>
              <w:spacing w:beforeLines="0" w:afterLines="0"/>
              <w:jc w:val="both"/>
              <w:rPr>
                <w:rFonts w:hint="eastAsia" w:ascii="宋体" w:hAnsi="宋体"/>
                <w:color w:val="000000"/>
                <w:sz w:val="18"/>
              </w:rPr>
            </w:pP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6316B4F6">
            <w:pPr>
              <w:spacing w:beforeLines="0" w:afterLines="0"/>
              <w:ind w:firstLine="180" w:firstLineChars="100"/>
              <w:jc w:val="both"/>
              <w:rPr>
                <w:rFonts w:hint="eastAsia" w:ascii="宋体" w:hAnsi="宋体"/>
                <w:color w:val="000000"/>
                <w:sz w:val="18"/>
              </w:rPr>
            </w:pPr>
            <w:r>
              <w:rPr>
                <w:rFonts w:hint="eastAsia" w:ascii="宋体" w:hAnsi="宋体"/>
                <w:color w:val="000000"/>
                <w:sz w:val="18"/>
              </w:rPr>
              <w:t>套</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3FCD8F67">
            <w:pPr>
              <w:spacing w:beforeLines="0" w:afterLines="0"/>
              <w:ind w:firstLine="180" w:firstLineChars="100"/>
              <w:jc w:val="both"/>
              <w:rPr>
                <w:rFonts w:hint="eastAsia" w:ascii="宋体" w:hAnsi="宋体"/>
                <w:color w:val="000000"/>
                <w:sz w:val="18"/>
              </w:rPr>
            </w:pPr>
            <w:r>
              <w:rPr>
                <w:rFonts w:hint="eastAsia" w:ascii="宋体" w:hAnsi="宋体"/>
                <w:color w:val="000000"/>
                <w:sz w:val="18"/>
              </w:rPr>
              <w:t>1</w:t>
            </w:r>
          </w:p>
        </w:tc>
      </w:tr>
      <w:tr w14:paraId="4485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6" w:hRule="atLeast"/>
        </w:trPr>
        <w:tc>
          <w:tcPr>
            <w:tcW w:w="681"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1AA98DB">
            <w:pPr>
              <w:spacing w:beforeLines="0" w:afterLines="0"/>
              <w:ind w:firstLine="180" w:firstLineChars="100"/>
              <w:jc w:val="both"/>
              <w:rPr>
                <w:rFonts w:hint="eastAsia" w:ascii="宋体" w:hAnsi="宋体"/>
                <w:color w:val="000000"/>
                <w:sz w:val="18"/>
              </w:rPr>
            </w:pPr>
            <w:r>
              <w:rPr>
                <w:rFonts w:hint="eastAsia" w:ascii="宋体" w:hAnsi="宋体"/>
                <w:color w:val="000000"/>
                <w:sz w:val="18"/>
              </w:rPr>
              <w:t>6</w:t>
            </w:r>
          </w:p>
        </w:tc>
        <w:tc>
          <w:tcPr>
            <w:tcW w:w="116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F4580CB">
            <w:pPr>
              <w:spacing w:beforeLines="0" w:afterLines="0"/>
              <w:jc w:val="both"/>
              <w:rPr>
                <w:rFonts w:hint="eastAsia" w:ascii="宋体" w:hAnsi="宋体"/>
                <w:color w:val="000000"/>
                <w:sz w:val="18"/>
              </w:rPr>
            </w:pPr>
            <w:r>
              <w:rPr>
                <w:rFonts w:hint="eastAsia" w:ascii="宋体" w:hAnsi="宋体"/>
                <w:color w:val="000000"/>
                <w:sz w:val="18"/>
              </w:rPr>
              <w:t>智能配电柜</w:t>
            </w:r>
          </w:p>
        </w:tc>
        <w:tc>
          <w:tcPr>
            <w:tcW w:w="1221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29220EA">
            <w:pPr>
              <w:spacing w:beforeLines="0" w:afterLines="0"/>
              <w:jc w:val="both"/>
              <w:rPr>
                <w:rFonts w:hint="eastAsia" w:ascii="宋体" w:hAnsi="宋体"/>
                <w:color w:val="000000"/>
                <w:sz w:val="18"/>
              </w:rPr>
            </w:pPr>
            <w:r>
              <w:rPr>
                <w:rFonts w:hint="eastAsia" w:ascii="宋体" w:hAnsi="宋体"/>
                <w:color w:val="000000"/>
                <w:sz w:val="18"/>
              </w:rPr>
              <w:t>功率≥10KW</w:t>
            </w:r>
          </w:p>
          <w:p w14:paraId="14F8C22B">
            <w:pPr>
              <w:spacing w:beforeLines="0" w:afterLines="0"/>
              <w:jc w:val="both"/>
              <w:rPr>
                <w:rFonts w:hint="eastAsia" w:ascii="宋体" w:hAnsi="宋体"/>
                <w:color w:val="000000"/>
                <w:sz w:val="18"/>
              </w:rPr>
            </w:pPr>
            <w:r>
              <w:rPr>
                <w:rFonts w:hint="eastAsia" w:ascii="宋体" w:hAnsi="宋体"/>
                <w:color w:val="000000"/>
                <w:sz w:val="18"/>
              </w:rPr>
              <w:t>1.具备手动控制设备供电的开启和关闭；</w:t>
            </w:r>
          </w:p>
          <w:p w14:paraId="3957A08A">
            <w:pPr>
              <w:spacing w:beforeLines="0" w:afterLines="0"/>
              <w:jc w:val="both"/>
              <w:rPr>
                <w:rFonts w:hint="eastAsia" w:ascii="宋体" w:hAnsi="宋体"/>
                <w:color w:val="000000"/>
                <w:sz w:val="18"/>
              </w:rPr>
            </w:pPr>
            <w:r>
              <w:rPr>
                <w:rFonts w:hint="eastAsia" w:ascii="宋体" w:hAnsi="宋体"/>
                <w:color w:val="000000"/>
                <w:sz w:val="18"/>
              </w:rPr>
              <w:t>2.单组回路输出，标配为手动控制，可添加定时开关控制</w:t>
            </w:r>
          </w:p>
          <w:p w14:paraId="09CBB66C">
            <w:pPr>
              <w:spacing w:beforeLines="0" w:afterLines="0"/>
              <w:jc w:val="both"/>
              <w:rPr>
                <w:rFonts w:hint="eastAsia" w:ascii="宋体" w:hAnsi="宋体"/>
                <w:color w:val="000000"/>
                <w:sz w:val="18"/>
              </w:rPr>
            </w:pPr>
            <w:r>
              <w:rPr>
                <w:rFonts w:hint="eastAsia" w:ascii="宋体" w:hAnsi="宋体"/>
                <w:color w:val="000000"/>
                <w:sz w:val="18"/>
              </w:rPr>
              <w:t>3.具备上电保护功能。</w:t>
            </w:r>
          </w:p>
          <w:p w14:paraId="6D96B679">
            <w:pPr>
              <w:spacing w:beforeLines="0" w:afterLines="0"/>
              <w:jc w:val="left"/>
              <w:rPr>
                <w:rFonts w:hint="eastAsia" w:ascii="宋体" w:hAnsi="宋体"/>
                <w:color w:val="000000"/>
                <w:sz w:val="18"/>
              </w:rPr>
            </w:pPr>
            <w:r>
              <w:rPr>
                <w:rFonts w:hint="eastAsia" w:ascii="宋体" w:hAnsi="宋体"/>
                <w:color w:val="000000"/>
                <w:sz w:val="18"/>
              </w:rPr>
              <w:t>4.具有电源状态指示、运行状态指示</w:t>
            </w:r>
          </w:p>
          <w:p w14:paraId="6084EAB7">
            <w:pPr>
              <w:spacing w:beforeLines="0" w:afterLines="0"/>
              <w:jc w:val="left"/>
              <w:rPr>
                <w:rFonts w:hint="eastAsia" w:ascii="宋体" w:hAnsi="宋体"/>
                <w:color w:val="000000"/>
                <w:sz w:val="18"/>
              </w:rPr>
            </w:pPr>
            <w:r>
              <w:rPr>
                <w:rFonts w:hint="eastAsia" w:ascii="宋体" w:hAnsi="宋体"/>
                <w:color w:val="000000"/>
                <w:sz w:val="18"/>
              </w:rPr>
              <w:t xml:space="preserve">5.内部线材采用正泰4平方国标纯铜导线                                                                                                                                                                                                                                                                            </w:t>
            </w: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7856CB19">
            <w:pPr>
              <w:spacing w:beforeLines="0" w:afterLines="0"/>
              <w:ind w:firstLine="180" w:firstLineChars="100"/>
              <w:jc w:val="center"/>
              <w:rPr>
                <w:rFonts w:hint="eastAsia" w:ascii="宋体" w:hAnsi="宋体"/>
                <w:color w:val="000000"/>
                <w:sz w:val="18"/>
              </w:rPr>
            </w:pPr>
            <w:r>
              <w:rPr>
                <w:rFonts w:hint="eastAsia" w:ascii="宋体" w:hAnsi="宋体"/>
                <w:color w:val="000000"/>
                <w:sz w:val="18"/>
              </w:rPr>
              <w:t>台</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6FFF9AA9">
            <w:pPr>
              <w:spacing w:beforeLines="0" w:afterLines="0"/>
              <w:jc w:val="center"/>
              <w:rPr>
                <w:rFonts w:hint="eastAsia" w:ascii="宋体" w:hAnsi="宋体"/>
                <w:color w:val="000000"/>
                <w:sz w:val="18"/>
              </w:rPr>
            </w:pPr>
            <w:r>
              <w:rPr>
                <w:rFonts w:hint="eastAsia" w:ascii="宋体" w:hAnsi="宋体"/>
                <w:color w:val="000000"/>
                <w:sz w:val="18"/>
              </w:rPr>
              <w:t>2</w:t>
            </w:r>
          </w:p>
        </w:tc>
      </w:tr>
      <w:tr w14:paraId="33B1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6" w:hRule="atLeast"/>
        </w:trPr>
        <w:tc>
          <w:tcPr>
            <w:tcW w:w="681"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924689E">
            <w:pPr>
              <w:spacing w:beforeLines="0" w:afterLines="0"/>
              <w:ind w:firstLine="180" w:firstLineChars="100"/>
              <w:jc w:val="both"/>
              <w:rPr>
                <w:rFonts w:hint="eastAsia" w:ascii="宋体" w:hAnsi="宋体"/>
                <w:color w:val="000000"/>
                <w:sz w:val="18"/>
              </w:rPr>
            </w:pPr>
            <w:r>
              <w:rPr>
                <w:rFonts w:hint="eastAsia" w:ascii="宋体" w:hAnsi="宋体"/>
                <w:color w:val="000000"/>
                <w:sz w:val="18"/>
              </w:rPr>
              <w:t>7</w:t>
            </w:r>
          </w:p>
        </w:tc>
        <w:tc>
          <w:tcPr>
            <w:tcW w:w="116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93A8680">
            <w:pPr>
              <w:spacing w:beforeLines="0" w:afterLines="0"/>
              <w:jc w:val="left"/>
              <w:rPr>
                <w:rFonts w:hint="eastAsia" w:ascii="宋体" w:hAnsi="宋体"/>
                <w:color w:val="000000"/>
                <w:sz w:val="18"/>
              </w:rPr>
            </w:pPr>
            <w:r>
              <w:rPr>
                <w:rFonts w:hint="eastAsia" w:ascii="宋体" w:hAnsi="宋体"/>
                <w:color w:val="000000"/>
                <w:sz w:val="18"/>
              </w:rPr>
              <w:t>智能配电柜</w:t>
            </w:r>
          </w:p>
        </w:tc>
        <w:tc>
          <w:tcPr>
            <w:tcW w:w="1221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FED7775">
            <w:pPr>
              <w:spacing w:beforeLines="0" w:afterLines="0"/>
              <w:jc w:val="left"/>
              <w:rPr>
                <w:rFonts w:hint="eastAsia" w:ascii="宋体" w:hAnsi="宋体"/>
                <w:color w:val="000000"/>
                <w:sz w:val="18"/>
              </w:rPr>
            </w:pPr>
            <w:r>
              <w:rPr>
                <w:rFonts w:hint="eastAsia" w:ascii="宋体" w:hAnsi="宋体"/>
                <w:color w:val="000000"/>
                <w:sz w:val="18"/>
              </w:rPr>
              <w:t>功率≥20KW</w:t>
            </w:r>
          </w:p>
          <w:p w14:paraId="693EAA18">
            <w:pPr>
              <w:spacing w:beforeLines="0" w:afterLines="0"/>
              <w:jc w:val="left"/>
              <w:rPr>
                <w:rFonts w:hint="eastAsia" w:ascii="宋体" w:hAnsi="宋体"/>
                <w:color w:val="000000"/>
                <w:sz w:val="18"/>
              </w:rPr>
            </w:pPr>
            <w:r>
              <w:rPr>
                <w:rFonts w:hint="eastAsia" w:ascii="宋体" w:hAnsi="宋体"/>
                <w:color w:val="000000"/>
                <w:sz w:val="18"/>
              </w:rPr>
              <w:t>1.具备手动控制设备供电的开启和关闭；</w:t>
            </w:r>
          </w:p>
          <w:p w14:paraId="7B96B690">
            <w:pPr>
              <w:spacing w:beforeLines="0" w:afterLines="0"/>
              <w:jc w:val="left"/>
              <w:rPr>
                <w:rFonts w:hint="eastAsia" w:ascii="宋体" w:hAnsi="宋体"/>
                <w:color w:val="000000"/>
                <w:sz w:val="18"/>
              </w:rPr>
            </w:pPr>
            <w:r>
              <w:rPr>
                <w:rFonts w:hint="eastAsia" w:ascii="宋体" w:hAnsi="宋体"/>
                <w:color w:val="000000"/>
                <w:sz w:val="18"/>
              </w:rPr>
              <w:t>2.单组回路输出，标配为手动控制，可添加定时开关控制</w:t>
            </w:r>
          </w:p>
          <w:p w14:paraId="7DDA4325">
            <w:pPr>
              <w:spacing w:beforeLines="0" w:afterLines="0"/>
              <w:jc w:val="left"/>
              <w:rPr>
                <w:rFonts w:hint="eastAsia" w:ascii="宋体" w:hAnsi="宋体"/>
                <w:color w:val="000000"/>
                <w:sz w:val="18"/>
              </w:rPr>
            </w:pPr>
            <w:r>
              <w:rPr>
                <w:rFonts w:hint="eastAsia" w:ascii="宋体" w:hAnsi="宋体"/>
                <w:color w:val="000000"/>
                <w:sz w:val="18"/>
              </w:rPr>
              <w:t>3.具备上电保护功能。</w:t>
            </w:r>
          </w:p>
          <w:p w14:paraId="23380688">
            <w:pPr>
              <w:spacing w:beforeLines="0" w:afterLines="0"/>
              <w:jc w:val="left"/>
              <w:rPr>
                <w:rFonts w:hint="eastAsia" w:ascii="宋体" w:hAnsi="宋体"/>
                <w:color w:val="000000"/>
                <w:sz w:val="18"/>
              </w:rPr>
            </w:pPr>
            <w:r>
              <w:rPr>
                <w:rFonts w:hint="eastAsia" w:ascii="宋体" w:hAnsi="宋体"/>
                <w:color w:val="000000"/>
                <w:sz w:val="18"/>
              </w:rPr>
              <w:t>4.具有电源状态指示、运行状态指示</w:t>
            </w:r>
          </w:p>
          <w:p w14:paraId="23FBAC09">
            <w:pPr>
              <w:spacing w:beforeLines="0" w:afterLines="0"/>
              <w:jc w:val="left"/>
              <w:rPr>
                <w:rFonts w:hint="eastAsia" w:ascii="宋体" w:hAnsi="宋体"/>
                <w:color w:val="000000"/>
                <w:sz w:val="18"/>
              </w:rPr>
            </w:pPr>
            <w:r>
              <w:rPr>
                <w:rFonts w:hint="eastAsia" w:ascii="宋体" w:hAnsi="宋体"/>
                <w:color w:val="000000"/>
                <w:sz w:val="18"/>
              </w:rPr>
              <w:t xml:space="preserve">5.内部线材采用正泰4平方国标纯铜导线                                                                                                                                                                                                                                                                            </w:t>
            </w: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389291BF">
            <w:pPr>
              <w:spacing w:beforeLines="0" w:afterLines="0"/>
              <w:jc w:val="center"/>
              <w:rPr>
                <w:rFonts w:hint="eastAsia" w:ascii="宋体" w:hAnsi="宋体"/>
                <w:color w:val="000000"/>
                <w:sz w:val="18"/>
              </w:rPr>
            </w:pPr>
            <w:r>
              <w:rPr>
                <w:rFonts w:hint="eastAsia" w:ascii="宋体" w:hAnsi="宋体"/>
                <w:color w:val="000000"/>
                <w:sz w:val="18"/>
              </w:rPr>
              <w:t>台</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78FD0FBD">
            <w:pPr>
              <w:spacing w:beforeLines="0" w:afterLines="0"/>
              <w:jc w:val="center"/>
              <w:rPr>
                <w:rFonts w:hint="eastAsia" w:ascii="宋体" w:hAnsi="宋体"/>
                <w:color w:val="000000"/>
                <w:sz w:val="18"/>
              </w:rPr>
            </w:pPr>
            <w:r>
              <w:rPr>
                <w:rFonts w:hint="eastAsia" w:ascii="宋体" w:hAnsi="宋体"/>
                <w:color w:val="000000"/>
                <w:sz w:val="18"/>
              </w:rPr>
              <w:t>1</w:t>
            </w:r>
          </w:p>
        </w:tc>
      </w:tr>
      <w:tr w14:paraId="605F5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5" w:hRule="atLeast"/>
        </w:trPr>
        <w:tc>
          <w:tcPr>
            <w:tcW w:w="681"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E78AA2C">
            <w:pPr>
              <w:spacing w:beforeLines="0" w:afterLines="0"/>
              <w:ind w:firstLine="180" w:firstLineChars="100"/>
              <w:jc w:val="both"/>
              <w:rPr>
                <w:rFonts w:hint="eastAsia" w:ascii="宋体" w:hAnsi="宋体"/>
                <w:color w:val="000000"/>
                <w:sz w:val="18"/>
              </w:rPr>
            </w:pPr>
            <w:r>
              <w:rPr>
                <w:rFonts w:hint="eastAsia" w:ascii="宋体" w:hAnsi="宋体"/>
                <w:color w:val="000000"/>
                <w:sz w:val="18"/>
              </w:rPr>
              <w:t>8</w:t>
            </w:r>
          </w:p>
        </w:tc>
        <w:tc>
          <w:tcPr>
            <w:tcW w:w="116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92A226C">
            <w:pPr>
              <w:spacing w:beforeLines="0" w:afterLines="0"/>
              <w:jc w:val="center"/>
              <w:rPr>
                <w:rFonts w:hint="eastAsia" w:ascii="宋体" w:hAnsi="宋体"/>
                <w:color w:val="000000"/>
                <w:sz w:val="18"/>
              </w:rPr>
            </w:pPr>
            <w:r>
              <w:rPr>
                <w:rFonts w:hint="eastAsia" w:ascii="宋体" w:hAnsi="宋体"/>
                <w:color w:val="000000"/>
                <w:sz w:val="18"/>
              </w:rPr>
              <w:t>同轴吸</w:t>
            </w:r>
          </w:p>
          <w:p w14:paraId="16D976CB">
            <w:pPr>
              <w:spacing w:beforeLines="0" w:afterLines="0"/>
              <w:jc w:val="center"/>
              <w:rPr>
                <w:rFonts w:hint="eastAsia" w:ascii="宋体" w:hAnsi="宋体"/>
                <w:color w:val="000000"/>
                <w:sz w:val="18"/>
              </w:rPr>
            </w:pPr>
            <w:r>
              <w:rPr>
                <w:rFonts w:hint="eastAsia" w:ascii="宋体" w:hAnsi="宋体"/>
                <w:color w:val="000000"/>
                <w:sz w:val="18"/>
              </w:rPr>
              <w:t>顶音箱</w:t>
            </w:r>
          </w:p>
        </w:tc>
        <w:tc>
          <w:tcPr>
            <w:tcW w:w="1221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B2822F1">
            <w:pPr>
              <w:spacing w:beforeLines="0" w:afterLines="0"/>
              <w:jc w:val="both"/>
              <w:rPr>
                <w:rFonts w:hint="eastAsia" w:ascii="宋体" w:hAnsi="宋体"/>
                <w:color w:val="000000"/>
                <w:sz w:val="18"/>
              </w:rPr>
            </w:pPr>
            <w:r>
              <w:rPr>
                <w:rFonts w:hint="eastAsia" w:ascii="宋体" w:hAnsi="宋体"/>
                <w:color w:val="000000"/>
                <w:sz w:val="18"/>
              </w:rPr>
              <w:t>▲1.频率响应不劣于 90Hz ~ 20kHz；以保证所标参数的真实性和准确度，音箱的研发需要经过大型消声室的测试，请提供消声室相关介绍文件及消声室检测报告。</w:t>
            </w:r>
          </w:p>
          <w:p w14:paraId="549C66E4">
            <w:pPr>
              <w:spacing w:beforeLines="0" w:afterLines="0"/>
              <w:jc w:val="both"/>
              <w:rPr>
                <w:rFonts w:hint="eastAsia" w:ascii="宋体" w:hAnsi="宋体"/>
                <w:color w:val="000000"/>
                <w:sz w:val="18"/>
              </w:rPr>
            </w:pPr>
            <w:r>
              <w:rPr>
                <w:rFonts w:hint="eastAsia" w:ascii="宋体" w:hAnsi="宋体"/>
                <w:color w:val="000000"/>
                <w:sz w:val="18"/>
              </w:rPr>
              <w:t>2.灵敏度(1m/1W)不小于 92dB；</w:t>
            </w:r>
          </w:p>
          <w:p w14:paraId="58EB1677">
            <w:pPr>
              <w:spacing w:beforeLines="0" w:afterLines="0"/>
              <w:jc w:val="both"/>
              <w:rPr>
                <w:rFonts w:hint="eastAsia" w:ascii="宋体" w:hAnsi="宋体"/>
                <w:color w:val="000000"/>
                <w:sz w:val="18"/>
              </w:rPr>
            </w:pPr>
            <w:r>
              <w:rPr>
                <w:rFonts w:hint="eastAsia" w:ascii="宋体" w:hAnsi="宋体"/>
                <w:color w:val="000000"/>
                <w:sz w:val="18"/>
              </w:rPr>
              <w:t>3.额定功率(AES)不小于 60W；</w:t>
            </w:r>
          </w:p>
          <w:p w14:paraId="4BCED57B">
            <w:pPr>
              <w:spacing w:beforeLines="0" w:afterLines="0"/>
              <w:jc w:val="both"/>
              <w:rPr>
                <w:rFonts w:hint="eastAsia" w:ascii="宋体" w:hAnsi="宋体"/>
                <w:color w:val="000000"/>
                <w:sz w:val="18"/>
              </w:rPr>
            </w:pPr>
            <w:r>
              <w:rPr>
                <w:rFonts w:hint="eastAsia" w:ascii="宋体" w:hAnsi="宋体"/>
                <w:color w:val="000000"/>
                <w:sz w:val="18"/>
              </w:rPr>
              <w:t xml:space="preserve">4.输入方式：100V不小于 </w:t>
            </w:r>
            <w:r>
              <w:rPr>
                <w:rFonts w:hint="eastAsia" w:ascii="宋体" w:hAnsi="宋体" w:eastAsia="宋体"/>
                <w:color w:val="000000"/>
                <w:sz w:val="18"/>
                <w:lang w:eastAsia="zh-CN"/>
              </w:rPr>
              <w:t>、</w:t>
            </w:r>
            <w:r>
              <w:rPr>
                <w:rFonts w:hint="eastAsia" w:ascii="宋体" w:hAnsi="宋体"/>
                <w:color w:val="000000"/>
                <w:sz w:val="18"/>
              </w:rPr>
              <w:t>70V不小于</w:t>
            </w:r>
            <w:r>
              <w:rPr>
                <w:rFonts w:hint="eastAsia" w:ascii="宋体" w:hAnsi="宋体" w:eastAsia="宋体"/>
                <w:color w:val="000000"/>
                <w:sz w:val="18"/>
                <w:lang w:eastAsia="zh-CN"/>
              </w:rPr>
              <w:t>；</w:t>
            </w:r>
          </w:p>
          <w:p w14:paraId="3BE0CD70">
            <w:pPr>
              <w:spacing w:beforeLines="0" w:afterLines="0"/>
              <w:jc w:val="both"/>
              <w:rPr>
                <w:rFonts w:hint="eastAsia" w:ascii="宋体" w:hAnsi="宋体"/>
                <w:color w:val="000000"/>
                <w:sz w:val="18"/>
              </w:rPr>
            </w:pPr>
            <w:r>
              <w:rPr>
                <w:rFonts w:hint="eastAsia" w:ascii="宋体" w:hAnsi="宋体"/>
                <w:color w:val="000000"/>
                <w:sz w:val="18"/>
              </w:rPr>
              <w:t>5.Bypass (16欧姆)；</w:t>
            </w:r>
          </w:p>
          <w:p w14:paraId="70093DE0">
            <w:pPr>
              <w:spacing w:beforeLines="0" w:afterLines="0"/>
              <w:jc w:val="both"/>
              <w:rPr>
                <w:rFonts w:hint="eastAsia" w:ascii="宋体" w:hAnsi="宋体"/>
                <w:color w:val="000000"/>
                <w:sz w:val="18"/>
              </w:rPr>
            </w:pPr>
            <w:r>
              <w:rPr>
                <w:rFonts w:hint="eastAsia" w:ascii="宋体" w:hAnsi="宋体"/>
                <w:color w:val="000000"/>
                <w:sz w:val="18"/>
              </w:rPr>
              <w:t>6.低频不少于 6.5寸；</w:t>
            </w:r>
          </w:p>
          <w:p w14:paraId="7B25FED6">
            <w:pPr>
              <w:spacing w:beforeLines="0" w:afterLines="0"/>
              <w:jc w:val="both"/>
              <w:rPr>
                <w:rFonts w:hint="eastAsia" w:ascii="宋体" w:hAnsi="宋体"/>
                <w:color w:val="000000"/>
                <w:sz w:val="18"/>
              </w:rPr>
            </w:pPr>
            <w:r>
              <w:rPr>
                <w:rFonts w:hint="eastAsia" w:ascii="宋体" w:hAnsi="宋体"/>
                <w:color w:val="000000"/>
                <w:sz w:val="18"/>
              </w:rPr>
              <w:t>7.高频不少于 25芯高音；</w:t>
            </w:r>
          </w:p>
          <w:p w14:paraId="181EE0C8">
            <w:pPr>
              <w:spacing w:beforeLines="0" w:afterLines="0"/>
              <w:jc w:val="both"/>
              <w:rPr>
                <w:rFonts w:hint="eastAsia" w:ascii="宋体" w:hAnsi="宋体"/>
                <w:color w:val="000000"/>
                <w:sz w:val="18"/>
              </w:rPr>
            </w:pP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577311E0">
            <w:pPr>
              <w:spacing w:beforeLines="0" w:afterLines="0"/>
              <w:jc w:val="center"/>
              <w:rPr>
                <w:rFonts w:hint="eastAsia" w:ascii="宋体" w:hAnsi="宋体"/>
                <w:color w:val="000000"/>
                <w:sz w:val="18"/>
              </w:rPr>
            </w:pPr>
            <w:r>
              <w:rPr>
                <w:rFonts w:hint="eastAsia" w:ascii="宋体" w:hAnsi="宋体"/>
                <w:color w:val="000000"/>
                <w:sz w:val="18"/>
              </w:rPr>
              <w:t>只</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30756160">
            <w:pPr>
              <w:spacing w:beforeLines="0" w:afterLines="0"/>
              <w:jc w:val="center"/>
              <w:rPr>
                <w:rFonts w:hint="eastAsia" w:ascii="宋体" w:hAnsi="宋体"/>
                <w:color w:val="000000"/>
                <w:sz w:val="18"/>
              </w:rPr>
            </w:pPr>
            <w:r>
              <w:rPr>
                <w:rFonts w:hint="eastAsia" w:ascii="宋体" w:hAnsi="宋体"/>
                <w:color w:val="000000"/>
                <w:sz w:val="18"/>
              </w:rPr>
              <w:t>4</w:t>
            </w:r>
          </w:p>
        </w:tc>
      </w:tr>
      <w:tr w14:paraId="6622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6" w:hRule="atLeast"/>
        </w:trPr>
        <w:tc>
          <w:tcPr>
            <w:tcW w:w="681"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0E4D543">
            <w:pPr>
              <w:spacing w:beforeLines="0" w:afterLines="0"/>
              <w:ind w:firstLine="180" w:firstLineChars="100"/>
              <w:jc w:val="both"/>
              <w:rPr>
                <w:rFonts w:hint="eastAsia" w:ascii="宋体" w:hAnsi="宋体"/>
                <w:color w:val="000000"/>
                <w:sz w:val="18"/>
              </w:rPr>
            </w:pPr>
            <w:r>
              <w:rPr>
                <w:rFonts w:hint="eastAsia" w:ascii="宋体" w:hAnsi="宋体"/>
                <w:color w:val="000000"/>
                <w:sz w:val="18"/>
              </w:rPr>
              <w:t>9</w:t>
            </w:r>
          </w:p>
        </w:tc>
        <w:tc>
          <w:tcPr>
            <w:tcW w:w="116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BB593DD">
            <w:pPr>
              <w:spacing w:beforeLines="0" w:afterLines="0"/>
              <w:jc w:val="center"/>
              <w:rPr>
                <w:rFonts w:hint="eastAsia" w:ascii="宋体" w:hAnsi="宋体"/>
                <w:color w:val="000000"/>
                <w:sz w:val="18"/>
              </w:rPr>
            </w:pPr>
            <w:r>
              <w:rPr>
                <w:rFonts w:hint="eastAsia" w:ascii="宋体" w:hAnsi="宋体"/>
                <w:color w:val="000000"/>
                <w:sz w:val="18"/>
              </w:rPr>
              <w:t>全铝合</w:t>
            </w:r>
          </w:p>
          <w:p w14:paraId="1B49B2A1">
            <w:pPr>
              <w:spacing w:beforeLines="0" w:afterLines="0"/>
              <w:jc w:val="center"/>
              <w:rPr>
                <w:rFonts w:hint="eastAsia" w:ascii="宋体" w:hAnsi="宋体"/>
                <w:color w:val="000000"/>
                <w:sz w:val="18"/>
              </w:rPr>
            </w:pPr>
            <w:r>
              <w:rPr>
                <w:rFonts w:hint="eastAsia" w:ascii="宋体" w:hAnsi="宋体"/>
                <w:color w:val="000000"/>
                <w:sz w:val="18"/>
              </w:rPr>
              <w:t>金音柱</w:t>
            </w:r>
          </w:p>
        </w:tc>
        <w:tc>
          <w:tcPr>
            <w:tcW w:w="1221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97566C0">
            <w:pPr>
              <w:spacing w:beforeLines="0" w:afterLines="0"/>
              <w:jc w:val="both"/>
              <w:rPr>
                <w:rFonts w:hint="eastAsia" w:ascii="宋体" w:hAnsi="宋体"/>
                <w:color w:val="000000"/>
                <w:sz w:val="18"/>
              </w:rPr>
            </w:pPr>
            <w:r>
              <w:rPr>
                <w:rFonts w:hint="eastAsia" w:ascii="宋体" w:hAnsi="宋体"/>
                <w:color w:val="000000"/>
                <w:sz w:val="18"/>
              </w:rPr>
              <w:t>1.喇叭单元：1"×1，5"×3；</w:t>
            </w:r>
          </w:p>
          <w:p w14:paraId="5273016E">
            <w:pPr>
              <w:spacing w:beforeLines="0" w:afterLines="0"/>
              <w:jc w:val="both"/>
              <w:rPr>
                <w:rFonts w:hint="eastAsia" w:ascii="宋体" w:hAnsi="宋体"/>
                <w:color w:val="000000"/>
                <w:sz w:val="18"/>
              </w:rPr>
            </w:pPr>
            <w:r>
              <w:rPr>
                <w:rFonts w:hint="eastAsia" w:ascii="宋体" w:hAnsi="宋体"/>
                <w:color w:val="000000"/>
                <w:sz w:val="18"/>
              </w:rPr>
              <w:t>2.额定功率：60W；</w:t>
            </w:r>
          </w:p>
          <w:p w14:paraId="17386AFA">
            <w:pPr>
              <w:spacing w:beforeLines="0" w:afterLines="0"/>
              <w:jc w:val="both"/>
              <w:rPr>
                <w:rFonts w:hint="eastAsia" w:ascii="宋体" w:hAnsi="宋体"/>
                <w:color w:val="000000"/>
                <w:sz w:val="18"/>
              </w:rPr>
            </w:pPr>
            <w:r>
              <w:rPr>
                <w:rFonts w:hint="eastAsia" w:ascii="宋体" w:hAnsi="宋体"/>
                <w:color w:val="000000"/>
                <w:sz w:val="18"/>
              </w:rPr>
              <w:t>3.输入电压：70V/100V；</w:t>
            </w:r>
          </w:p>
          <w:p w14:paraId="308A55B2">
            <w:pPr>
              <w:spacing w:beforeLines="0" w:afterLines="0"/>
              <w:jc w:val="both"/>
              <w:rPr>
                <w:rFonts w:hint="eastAsia" w:ascii="宋体" w:hAnsi="宋体"/>
                <w:color w:val="000000"/>
                <w:sz w:val="18"/>
              </w:rPr>
            </w:pPr>
            <w:r>
              <w:rPr>
                <w:rFonts w:hint="eastAsia" w:ascii="宋体" w:hAnsi="宋体"/>
                <w:color w:val="000000"/>
                <w:sz w:val="18"/>
              </w:rPr>
              <w:t>4.灵敏度(1m，1W)：94dB；</w:t>
            </w:r>
          </w:p>
          <w:p w14:paraId="168F47DF">
            <w:pPr>
              <w:spacing w:beforeLines="0" w:afterLines="0"/>
              <w:jc w:val="both"/>
              <w:rPr>
                <w:rFonts w:hint="eastAsia" w:ascii="宋体" w:hAnsi="宋体"/>
                <w:color w:val="000000"/>
                <w:sz w:val="18"/>
              </w:rPr>
            </w:pPr>
            <w:r>
              <w:rPr>
                <w:rFonts w:hint="eastAsia" w:ascii="宋体" w:hAnsi="宋体"/>
                <w:color w:val="000000"/>
                <w:sz w:val="18"/>
              </w:rPr>
              <w:t>5.最大声压级(1m)：112dB；</w:t>
            </w:r>
          </w:p>
          <w:p w14:paraId="49E69160">
            <w:pPr>
              <w:spacing w:beforeLines="0" w:afterLines="0"/>
              <w:jc w:val="both"/>
              <w:rPr>
                <w:rFonts w:hint="eastAsia" w:ascii="宋体" w:hAnsi="宋体"/>
                <w:color w:val="000000"/>
                <w:sz w:val="18"/>
              </w:rPr>
            </w:pPr>
            <w:r>
              <w:rPr>
                <w:rFonts w:hint="eastAsia" w:ascii="宋体" w:hAnsi="宋体"/>
                <w:color w:val="000000"/>
                <w:sz w:val="18"/>
              </w:rPr>
              <w:t>▲6.频率响应：80-20kHz；</w:t>
            </w: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01A00838">
            <w:pPr>
              <w:spacing w:beforeLines="0" w:afterLines="0"/>
              <w:jc w:val="center"/>
              <w:rPr>
                <w:rFonts w:hint="eastAsia" w:ascii="宋体" w:hAnsi="宋体"/>
                <w:color w:val="000000"/>
                <w:sz w:val="18"/>
              </w:rPr>
            </w:pPr>
            <w:r>
              <w:rPr>
                <w:rFonts w:hint="eastAsia" w:ascii="宋体" w:hAnsi="宋体"/>
                <w:color w:val="000000"/>
                <w:sz w:val="18"/>
              </w:rPr>
              <w:t>只</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2F6F7A82">
            <w:pPr>
              <w:spacing w:beforeLines="0" w:afterLines="0"/>
              <w:jc w:val="center"/>
              <w:rPr>
                <w:rFonts w:hint="eastAsia" w:ascii="宋体" w:hAnsi="宋体"/>
                <w:color w:val="000000"/>
                <w:sz w:val="18"/>
              </w:rPr>
            </w:pPr>
            <w:r>
              <w:rPr>
                <w:rFonts w:hint="eastAsia" w:ascii="宋体" w:hAnsi="宋体"/>
                <w:color w:val="000000"/>
                <w:sz w:val="18"/>
              </w:rPr>
              <w:t>2</w:t>
            </w:r>
          </w:p>
        </w:tc>
      </w:tr>
      <w:tr w14:paraId="6FA5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1" w:hRule="atLeast"/>
        </w:trPr>
        <w:tc>
          <w:tcPr>
            <w:tcW w:w="681"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7641561">
            <w:pPr>
              <w:spacing w:beforeLines="0" w:afterLines="0"/>
              <w:ind w:firstLine="180" w:firstLineChars="100"/>
              <w:jc w:val="both"/>
              <w:rPr>
                <w:rFonts w:hint="eastAsia" w:ascii="宋体" w:hAnsi="宋体"/>
                <w:color w:val="000000"/>
                <w:sz w:val="18"/>
              </w:rPr>
            </w:pPr>
            <w:r>
              <w:rPr>
                <w:rFonts w:hint="eastAsia" w:ascii="宋体" w:hAnsi="宋体"/>
                <w:color w:val="000000"/>
                <w:sz w:val="18"/>
              </w:rPr>
              <w:t>10</w:t>
            </w:r>
          </w:p>
        </w:tc>
        <w:tc>
          <w:tcPr>
            <w:tcW w:w="116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3FE3B3E">
            <w:pPr>
              <w:spacing w:beforeLines="0" w:afterLines="0"/>
              <w:jc w:val="both"/>
              <w:rPr>
                <w:rFonts w:hint="eastAsia" w:ascii="宋体" w:hAnsi="宋体"/>
                <w:color w:val="000000"/>
                <w:sz w:val="18"/>
              </w:rPr>
            </w:pPr>
            <w:r>
              <w:rPr>
                <w:rFonts w:hint="eastAsia" w:ascii="宋体" w:hAnsi="宋体"/>
                <w:color w:val="000000"/>
                <w:sz w:val="18"/>
              </w:rPr>
              <w:t>功率放大器</w:t>
            </w:r>
          </w:p>
        </w:tc>
        <w:tc>
          <w:tcPr>
            <w:tcW w:w="1221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73EE87C5">
            <w:pPr>
              <w:spacing w:beforeLines="0" w:afterLines="0"/>
              <w:jc w:val="both"/>
              <w:rPr>
                <w:rFonts w:hint="eastAsia" w:ascii="宋体" w:hAnsi="宋体"/>
                <w:color w:val="000000"/>
                <w:sz w:val="18"/>
              </w:rPr>
            </w:pPr>
            <w:r>
              <w:rPr>
                <w:rFonts w:hint="eastAsia" w:ascii="宋体" w:hAnsi="宋体"/>
                <w:color w:val="000000"/>
                <w:sz w:val="18"/>
              </w:rPr>
              <w:t>1.具有定压输出100V；额定功率：≥130W</w:t>
            </w:r>
          </w:p>
          <w:p w14:paraId="78152857">
            <w:pPr>
              <w:spacing w:beforeLines="0" w:afterLines="0"/>
              <w:jc w:val="both"/>
              <w:rPr>
                <w:rFonts w:hint="eastAsia" w:ascii="宋体" w:hAnsi="宋体"/>
                <w:color w:val="000000"/>
                <w:sz w:val="18"/>
              </w:rPr>
            </w:pPr>
            <w:r>
              <w:rPr>
                <w:rFonts w:hint="eastAsia" w:ascii="宋体" w:hAnsi="宋体"/>
                <w:color w:val="000000"/>
                <w:sz w:val="18"/>
              </w:rPr>
              <w:t>2.3路MIC输入，MIC1可优先输入;2路LINE输入，1路REC输出；</w:t>
            </w:r>
          </w:p>
          <w:p w14:paraId="712E3F55">
            <w:pPr>
              <w:spacing w:beforeLines="0" w:afterLines="0"/>
              <w:jc w:val="both"/>
              <w:rPr>
                <w:rFonts w:hint="eastAsia" w:ascii="宋体" w:hAnsi="宋体"/>
                <w:color w:val="000000"/>
                <w:sz w:val="18"/>
              </w:rPr>
            </w:pPr>
            <w:r>
              <w:rPr>
                <w:rFonts w:hint="eastAsia" w:ascii="宋体" w:hAnsi="宋体"/>
                <w:color w:val="000000"/>
                <w:sz w:val="18"/>
              </w:rPr>
              <w:t>3.USB播放MP3，蓝牙播放，可模式切换;显示屏可显示机器工作温度，MP3，蓝牙音量，模式状态；</w:t>
            </w:r>
          </w:p>
          <w:p w14:paraId="4E19CA5E">
            <w:pPr>
              <w:spacing w:beforeLines="0" w:afterLines="0"/>
              <w:jc w:val="both"/>
              <w:rPr>
                <w:rFonts w:hint="eastAsia" w:ascii="宋体" w:hAnsi="宋体"/>
                <w:color w:val="000000"/>
                <w:sz w:val="18"/>
              </w:rPr>
            </w:pPr>
            <w:r>
              <w:rPr>
                <w:rFonts w:hint="eastAsia" w:ascii="宋体" w:hAnsi="宋体"/>
                <w:color w:val="000000"/>
                <w:sz w:val="18"/>
              </w:rPr>
              <w:t>4.5个LED 显示机器工作状态；</w:t>
            </w:r>
          </w:p>
          <w:p w14:paraId="07C53139">
            <w:pPr>
              <w:spacing w:beforeLines="0" w:afterLines="0"/>
              <w:jc w:val="both"/>
              <w:rPr>
                <w:rFonts w:hint="eastAsia" w:ascii="宋体" w:hAnsi="宋体"/>
                <w:color w:val="000000"/>
                <w:sz w:val="18"/>
              </w:rPr>
            </w:pPr>
            <w:r>
              <w:rPr>
                <w:rFonts w:hint="eastAsia" w:ascii="宋体" w:hAnsi="宋体"/>
                <w:color w:val="000000"/>
                <w:sz w:val="18"/>
              </w:rPr>
              <w:t>▲5.具有直流保护、过载保护、短路保护、过热保护、限幅保护、软启动保护，机器性能更安全；</w:t>
            </w:r>
          </w:p>
          <w:p w14:paraId="7A5A0820">
            <w:pPr>
              <w:spacing w:beforeLines="0" w:afterLines="0"/>
              <w:jc w:val="both"/>
              <w:rPr>
                <w:rFonts w:hint="eastAsia" w:ascii="宋体" w:hAnsi="宋体"/>
                <w:color w:val="000000"/>
                <w:sz w:val="18"/>
              </w:rPr>
            </w:pPr>
            <w:r>
              <w:rPr>
                <w:rFonts w:hint="eastAsia" w:ascii="宋体" w:hAnsi="宋体"/>
                <w:color w:val="000000"/>
                <w:sz w:val="18"/>
              </w:rPr>
              <w:t>6.采用大量高精度的SMD器件，自动化生产工艺，产品可靠性更高；</w:t>
            </w:r>
          </w:p>
          <w:p w14:paraId="6660D3E2">
            <w:pPr>
              <w:spacing w:beforeLines="0" w:afterLines="0"/>
              <w:jc w:val="both"/>
              <w:rPr>
                <w:rFonts w:hint="eastAsia" w:ascii="宋体" w:hAnsi="宋体"/>
                <w:color w:val="000000"/>
                <w:sz w:val="18"/>
              </w:rPr>
            </w:pPr>
            <w:r>
              <w:rPr>
                <w:rFonts w:hint="eastAsia" w:ascii="宋体" w:hAnsi="宋体"/>
                <w:color w:val="000000"/>
                <w:sz w:val="18"/>
              </w:rPr>
              <w:t>7.采用高效率的环形变压器，具备磁屏蔽层，有效抗干扰；</w:t>
            </w:r>
          </w:p>
          <w:p w14:paraId="334392D6">
            <w:pPr>
              <w:spacing w:beforeLines="0" w:afterLines="0"/>
              <w:jc w:val="both"/>
              <w:rPr>
                <w:rFonts w:hint="eastAsia" w:ascii="宋体" w:hAnsi="宋体"/>
                <w:color w:val="000000"/>
                <w:sz w:val="18"/>
              </w:rPr>
            </w:pPr>
            <w:r>
              <w:rPr>
                <w:rFonts w:hint="eastAsia" w:ascii="宋体" w:hAnsi="宋体"/>
                <w:color w:val="000000"/>
                <w:sz w:val="18"/>
              </w:rPr>
              <w:t>8.自动变速风扇，优化的散热系统，使得机器性能更稳定。</w:t>
            </w: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77288A1D">
            <w:pPr>
              <w:spacing w:beforeLines="0" w:afterLines="0"/>
              <w:jc w:val="center"/>
              <w:rPr>
                <w:rFonts w:hint="eastAsia" w:ascii="宋体" w:hAnsi="宋体"/>
                <w:color w:val="000000"/>
                <w:sz w:val="18"/>
              </w:rPr>
            </w:pPr>
            <w:r>
              <w:rPr>
                <w:rFonts w:hint="eastAsia" w:ascii="宋体" w:hAnsi="宋体"/>
                <w:color w:val="000000"/>
                <w:sz w:val="18"/>
              </w:rPr>
              <w:t>台</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12E48370">
            <w:pPr>
              <w:spacing w:beforeLines="0" w:afterLines="0"/>
              <w:jc w:val="center"/>
              <w:rPr>
                <w:rFonts w:hint="eastAsia" w:ascii="宋体" w:hAnsi="宋体"/>
                <w:color w:val="000000"/>
                <w:sz w:val="18"/>
              </w:rPr>
            </w:pPr>
            <w:r>
              <w:rPr>
                <w:rFonts w:hint="eastAsia" w:ascii="宋体" w:hAnsi="宋体"/>
                <w:color w:val="000000"/>
                <w:sz w:val="18"/>
              </w:rPr>
              <w:t>2</w:t>
            </w:r>
          </w:p>
        </w:tc>
      </w:tr>
      <w:tr w14:paraId="6F0B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1" w:hRule="atLeast"/>
        </w:trPr>
        <w:tc>
          <w:tcPr>
            <w:tcW w:w="681"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8C08942">
            <w:pPr>
              <w:spacing w:beforeLines="0" w:afterLines="0"/>
              <w:ind w:firstLine="180" w:firstLineChars="100"/>
              <w:jc w:val="both"/>
              <w:rPr>
                <w:rFonts w:hint="eastAsia" w:ascii="宋体" w:hAnsi="宋体"/>
                <w:color w:val="000000"/>
                <w:sz w:val="18"/>
              </w:rPr>
            </w:pPr>
            <w:r>
              <w:rPr>
                <w:rFonts w:hint="eastAsia" w:ascii="宋体" w:hAnsi="宋体"/>
                <w:color w:val="000000"/>
                <w:sz w:val="18"/>
              </w:rPr>
              <w:t>11</w:t>
            </w:r>
          </w:p>
        </w:tc>
        <w:tc>
          <w:tcPr>
            <w:tcW w:w="116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2F14993">
            <w:pPr>
              <w:spacing w:beforeLines="0" w:afterLines="0"/>
              <w:jc w:val="both"/>
              <w:rPr>
                <w:rFonts w:hint="eastAsia" w:ascii="宋体" w:hAnsi="宋体"/>
                <w:color w:val="000000"/>
                <w:sz w:val="18"/>
              </w:rPr>
            </w:pPr>
            <w:r>
              <w:rPr>
                <w:rFonts w:hint="eastAsia" w:ascii="宋体" w:hAnsi="宋体"/>
                <w:color w:val="000000"/>
                <w:sz w:val="18"/>
              </w:rPr>
              <w:t>功率放大器</w:t>
            </w:r>
          </w:p>
        </w:tc>
        <w:tc>
          <w:tcPr>
            <w:tcW w:w="1221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6FA027E0">
            <w:pPr>
              <w:spacing w:beforeLines="0" w:afterLines="0"/>
              <w:jc w:val="both"/>
              <w:rPr>
                <w:rFonts w:hint="eastAsia" w:ascii="宋体" w:hAnsi="宋体"/>
                <w:color w:val="000000"/>
                <w:sz w:val="18"/>
              </w:rPr>
            </w:pPr>
            <w:r>
              <w:rPr>
                <w:rFonts w:hint="eastAsia" w:ascii="宋体" w:hAnsi="宋体"/>
                <w:color w:val="000000"/>
                <w:sz w:val="18"/>
              </w:rPr>
              <w:t>1.具有定压输出100V；额定功率：≥260W</w:t>
            </w:r>
          </w:p>
          <w:p w14:paraId="513FDB73">
            <w:pPr>
              <w:spacing w:beforeLines="0" w:afterLines="0"/>
              <w:jc w:val="both"/>
              <w:rPr>
                <w:rFonts w:hint="eastAsia" w:ascii="宋体" w:hAnsi="宋体"/>
                <w:color w:val="000000"/>
                <w:sz w:val="18"/>
              </w:rPr>
            </w:pPr>
            <w:r>
              <w:rPr>
                <w:rFonts w:hint="eastAsia" w:ascii="宋体" w:hAnsi="宋体"/>
                <w:color w:val="000000"/>
                <w:sz w:val="18"/>
              </w:rPr>
              <w:t>2.3路MIC输入，MIC1可优先输入;2路LINE输入，1路REC输出；</w:t>
            </w:r>
          </w:p>
          <w:p w14:paraId="794659EE">
            <w:pPr>
              <w:spacing w:beforeLines="0" w:afterLines="0"/>
              <w:jc w:val="both"/>
              <w:rPr>
                <w:rFonts w:hint="eastAsia" w:ascii="宋体" w:hAnsi="宋体"/>
                <w:color w:val="000000"/>
                <w:sz w:val="18"/>
              </w:rPr>
            </w:pPr>
            <w:r>
              <w:rPr>
                <w:rFonts w:hint="eastAsia" w:ascii="宋体" w:hAnsi="宋体"/>
                <w:color w:val="000000"/>
                <w:sz w:val="18"/>
              </w:rPr>
              <w:t>3.USB播放MP3，蓝牙播放，可模式切换;显示屏可显示机器工作温度，MP3，蓝牙音量，模式状态；</w:t>
            </w:r>
          </w:p>
          <w:p w14:paraId="15AFBABB">
            <w:pPr>
              <w:spacing w:beforeLines="0" w:afterLines="0"/>
              <w:jc w:val="both"/>
              <w:rPr>
                <w:rFonts w:hint="eastAsia" w:ascii="宋体" w:hAnsi="宋体"/>
                <w:color w:val="000000"/>
                <w:sz w:val="18"/>
              </w:rPr>
            </w:pPr>
            <w:r>
              <w:rPr>
                <w:rFonts w:hint="eastAsia" w:ascii="宋体" w:hAnsi="宋体"/>
                <w:color w:val="000000"/>
                <w:sz w:val="18"/>
              </w:rPr>
              <w:t>4.5个LED 显示机器工作状态；</w:t>
            </w:r>
          </w:p>
          <w:p w14:paraId="707FDCA3">
            <w:pPr>
              <w:spacing w:beforeLines="0" w:afterLines="0"/>
              <w:jc w:val="both"/>
              <w:rPr>
                <w:rFonts w:hint="eastAsia" w:ascii="宋体" w:hAnsi="宋体"/>
                <w:color w:val="000000"/>
                <w:sz w:val="18"/>
              </w:rPr>
            </w:pPr>
            <w:r>
              <w:rPr>
                <w:rFonts w:hint="eastAsia" w:ascii="宋体" w:hAnsi="宋体"/>
                <w:color w:val="000000"/>
                <w:sz w:val="18"/>
              </w:rPr>
              <w:t>▲5.具有直流保护、过载保护、短路保护、过热保护、限幅保护、软启动保护，机器性能更安全；</w:t>
            </w:r>
          </w:p>
          <w:p w14:paraId="0B48C30B">
            <w:pPr>
              <w:spacing w:beforeLines="0" w:afterLines="0"/>
              <w:jc w:val="both"/>
              <w:rPr>
                <w:rFonts w:hint="eastAsia" w:ascii="宋体" w:hAnsi="宋体"/>
                <w:color w:val="000000"/>
                <w:sz w:val="18"/>
              </w:rPr>
            </w:pPr>
            <w:r>
              <w:rPr>
                <w:rFonts w:hint="eastAsia" w:ascii="宋体" w:hAnsi="宋体"/>
                <w:color w:val="000000"/>
                <w:sz w:val="18"/>
              </w:rPr>
              <w:t>6.采用大量高精度的SMD器件，自动化生产工艺，产品可靠性更高；</w:t>
            </w:r>
          </w:p>
          <w:p w14:paraId="5A18250D">
            <w:pPr>
              <w:spacing w:beforeLines="0" w:afterLines="0"/>
              <w:jc w:val="both"/>
              <w:rPr>
                <w:rFonts w:hint="eastAsia" w:ascii="宋体" w:hAnsi="宋体"/>
                <w:color w:val="000000"/>
                <w:sz w:val="18"/>
              </w:rPr>
            </w:pPr>
            <w:r>
              <w:rPr>
                <w:rFonts w:hint="eastAsia" w:ascii="宋体" w:hAnsi="宋体"/>
                <w:color w:val="000000"/>
                <w:sz w:val="18"/>
              </w:rPr>
              <w:t>7.采用高效率的环形变压器，具备磁屏蔽层，有效抗干扰；</w:t>
            </w:r>
          </w:p>
          <w:p w14:paraId="061C4F80">
            <w:pPr>
              <w:spacing w:beforeLines="0" w:afterLines="0"/>
              <w:jc w:val="both"/>
              <w:rPr>
                <w:rFonts w:hint="eastAsia" w:ascii="宋体" w:hAnsi="宋体"/>
                <w:color w:val="000000"/>
                <w:sz w:val="18"/>
              </w:rPr>
            </w:pPr>
            <w:r>
              <w:rPr>
                <w:rFonts w:hint="eastAsia" w:ascii="宋体" w:hAnsi="宋体"/>
                <w:color w:val="000000"/>
                <w:sz w:val="18"/>
              </w:rPr>
              <w:t>8.自动变速风扇，优化的散热系统，使得机器性能更稳定。</w:t>
            </w:r>
          </w:p>
          <w:p w14:paraId="6EDDBC86">
            <w:pPr>
              <w:spacing w:beforeLines="0" w:afterLines="0"/>
              <w:jc w:val="both"/>
              <w:rPr>
                <w:rFonts w:hint="eastAsia" w:ascii="宋体" w:hAnsi="宋体"/>
                <w:color w:val="000000"/>
                <w:sz w:val="18"/>
              </w:rPr>
            </w:pP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5DD5D365">
            <w:pPr>
              <w:spacing w:beforeLines="0" w:afterLines="0"/>
              <w:jc w:val="center"/>
              <w:rPr>
                <w:rFonts w:hint="eastAsia" w:ascii="宋体" w:hAnsi="宋体"/>
                <w:color w:val="000000"/>
                <w:sz w:val="18"/>
              </w:rPr>
            </w:pPr>
            <w:r>
              <w:rPr>
                <w:rFonts w:hint="eastAsia" w:ascii="宋体" w:hAnsi="宋体"/>
                <w:color w:val="000000"/>
                <w:sz w:val="18"/>
              </w:rPr>
              <w:t>台</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3A85260A">
            <w:pPr>
              <w:spacing w:beforeLines="0" w:afterLines="0"/>
              <w:jc w:val="center"/>
              <w:rPr>
                <w:rFonts w:hint="eastAsia" w:ascii="宋体" w:hAnsi="宋体"/>
                <w:color w:val="000000"/>
                <w:sz w:val="18"/>
              </w:rPr>
            </w:pPr>
            <w:r>
              <w:rPr>
                <w:rFonts w:hint="eastAsia" w:ascii="宋体" w:hAnsi="宋体"/>
                <w:color w:val="000000"/>
                <w:sz w:val="18"/>
              </w:rPr>
              <w:t>1</w:t>
            </w:r>
          </w:p>
        </w:tc>
      </w:tr>
      <w:tr w14:paraId="667B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6" w:hRule="atLeast"/>
        </w:trPr>
        <w:tc>
          <w:tcPr>
            <w:tcW w:w="681" w:type="dxa"/>
            <w:tcBorders>
              <w:top w:val="single" w:color="auto" w:sz="6" w:space="0"/>
              <w:left w:val="single" w:color="auto" w:sz="6" w:space="0"/>
              <w:bottom w:val="single" w:color="auto" w:sz="6" w:space="0"/>
              <w:right w:val="single" w:color="auto" w:sz="6" w:space="0"/>
              <w:tl2br w:val="nil"/>
              <w:tr2bl w:val="nil"/>
            </w:tcBorders>
            <w:vAlign w:val="center"/>
          </w:tcPr>
          <w:p w14:paraId="19337730">
            <w:pPr>
              <w:spacing w:beforeLines="0" w:afterLines="0"/>
              <w:ind w:firstLine="180" w:firstLineChars="100"/>
              <w:jc w:val="both"/>
              <w:rPr>
                <w:rFonts w:hint="eastAsia" w:ascii="宋体" w:hAnsi="宋体"/>
                <w:color w:val="000000"/>
                <w:sz w:val="18"/>
              </w:rPr>
            </w:pPr>
            <w:r>
              <w:rPr>
                <w:rFonts w:hint="eastAsia" w:ascii="宋体" w:hAnsi="宋体"/>
                <w:color w:val="000000"/>
                <w:sz w:val="18"/>
              </w:rPr>
              <w:t>12</w:t>
            </w:r>
          </w:p>
        </w:tc>
        <w:tc>
          <w:tcPr>
            <w:tcW w:w="1165" w:type="dxa"/>
            <w:tcBorders>
              <w:top w:val="single" w:color="auto" w:sz="6" w:space="0"/>
              <w:left w:val="single" w:color="auto" w:sz="6" w:space="0"/>
              <w:bottom w:val="single" w:color="auto" w:sz="6" w:space="0"/>
              <w:right w:val="single" w:color="auto" w:sz="6" w:space="0"/>
              <w:tl2br w:val="nil"/>
              <w:tr2bl w:val="nil"/>
            </w:tcBorders>
            <w:vAlign w:val="center"/>
          </w:tcPr>
          <w:p w14:paraId="7450821A">
            <w:pPr>
              <w:spacing w:beforeLines="0" w:afterLines="0"/>
              <w:jc w:val="both"/>
              <w:rPr>
                <w:rFonts w:hint="eastAsia" w:ascii="宋体" w:hAnsi="宋体"/>
                <w:color w:val="000000"/>
                <w:sz w:val="18"/>
              </w:rPr>
            </w:pPr>
            <w:r>
              <w:rPr>
                <w:rFonts w:hint="eastAsia" w:ascii="宋体" w:hAnsi="宋体"/>
                <w:color w:val="000000"/>
                <w:sz w:val="18"/>
              </w:rPr>
              <w:t>电源时序器</w:t>
            </w:r>
          </w:p>
        </w:tc>
        <w:tc>
          <w:tcPr>
            <w:tcW w:w="12217" w:type="dxa"/>
            <w:tcBorders>
              <w:top w:val="single" w:color="auto" w:sz="6" w:space="0"/>
              <w:left w:val="single" w:color="auto" w:sz="6" w:space="0"/>
              <w:bottom w:val="single" w:color="auto" w:sz="6" w:space="0"/>
              <w:right w:val="single" w:color="auto" w:sz="6" w:space="0"/>
              <w:tl2br w:val="nil"/>
              <w:tr2bl w:val="nil"/>
            </w:tcBorders>
            <w:vAlign w:val="center"/>
          </w:tcPr>
          <w:p w14:paraId="11E76389">
            <w:pPr>
              <w:spacing w:beforeLines="0" w:afterLines="0"/>
              <w:jc w:val="both"/>
              <w:rPr>
                <w:rFonts w:hint="eastAsia" w:ascii="宋体" w:hAnsi="宋体"/>
                <w:color w:val="000000"/>
                <w:sz w:val="18"/>
              </w:rPr>
            </w:pPr>
            <w:r>
              <w:rPr>
                <w:rFonts w:hint="eastAsia" w:ascii="宋体" w:hAnsi="宋体"/>
                <w:color w:val="000000"/>
                <w:sz w:val="18"/>
              </w:rPr>
              <w:t>1.RS-232串口控制协议，可连接中控及控制电脑；</w:t>
            </w:r>
          </w:p>
          <w:p w14:paraId="5AF0119F">
            <w:pPr>
              <w:spacing w:beforeLines="0" w:afterLines="0"/>
              <w:jc w:val="both"/>
              <w:rPr>
                <w:rFonts w:hint="eastAsia" w:ascii="宋体" w:hAnsi="宋体"/>
                <w:color w:val="000000"/>
                <w:sz w:val="18"/>
              </w:rPr>
            </w:pPr>
            <w:r>
              <w:rPr>
                <w:rFonts w:hint="eastAsia" w:ascii="宋体" w:hAnsi="宋体"/>
                <w:color w:val="000000"/>
                <w:sz w:val="18"/>
              </w:rPr>
              <w:t>▲2.采用 16A 万能插座，能兼容全部产品电源接口；</w:t>
            </w:r>
          </w:p>
          <w:p w14:paraId="390DAE07">
            <w:pPr>
              <w:spacing w:beforeLines="0" w:afterLines="0"/>
              <w:jc w:val="both"/>
              <w:rPr>
                <w:rFonts w:hint="eastAsia" w:ascii="宋体" w:hAnsi="宋体"/>
                <w:color w:val="000000"/>
                <w:sz w:val="18"/>
              </w:rPr>
            </w:pPr>
            <w:r>
              <w:rPr>
                <w:rFonts w:hint="eastAsia" w:ascii="宋体" w:hAnsi="宋体"/>
                <w:color w:val="000000"/>
                <w:sz w:val="18"/>
              </w:rPr>
              <w:t>3.最大输入电流 30A，单路最大输出电流16A，工作电压 95V-240V；</w:t>
            </w:r>
          </w:p>
          <w:p w14:paraId="0804EAEE">
            <w:pPr>
              <w:spacing w:beforeLines="0" w:afterLines="0"/>
              <w:jc w:val="both"/>
              <w:rPr>
                <w:rFonts w:hint="eastAsia" w:ascii="宋体" w:hAnsi="宋体"/>
                <w:color w:val="000000"/>
                <w:sz w:val="18"/>
              </w:rPr>
            </w:pPr>
            <w:r>
              <w:rPr>
                <w:rFonts w:hint="eastAsia" w:ascii="宋体" w:hAnsi="宋体"/>
                <w:color w:val="000000"/>
                <w:sz w:val="18"/>
              </w:rPr>
              <w:t>4.无序主、副机控制选择开关，即插即用；</w:t>
            </w:r>
          </w:p>
          <w:p w14:paraId="0A01BAF4">
            <w:pPr>
              <w:spacing w:beforeLines="0" w:afterLines="0"/>
              <w:jc w:val="both"/>
              <w:rPr>
                <w:rFonts w:hint="eastAsia" w:ascii="宋体" w:hAnsi="宋体"/>
                <w:color w:val="000000"/>
                <w:sz w:val="18"/>
              </w:rPr>
            </w:pPr>
            <w:r>
              <w:rPr>
                <w:rFonts w:hint="eastAsia" w:ascii="宋体" w:hAnsi="宋体"/>
                <w:color w:val="000000"/>
                <w:sz w:val="18"/>
              </w:rPr>
              <w:t>5.联机后可通过系统内任意一台时序器开工控制整个系统的开机、关机；</w:t>
            </w:r>
          </w:p>
          <w:p w14:paraId="129C658E">
            <w:pPr>
              <w:spacing w:beforeLines="0" w:afterLines="0"/>
              <w:jc w:val="both"/>
              <w:rPr>
                <w:rFonts w:hint="eastAsia" w:ascii="宋体" w:hAnsi="宋体"/>
                <w:color w:val="000000"/>
                <w:sz w:val="18"/>
              </w:rPr>
            </w:pPr>
            <w:r>
              <w:rPr>
                <w:rFonts w:hint="eastAsia" w:ascii="宋体" w:hAnsi="宋体"/>
                <w:color w:val="000000"/>
                <w:sz w:val="18"/>
              </w:rPr>
              <w:t>6.设备采用接线柱接线方式，配置63A大电流空气开关；</w:t>
            </w:r>
          </w:p>
          <w:p w14:paraId="2BA6E445">
            <w:pPr>
              <w:spacing w:beforeLines="0" w:afterLines="0"/>
              <w:jc w:val="both"/>
              <w:rPr>
                <w:rFonts w:hint="eastAsia" w:ascii="宋体" w:hAnsi="宋体"/>
                <w:color w:val="000000"/>
                <w:sz w:val="18"/>
              </w:rPr>
            </w:pPr>
            <w:r>
              <w:rPr>
                <w:rFonts w:hint="eastAsia" w:ascii="宋体" w:hAnsi="宋体"/>
                <w:color w:val="000000"/>
                <w:sz w:val="18"/>
              </w:rPr>
              <w:t>7.前面板拥有电压显示功能；</w:t>
            </w:r>
          </w:p>
          <w:p w14:paraId="40817173">
            <w:pPr>
              <w:spacing w:beforeLines="0" w:afterLines="0"/>
              <w:jc w:val="both"/>
              <w:rPr>
                <w:rFonts w:hint="eastAsia" w:ascii="宋体" w:hAnsi="宋体"/>
                <w:color w:val="000000"/>
                <w:sz w:val="18"/>
              </w:rPr>
            </w:pPr>
            <w:r>
              <w:rPr>
                <w:rFonts w:hint="eastAsia" w:ascii="宋体" w:hAnsi="宋体"/>
                <w:color w:val="000000"/>
                <w:sz w:val="18"/>
              </w:rPr>
              <w:t>8.开关间隔时间≤1秒。</w:t>
            </w: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5BC31C60">
            <w:pPr>
              <w:spacing w:beforeLines="0" w:afterLines="0"/>
              <w:jc w:val="center"/>
              <w:rPr>
                <w:rFonts w:hint="eastAsia" w:ascii="宋体" w:hAnsi="宋体"/>
                <w:color w:val="000000"/>
                <w:sz w:val="18"/>
              </w:rPr>
            </w:pPr>
            <w:r>
              <w:rPr>
                <w:rFonts w:hint="eastAsia" w:ascii="宋体" w:hAnsi="宋体"/>
                <w:color w:val="000000"/>
                <w:sz w:val="18"/>
              </w:rPr>
              <w:t>台</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2FADA56D">
            <w:pPr>
              <w:spacing w:beforeLines="0" w:afterLines="0"/>
              <w:jc w:val="center"/>
              <w:rPr>
                <w:rFonts w:hint="eastAsia" w:ascii="宋体" w:hAnsi="宋体"/>
                <w:color w:val="000000"/>
                <w:sz w:val="18"/>
              </w:rPr>
            </w:pPr>
            <w:r>
              <w:rPr>
                <w:rFonts w:hint="eastAsia" w:ascii="宋体" w:hAnsi="宋体"/>
                <w:color w:val="000000"/>
                <w:sz w:val="18"/>
              </w:rPr>
              <w:t>2</w:t>
            </w:r>
          </w:p>
        </w:tc>
      </w:tr>
      <w:tr w14:paraId="6BBE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681" w:type="dxa"/>
            <w:tcBorders>
              <w:top w:val="single" w:color="auto" w:sz="6" w:space="0"/>
              <w:left w:val="single" w:color="auto" w:sz="6" w:space="0"/>
              <w:bottom w:val="single" w:color="auto" w:sz="6" w:space="0"/>
              <w:right w:val="single" w:color="auto" w:sz="6" w:space="0"/>
              <w:tl2br w:val="nil"/>
              <w:tr2bl w:val="nil"/>
            </w:tcBorders>
            <w:vAlign w:val="center"/>
          </w:tcPr>
          <w:p w14:paraId="05401C9F">
            <w:pPr>
              <w:spacing w:beforeLines="0" w:afterLines="0"/>
              <w:ind w:firstLine="180" w:firstLineChars="100"/>
              <w:jc w:val="both"/>
              <w:rPr>
                <w:rFonts w:hint="eastAsia" w:ascii="宋体" w:hAnsi="宋体"/>
                <w:color w:val="000000"/>
                <w:sz w:val="18"/>
              </w:rPr>
            </w:pPr>
            <w:r>
              <w:rPr>
                <w:rFonts w:hint="eastAsia" w:ascii="宋体" w:hAnsi="宋体"/>
                <w:color w:val="000000"/>
                <w:sz w:val="18"/>
              </w:rPr>
              <w:t>13</w:t>
            </w:r>
          </w:p>
        </w:tc>
        <w:tc>
          <w:tcPr>
            <w:tcW w:w="1165" w:type="dxa"/>
            <w:tcBorders>
              <w:top w:val="single" w:color="auto" w:sz="6" w:space="0"/>
              <w:left w:val="single" w:color="auto" w:sz="6" w:space="0"/>
              <w:bottom w:val="single" w:color="auto" w:sz="6" w:space="0"/>
              <w:right w:val="single" w:color="auto" w:sz="6" w:space="0"/>
              <w:tl2br w:val="nil"/>
              <w:tr2bl w:val="nil"/>
            </w:tcBorders>
            <w:vAlign w:val="center"/>
          </w:tcPr>
          <w:p w14:paraId="2941452F">
            <w:pPr>
              <w:spacing w:beforeLines="0" w:afterLines="0"/>
              <w:jc w:val="center"/>
              <w:rPr>
                <w:rFonts w:hint="eastAsia" w:ascii="宋体" w:hAnsi="宋体"/>
                <w:color w:val="000000"/>
                <w:sz w:val="18"/>
              </w:rPr>
            </w:pPr>
            <w:r>
              <w:rPr>
                <w:rFonts w:hint="eastAsia" w:ascii="宋体" w:hAnsi="宋体"/>
                <w:color w:val="000000"/>
                <w:sz w:val="18"/>
              </w:rPr>
              <w:t>设备机柜</w:t>
            </w:r>
          </w:p>
        </w:tc>
        <w:tc>
          <w:tcPr>
            <w:tcW w:w="12217" w:type="dxa"/>
            <w:tcBorders>
              <w:top w:val="single" w:color="auto" w:sz="6" w:space="0"/>
              <w:left w:val="single" w:color="auto" w:sz="6" w:space="0"/>
              <w:bottom w:val="single" w:color="auto" w:sz="6" w:space="0"/>
              <w:right w:val="single" w:color="auto" w:sz="6" w:space="0"/>
              <w:tl2br w:val="nil"/>
              <w:tr2bl w:val="nil"/>
            </w:tcBorders>
            <w:vAlign w:val="center"/>
          </w:tcPr>
          <w:p w14:paraId="717180BC">
            <w:pPr>
              <w:spacing w:beforeLines="0" w:afterLines="0"/>
              <w:jc w:val="both"/>
              <w:rPr>
                <w:rFonts w:hint="eastAsia" w:ascii="宋体" w:hAnsi="宋体"/>
                <w:color w:val="000000"/>
                <w:sz w:val="18"/>
              </w:rPr>
            </w:pPr>
            <w:r>
              <w:rPr>
                <w:rFonts w:hint="eastAsia" w:ascii="宋体" w:hAnsi="宋体"/>
                <w:color w:val="000000"/>
                <w:sz w:val="18"/>
              </w:rPr>
              <w:t>1.该标准机柜外框安装立柱采用高强度铝合金型材,6孔三芯电源输出插座，顶部设置有4个风扇并配有开关;</w:t>
            </w:r>
          </w:p>
          <w:p w14:paraId="72175567">
            <w:pPr>
              <w:spacing w:beforeLines="0" w:afterLines="0"/>
              <w:jc w:val="both"/>
              <w:rPr>
                <w:rFonts w:hint="eastAsia" w:ascii="宋体" w:hAnsi="宋体"/>
                <w:color w:val="000000"/>
                <w:sz w:val="18"/>
              </w:rPr>
            </w:pPr>
            <w:r>
              <w:rPr>
                <w:rFonts w:hint="eastAsia" w:ascii="宋体" w:hAnsi="宋体"/>
                <w:color w:val="000000"/>
                <w:sz w:val="18"/>
              </w:rPr>
              <w:t>2.静止安装最大承重为400kg;</w:t>
            </w:r>
          </w:p>
          <w:p w14:paraId="5E609088">
            <w:pPr>
              <w:spacing w:beforeLines="0" w:afterLines="0"/>
              <w:jc w:val="both"/>
              <w:rPr>
                <w:rFonts w:hint="eastAsia" w:ascii="宋体" w:hAnsi="宋体"/>
                <w:color w:val="000000"/>
                <w:sz w:val="18"/>
              </w:rPr>
            </w:pPr>
            <w:r>
              <w:rPr>
                <w:rFonts w:hint="eastAsia" w:ascii="宋体" w:hAnsi="宋体"/>
                <w:color w:val="000000"/>
                <w:sz w:val="18"/>
              </w:rPr>
              <w:t>3.尺寸：600*600*1000;</w:t>
            </w:r>
          </w:p>
          <w:p w14:paraId="775DABF4">
            <w:pPr>
              <w:spacing w:beforeLines="0" w:afterLines="0"/>
              <w:jc w:val="both"/>
              <w:rPr>
                <w:rFonts w:hint="eastAsia" w:ascii="宋体" w:hAnsi="宋体"/>
                <w:color w:val="000000"/>
                <w:sz w:val="18"/>
              </w:rPr>
            </w:pPr>
            <w:r>
              <w:rPr>
                <w:rFonts w:hint="eastAsia" w:ascii="宋体" w:hAnsi="宋体"/>
                <w:color w:val="000000"/>
                <w:sz w:val="18"/>
              </w:rPr>
              <w:t>4.颜色：黑色</w:t>
            </w: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609EBD35">
            <w:pPr>
              <w:spacing w:beforeLines="0" w:afterLines="0"/>
              <w:jc w:val="center"/>
              <w:rPr>
                <w:rFonts w:hint="eastAsia" w:ascii="宋体" w:hAnsi="宋体"/>
                <w:color w:val="000000"/>
                <w:sz w:val="18"/>
              </w:rPr>
            </w:pPr>
            <w:r>
              <w:rPr>
                <w:rFonts w:hint="eastAsia" w:ascii="宋体" w:hAnsi="宋体"/>
                <w:color w:val="000000"/>
                <w:sz w:val="18"/>
              </w:rPr>
              <w:t>台</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20ACB493">
            <w:pPr>
              <w:spacing w:beforeLines="0" w:afterLines="0"/>
              <w:jc w:val="center"/>
              <w:rPr>
                <w:rFonts w:hint="eastAsia" w:ascii="宋体" w:hAnsi="宋体"/>
                <w:color w:val="000000"/>
                <w:sz w:val="18"/>
              </w:rPr>
            </w:pPr>
            <w:r>
              <w:rPr>
                <w:rFonts w:hint="eastAsia" w:ascii="宋体" w:hAnsi="宋体"/>
                <w:color w:val="000000"/>
                <w:sz w:val="18"/>
              </w:rPr>
              <w:t>2</w:t>
            </w:r>
          </w:p>
        </w:tc>
      </w:tr>
      <w:tr w14:paraId="30CA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681" w:type="dxa"/>
            <w:tcBorders>
              <w:top w:val="single" w:color="auto" w:sz="6" w:space="0"/>
              <w:left w:val="single" w:color="auto" w:sz="6" w:space="0"/>
              <w:bottom w:val="single" w:color="auto" w:sz="6" w:space="0"/>
              <w:right w:val="single" w:color="auto" w:sz="6" w:space="0"/>
              <w:tl2br w:val="nil"/>
              <w:tr2bl w:val="nil"/>
            </w:tcBorders>
            <w:vAlign w:val="center"/>
          </w:tcPr>
          <w:p w14:paraId="387F7361">
            <w:pPr>
              <w:spacing w:beforeLines="0" w:afterLines="0"/>
              <w:ind w:firstLine="180" w:firstLineChars="100"/>
              <w:jc w:val="both"/>
              <w:rPr>
                <w:rFonts w:hint="eastAsia" w:ascii="宋体" w:hAnsi="宋体"/>
                <w:color w:val="000000"/>
                <w:sz w:val="18"/>
              </w:rPr>
            </w:pPr>
            <w:r>
              <w:rPr>
                <w:rFonts w:hint="eastAsia" w:ascii="宋体" w:hAnsi="宋体"/>
                <w:color w:val="000000"/>
                <w:sz w:val="18"/>
              </w:rPr>
              <w:t>14</w:t>
            </w:r>
          </w:p>
        </w:tc>
        <w:tc>
          <w:tcPr>
            <w:tcW w:w="1165" w:type="dxa"/>
            <w:tcBorders>
              <w:top w:val="single" w:color="auto" w:sz="6" w:space="0"/>
              <w:left w:val="single" w:color="auto" w:sz="6" w:space="0"/>
              <w:bottom w:val="single" w:color="auto" w:sz="6" w:space="0"/>
              <w:right w:val="single" w:color="auto" w:sz="6" w:space="0"/>
              <w:tl2br w:val="nil"/>
              <w:tr2bl w:val="nil"/>
            </w:tcBorders>
            <w:vAlign w:val="center"/>
          </w:tcPr>
          <w:p w14:paraId="6F369117">
            <w:pPr>
              <w:spacing w:beforeLines="0" w:afterLines="0"/>
              <w:jc w:val="center"/>
              <w:rPr>
                <w:rFonts w:hint="eastAsia" w:ascii="宋体" w:hAnsi="宋体"/>
                <w:color w:val="000000"/>
                <w:sz w:val="18"/>
              </w:rPr>
            </w:pPr>
            <w:r>
              <w:rPr>
                <w:rFonts w:hint="eastAsia" w:ascii="宋体" w:hAnsi="宋体"/>
                <w:color w:val="000000"/>
                <w:sz w:val="18"/>
              </w:rPr>
              <w:t>设备机柜</w:t>
            </w:r>
          </w:p>
        </w:tc>
        <w:tc>
          <w:tcPr>
            <w:tcW w:w="12217" w:type="dxa"/>
            <w:tcBorders>
              <w:top w:val="single" w:color="auto" w:sz="6" w:space="0"/>
              <w:left w:val="single" w:color="auto" w:sz="6" w:space="0"/>
              <w:bottom w:val="single" w:color="auto" w:sz="6" w:space="0"/>
              <w:right w:val="single" w:color="auto" w:sz="6" w:space="0"/>
              <w:tl2br w:val="nil"/>
              <w:tr2bl w:val="nil"/>
            </w:tcBorders>
            <w:vAlign w:val="center"/>
          </w:tcPr>
          <w:p w14:paraId="3477C73B">
            <w:pPr>
              <w:spacing w:beforeLines="0" w:afterLines="0"/>
              <w:jc w:val="both"/>
              <w:rPr>
                <w:rFonts w:hint="eastAsia" w:ascii="宋体" w:hAnsi="宋体"/>
                <w:color w:val="000000"/>
                <w:sz w:val="18"/>
              </w:rPr>
            </w:pPr>
            <w:r>
              <w:rPr>
                <w:rFonts w:hint="eastAsia" w:ascii="宋体" w:hAnsi="宋体"/>
                <w:color w:val="000000"/>
                <w:sz w:val="18"/>
              </w:rPr>
              <w:t>1.该标准机柜外框安装立柱采用高强度铝合金型材,6孔三芯电源输出插座，顶部设置有4个风扇并配有开关;</w:t>
            </w:r>
          </w:p>
          <w:p w14:paraId="62D5F608">
            <w:pPr>
              <w:spacing w:beforeLines="0" w:afterLines="0"/>
              <w:jc w:val="both"/>
              <w:rPr>
                <w:rFonts w:hint="eastAsia" w:ascii="宋体" w:hAnsi="宋体"/>
                <w:color w:val="000000"/>
                <w:sz w:val="18"/>
              </w:rPr>
            </w:pPr>
            <w:r>
              <w:rPr>
                <w:rFonts w:hint="eastAsia" w:ascii="宋体" w:hAnsi="宋体"/>
                <w:color w:val="000000"/>
                <w:sz w:val="18"/>
              </w:rPr>
              <w:t>2.静止安装最大承重为400kg;</w:t>
            </w:r>
          </w:p>
          <w:p w14:paraId="75CA7702">
            <w:pPr>
              <w:spacing w:beforeLines="0" w:afterLines="0"/>
              <w:jc w:val="both"/>
              <w:rPr>
                <w:rFonts w:hint="eastAsia" w:ascii="宋体" w:hAnsi="宋体"/>
                <w:color w:val="000000"/>
                <w:sz w:val="18"/>
              </w:rPr>
            </w:pPr>
            <w:r>
              <w:rPr>
                <w:rFonts w:hint="eastAsia" w:ascii="宋体" w:hAnsi="宋体"/>
                <w:color w:val="000000"/>
                <w:sz w:val="18"/>
              </w:rPr>
              <w:t>3.尺寸：600*600*2000;</w:t>
            </w:r>
          </w:p>
          <w:p w14:paraId="2AC0AF6E">
            <w:pPr>
              <w:spacing w:beforeLines="0" w:afterLines="0"/>
              <w:jc w:val="both"/>
              <w:rPr>
                <w:rFonts w:hint="eastAsia" w:ascii="宋体" w:hAnsi="宋体"/>
                <w:color w:val="000000"/>
                <w:sz w:val="18"/>
              </w:rPr>
            </w:pPr>
            <w:r>
              <w:rPr>
                <w:rFonts w:hint="eastAsia" w:ascii="宋体" w:hAnsi="宋体"/>
                <w:color w:val="000000"/>
                <w:sz w:val="18"/>
              </w:rPr>
              <w:t>4.颜色：黑色</w:t>
            </w: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4214407D">
            <w:pPr>
              <w:spacing w:beforeLines="0" w:afterLines="0"/>
              <w:jc w:val="center"/>
              <w:rPr>
                <w:rFonts w:hint="eastAsia" w:ascii="宋体" w:hAnsi="宋体"/>
                <w:color w:val="000000"/>
                <w:sz w:val="18"/>
              </w:rPr>
            </w:pPr>
            <w:r>
              <w:rPr>
                <w:rFonts w:hint="eastAsia" w:ascii="宋体" w:hAnsi="宋体"/>
                <w:color w:val="000000"/>
                <w:sz w:val="18"/>
              </w:rPr>
              <w:t>台</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2873048E">
            <w:pPr>
              <w:spacing w:beforeLines="0" w:afterLines="0"/>
              <w:jc w:val="center"/>
              <w:rPr>
                <w:rFonts w:hint="eastAsia" w:ascii="宋体" w:hAnsi="宋体"/>
                <w:color w:val="000000"/>
                <w:sz w:val="18"/>
              </w:rPr>
            </w:pPr>
            <w:r>
              <w:rPr>
                <w:rFonts w:hint="eastAsia" w:ascii="宋体" w:hAnsi="宋体"/>
                <w:color w:val="000000"/>
                <w:sz w:val="18"/>
              </w:rPr>
              <w:t>1</w:t>
            </w:r>
          </w:p>
        </w:tc>
      </w:tr>
      <w:tr w14:paraId="17B0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81" w:type="dxa"/>
            <w:tcBorders>
              <w:top w:val="single" w:color="auto" w:sz="6" w:space="0"/>
              <w:left w:val="single" w:color="auto" w:sz="6" w:space="0"/>
              <w:bottom w:val="single" w:color="auto" w:sz="6" w:space="0"/>
              <w:right w:val="single" w:color="auto" w:sz="6" w:space="0"/>
              <w:tl2br w:val="nil"/>
              <w:tr2bl w:val="nil"/>
            </w:tcBorders>
            <w:vAlign w:val="center"/>
          </w:tcPr>
          <w:p w14:paraId="7AAA5A27">
            <w:pPr>
              <w:spacing w:beforeLines="0" w:afterLines="0"/>
              <w:ind w:firstLine="180" w:firstLineChars="100"/>
              <w:jc w:val="both"/>
              <w:rPr>
                <w:rFonts w:hint="eastAsia" w:ascii="宋体" w:hAnsi="宋体"/>
                <w:color w:val="000000"/>
                <w:sz w:val="18"/>
              </w:rPr>
            </w:pPr>
            <w:r>
              <w:rPr>
                <w:rFonts w:hint="eastAsia" w:ascii="宋体" w:hAnsi="宋体"/>
                <w:color w:val="000000"/>
                <w:sz w:val="18"/>
              </w:rPr>
              <w:t>15</w:t>
            </w:r>
          </w:p>
        </w:tc>
        <w:tc>
          <w:tcPr>
            <w:tcW w:w="1165" w:type="dxa"/>
            <w:tcBorders>
              <w:top w:val="single" w:color="auto" w:sz="6" w:space="0"/>
              <w:left w:val="single" w:color="auto" w:sz="6" w:space="0"/>
              <w:bottom w:val="single" w:color="auto" w:sz="6" w:space="0"/>
              <w:right w:val="single" w:color="auto" w:sz="6" w:space="0"/>
              <w:tl2br w:val="nil"/>
              <w:tr2bl w:val="nil"/>
            </w:tcBorders>
            <w:vAlign w:val="center"/>
          </w:tcPr>
          <w:p w14:paraId="5D2C6E8F">
            <w:pPr>
              <w:spacing w:beforeLines="0" w:afterLines="0"/>
              <w:jc w:val="both"/>
              <w:rPr>
                <w:rFonts w:hint="eastAsia" w:ascii="宋体" w:hAnsi="宋体"/>
                <w:color w:val="000000"/>
                <w:sz w:val="18"/>
              </w:rPr>
            </w:pPr>
            <w:r>
              <w:rPr>
                <w:rFonts w:hint="eastAsia" w:ascii="宋体" w:hAnsi="宋体"/>
                <w:color w:val="000000"/>
                <w:sz w:val="18"/>
              </w:rPr>
              <w:t>预监显示器</w:t>
            </w:r>
          </w:p>
        </w:tc>
        <w:tc>
          <w:tcPr>
            <w:tcW w:w="12217" w:type="dxa"/>
            <w:tcBorders>
              <w:top w:val="single" w:color="auto" w:sz="6" w:space="0"/>
              <w:left w:val="single" w:color="auto" w:sz="6" w:space="0"/>
              <w:bottom w:val="single" w:color="auto" w:sz="6" w:space="0"/>
              <w:right w:val="single" w:color="auto" w:sz="6" w:space="0"/>
              <w:tl2br w:val="nil"/>
              <w:tr2bl w:val="nil"/>
            </w:tcBorders>
            <w:vAlign w:val="center"/>
          </w:tcPr>
          <w:p w14:paraId="2E3436C3">
            <w:pPr>
              <w:spacing w:beforeLines="0" w:afterLines="0"/>
              <w:jc w:val="both"/>
              <w:rPr>
                <w:rFonts w:hint="eastAsia" w:ascii="宋体" w:hAnsi="宋体"/>
                <w:color w:val="000000"/>
                <w:sz w:val="18"/>
              </w:rPr>
            </w:pPr>
            <w:r>
              <w:rPr>
                <w:rFonts w:hint="eastAsia" w:ascii="宋体" w:hAnsi="宋体"/>
                <w:color w:val="000000"/>
                <w:sz w:val="18"/>
              </w:rPr>
              <w:t>用于控制室视频信号预监功能；尺寸≥23.8寸</w:t>
            </w: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6F45309B">
            <w:pPr>
              <w:spacing w:beforeLines="0" w:afterLines="0"/>
              <w:jc w:val="center"/>
              <w:rPr>
                <w:rFonts w:hint="eastAsia" w:ascii="宋体" w:hAnsi="宋体"/>
                <w:color w:val="000000"/>
                <w:sz w:val="18"/>
              </w:rPr>
            </w:pPr>
            <w:r>
              <w:rPr>
                <w:rFonts w:hint="eastAsia" w:ascii="宋体" w:hAnsi="宋体"/>
                <w:color w:val="000000"/>
                <w:sz w:val="18"/>
              </w:rPr>
              <w:t>台</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3CAF555E">
            <w:pPr>
              <w:spacing w:beforeLines="0" w:afterLines="0"/>
              <w:jc w:val="center"/>
              <w:rPr>
                <w:rFonts w:hint="eastAsia" w:ascii="宋体" w:hAnsi="宋体"/>
                <w:color w:val="000000"/>
                <w:sz w:val="18"/>
              </w:rPr>
            </w:pPr>
            <w:r>
              <w:rPr>
                <w:rFonts w:hint="eastAsia" w:ascii="宋体" w:hAnsi="宋体"/>
                <w:color w:val="000000"/>
                <w:sz w:val="18"/>
              </w:rPr>
              <w:t>2</w:t>
            </w:r>
          </w:p>
        </w:tc>
      </w:tr>
      <w:tr w14:paraId="28921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81"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3241A8E">
            <w:pPr>
              <w:spacing w:beforeLines="0" w:afterLines="0"/>
              <w:ind w:firstLine="180" w:firstLineChars="100"/>
              <w:jc w:val="both"/>
              <w:rPr>
                <w:rFonts w:hint="eastAsia" w:ascii="宋体" w:hAnsi="宋体"/>
                <w:color w:val="000000"/>
                <w:sz w:val="18"/>
              </w:rPr>
            </w:pPr>
            <w:r>
              <w:rPr>
                <w:rFonts w:hint="eastAsia" w:ascii="宋体" w:hAnsi="宋体"/>
                <w:color w:val="000000"/>
                <w:sz w:val="18"/>
              </w:rPr>
              <w:t>16</w:t>
            </w:r>
          </w:p>
        </w:tc>
        <w:tc>
          <w:tcPr>
            <w:tcW w:w="116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0CCB34F">
            <w:pPr>
              <w:spacing w:beforeLines="0" w:afterLines="0"/>
              <w:jc w:val="center"/>
              <w:rPr>
                <w:rFonts w:hint="eastAsia" w:ascii="宋体" w:hAnsi="宋体"/>
                <w:color w:val="000000"/>
                <w:sz w:val="18"/>
              </w:rPr>
            </w:pPr>
            <w:r>
              <w:rPr>
                <w:rFonts w:hint="eastAsia" w:ascii="宋体" w:hAnsi="宋体"/>
                <w:color w:val="000000"/>
                <w:sz w:val="18"/>
              </w:rPr>
              <w:t>钢结构</w:t>
            </w:r>
          </w:p>
        </w:tc>
        <w:tc>
          <w:tcPr>
            <w:tcW w:w="1221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8E8E3B9">
            <w:pPr>
              <w:spacing w:beforeLines="0" w:afterLines="0"/>
              <w:jc w:val="both"/>
              <w:rPr>
                <w:rFonts w:hint="eastAsia" w:ascii="宋体" w:hAnsi="宋体"/>
                <w:color w:val="000000"/>
                <w:sz w:val="18"/>
              </w:rPr>
            </w:pPr>
            <w:r>
              <w:rPr>
                <w:rFonts w:hint="eastAsia" w:ascii="宋体" w:hAnsi="宋体"/>
                <w:color w:val="000000"/>
                <w:sz w:val="18"/>
              </w:rPr>
              <w:t>屏幕安装使用，满足大屏幕现场安装需求，Q235标准.主体框架采用方管40mm×80mm×2mm或80mm×80mm×3mm，背条采用20mm×40mm×2mm，或者30mm×20mm×1.5mm，角铁采用50mm×50mm×3mm</w:t>
            </w: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6BD511E6">
            <w:pPr>
              <w:spacing w:beforeLines="0" w:afterLines="0"/>
              <w:jc w:val="center"/>
              <w:rPr>
                <w:rFonts w:hint="eastAsia" w:ascii="宋体" w:hAnsi="宋体"/>
                <w:color w:val="000000"/>
                <w:sz w:val="18"/>
              </w:rPr>
            </w:pPr>
            <w:r>
              <w:rPr>
                <w:rFonts w:hint="eastAsia" w:ascii="宋体" w:hAnsi="宋体"/>
                <w:color w:val="000000"/>
                <w:sz w:val="18"/>
              </w:rPr>
              <w:t>项</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66884015">
            <w:pPr>
              <w:spacing w:beforeLines="0" w:afterLines="0"/>
              <w:jc w:val="center"/>
              <w:rPr>
                <w:rFonts w:hint="eastAsia" w:ascii="宋体" w:hAnsi="宋体"/>
                <w:color w:val="000000"/>
                <w:sz w:val="18"/>
              </w:rPr>
            </w:pPr>
            <w:r>
              <w:rPr>
                <w:rFonts w:hint="eastAsia" w:ascii="宋体" w:hAnsi="宋体"/>
                <w:color w:val="000000"/>
                <w:sz w:val="18"/>
              </w:rPr>
              <w:t>1</w:t>
            </w:r>
          </w:p>
        </w:tc>
      </w:tr>
      <w:tr w14:paraId="3963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681"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AE1898C">
            <w:pPr>
              <w:spacing w:beforeLines="0" w:afterLines="0"/>
              <w:ind w:firstLine="180" w:firstLineChars="100"/>
              <w:jc w:val="both"/>
              <w:rPr>
                <w:rFonts w:hint="eastAsia" w:ascii="宋体" w:hAnsi="宋体"/>
                <w:color w:val="000000"/>
                <w:sz w:val="18"/>
              </w:rPr>
            </w:pPr>
            <w:r>
              <w:rPr>
                <w:rFonts w:hint="eastAsia" w:ascii="宋体" w:hAnsi="宋体"/>
                <w:color w:val="000000"/>
                <w:sz w:val="18"/>
              </w:rPr>
              <w:t>17</w:t>
            </w:r>
          </w:p>
        </w:tc>
        <w:tc>
          <w:tcPr>
            <w:tcW w:w="116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2FD2356">
            <w:pPr>
              <w:spacing w:beforeLines="0" w:afterLines="0"/>
              <w:jc w:val="center"/>
              <w:rPr>
                <w:rFonts w:hint="eastAsia" w:ascii="宋体" w:hAnsi="宋体"/>
                <w:color w:val="000000"/>
                <w:sz w:val="18"/>
              </w:rPr>
            </w:pPr>
            <w:r>
              <w:rPr>
                <w:rFonts w:hint="eastAsia" w:ascii="宋体" w:hAnsi="宋体"/>
                <w:color w:val="000000"/>
                <w:sz w:val="18"/>
              </w:rPr>
              <w:t>外边装饰</w:t>
            </w:r>
          </w:p>
        </w:tc>
        <w:tc>
          <w:tcPr>
            <w:tcW w:w="1221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2A5CB1DE">
            <w:pPr>
              <w:spacing w:beforeLines="0" w:afterLines="0"/>
              <w:jc w:val="both"/>
              <w:rPr>
                <w:rFonts w:hint="eastAsia" w:ascii="宋体" w:hAnsi="宋体"/>
                <w:color w:val="000000"/>
                <w:sz w:val="18"/>
              </w:rPr>
            </w:pPr>
            <w:r>
              <w:rPr>
                <w:rFonts w:hint="eastAsia" w:ascii="宋体" w:hAnsi="宋体"/>
                <w:color w:val="000000"/>
                <w:sz w:val="18"/>
              </w:rPr>
              <w:t>根据现场安装环境，切合实际情况处理，整体要求美观。</w:t>
            </w: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2043B831">
            <w:pPr>
              <w:spacing w:beforeLines="0" w:afterLines="0"/>
              <w:jc w:val="center"/>
              <w:rPr>
                <w:rFonts w:hint="eastAsia" w:ascii="宋体" w:hAnsi="宋体"/>
                <w:color w:val="000000"/>
                <w:sz w:val="18"/>
              </w:rPr>
            </w:pPr>
            <w:r>
              <w:rPr>
                <w:rFonts w:hint="eastAsia" w:ascii="宋体" w:hAnsi="宋体"/>
                <w:color w:val="000000"/>
                <w:sz w:val="18"/>
              </w:rPr>
              <w:t>项</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39316913">
            <w:pPr>
              <w:spacing w:beforeLines="0" w:afterLines="0"/>
              <w:jc w:val="center"/>
              <w:rPr>
                <w:rFonts w:hint="eastAsia" w:ascii="宋体" w:hAnsi="宋体"/>
                <w:color w:val="000000"/>
                <w:sz w:val="18"/>
              </w:rPr>
            </w:pPr>
            <w:r>
              <w:rPr>
                <w:rFonts w:hint="eastAsia" w:ascii="宋体" w:hAnsi="宋体"/>
                <w:color w:val="000000"/>
                <w:sz w:val="18"/>
              </w:rPr>
              <w:t>1</w:t>
            </w:r>
          </w:p>
        </w:tc>
      </w:tr>
      <w:tr w14:paraId="29CBD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81"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E6AB003">
            <w:pPr>
              <w:spacing w:beforeLines="0" w:afterLines="0"/>
              <w:ind w:firstLine="180" w:firstLineChars="100"/>
              <w:jc w:val="both"/>
              <w:rPr>
                <w:rFonts w:hint="eastAsia" w:ascii="宋体" w:hAnsi="宋体"/>
                <w:color w:val="000000"/>
                <w:sz w:val="18"/>
              </w:rPr>
            </w:pPr>
            <w:r>
              <w:rPr>
                <w:rFonts w:hint="eastAsia" w:ascii="宋体" w:hAnsi="宋体"/>
                <w:color w:val="000000"/>
                <w:sz w:val="18"/>
              </w:rPr>
              <w:t>18</w:t>
            </w:r>
          </w:p>
        </w:tc>
        <w:tc>
          <w:tcPr>
            <w:tcW w:w="116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7ED0F46">
            <w:pPr>
              <w:spacing w:beforeLines="0" w:afterLines="0"/>
              <w:jc w:val="both"/>
              <w:rPr>
                <w:rFonts w:hint="eastAsia" w:ascii="宋体" w:hAnsi="宋体"/>
                <w:color w:val="000000"/>
                <w:sz w:val="18"/>
              </w:rPr>
            </w:pPr>
            <w:r>
              <w:rPr>
                <w:rFonts w:hint="eastAsia" w:ascii="宋体" w:hAnsi="宋体"/>
                <w:color w:val="000000"/>
                <w:sz w:val="18"/>
              </w:rPr>
              <w:t>线缆、通讯线</w:t>
            </w:r>
          </w:p>
        </w:tc>
        <w:tc>
          <w:tcPr>
            <w:tcW w:w="1221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4A466B9A">
            <w:pPr>
              <w:spacing w:beforeLines="0" w:afterLines="0"/>
              <w:jc w:val="both"/>
              <w:rPr>
                <w:rFonts w:hint="eastAsia" w:ascii="宋体" w:hAnsi="宋体"/>
                <w:color w:val="000000"/>
                <w:sz w:val="18"/>
              </w:rPr>
            </w:pPr>
            <w:r>
              <w:rPr>
                <w:rFonts w:hint="eastAsia" w:ascii="宋体" w:hAnsi="宋体"/>
                <w:color w:val="000000"/>
                <w:sz w:val="18"/>
              </w:rPr>
              <w:t>供电线缆使用高品质铜芯线缆，通讯线材为高品质超五类网线或光纤，满足大屏幕供电需求和通讯需求。</w:t>
            </w: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41FEE578">
            <w:pPr>
              <w:spacing w:beforeLines="0" w:afterLines="0"/>
              <w:jc w:val="center"/>
              <w:rPr>
                <w:rFonts w:hint="eastAsia" w:ascii="宋体" w:hAnsi="宋体"/>
                <w:color w:val="000000"/>
                <w:sz w:val="18"/>
              </w:rPr>
            </w:pPr>
            <w:r>
              <w:rPr>
                <w:rFonts w:hint="eastAsia" w:ascii="宋体" w:hAnsi="宋体"/>
                <w:color w:val="000000"/>
                <w:sz w:val="18"/>
              </w:rPr>
              <w:t>项</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7DEFF7A2">
            <w:pPr>
              <w:spacing w:beforeLines="0" w:afterLines="0"/>
              <w:jc w:val="center"/>
              <w:rPr>
                <w:rFonts w:hint="eastAsia" w:ascii="宋体" w:hAnsi="宋体"/>
                <w:color w:val="000000"/>
                <w:sz w:val="18"/>
              </w:rPr>
            </w:pPr>
            <w:r>
              <w:rPr>
                <w:rFonts w:hint="eastAsia" w:ascii="宋体" w:hAnsi="宋体"/>
                <w:color w:val="000000"/>
                <w:sz w:val="18"/>
              </w:rPr>
              <w:t>1</w:t>
            </w:r>
          </w:p>
        </w:tc>
      </w:tr>
      <w:tr w14:paraId="0179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81"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770B92E">
            <w:pPr>
              <w:spacing w:beforeLines="0" w:afterLines="0"/>
              <w:ind w:firstLine="180" w:firstLineChars="100"/>
              <w:jc w:val="both"/>
              <w:rPr>
                <w:rFonts w:hint="eastAsia" w:ascii="宋体" w:hAnsi="宋体"/>
                <w:color w:val="000000"/>
                <w:sz w:val="18"/>
              </w:rPr>
            </w:pPr>
            <w:r>
              <w:rPr>
                <w:rFonts w:hint="eastAsia" w:ascii="宋体" w:hAnsi="宋体"/>
                <w:color w:val="000000"/>
                <w:sz w:val="18"/>
              </w:rPr>
              <w:t>19</w:t>
            </w:r>
          </w:p>
        </w:tc>
        <w:tc>
          <w:tcPr>
            <w:tcW w:w="116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EE13BB1">
            <w:pPr>
              <w:spacing w:beforeLines="0" w:afterLines="0"/>
              <w:jc w:val="center"/>
              <w:rPr>
                <w:rFonts w:hint="eastAsia" w:ascii="宋体" w:hAnsi="宋体"/>
                <w:color w:val="000000"/>
                <w:sz w:val="18"/>
              </w:rPr>
            </w:pPr>
            <w:r>
              <w:rPr>
                <w:rFonts w:hint="eastAsia" w:ascii="宋体" w:hAnsi="宋体"/>
                <w:color w:val="000000"/>
                <w:sz w:val="18"/>
              </w:rPr>
              <w:t>技术服务</w:t>
            </w:r>
          </w:p>
        </w:tc>
        <w:tc>
          <w:tcPr>
            <w:tcW w:w="1221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14:paraId="5529194C">
            <w:pPr>
              <w:spacing w:beforeLines="0" w:afterLines="0"/>
              <w:jc w:val="both"/>
              <w:rPr>
                <w:rFonts w:hint="eastAsia" w:ascii="宋体" w:hAnsi="宋体"/>
                <w:color w:val="000000"/>
                <w:sz w:val="18"/>
              </w:rPr>
            </w:pPr>
            <w:r>
              <w:rPr>
                <w:rFonts w:hint="eastAsia" w:ascii="宋体" w:hAnsi="宋体"/>
                <w:color w:val="000000"/>
                <w:sz w:val="18"/>
              </w:rPr>
              <w:t>相关设备的安装、调试、编程、运费、人工、后期维护等</w:t>
            </w:r>
          </w:p>
        </w:tc>
        <w:tc>
          <w:tcPr>
            <w:tcW w:w="578" w:type="dxa"/>
            <w:tcBorders>
              <w:top w:val="single" w:color="auto" w:sz="6" w:space="0"/>
              <w:left w:val="single" w:color="auto" w:sz="6" w:space="0"/>
              <w:bottom w:val="single" w:color="auto" w:sz="6" w:space="0"/>
              <w:right w:val="single" w:color="auto" w:sz="6" w:space="0"/>
              <w:tl2br w:val="nil"/>
              <w:tr2bl w:val="nil"/>
            </w:tcBorders>
            <w:vAlign w:val="center"/>
          </w:tcPr>
          <w:p w14:paraId="64B11B12">
            <w:pPr>
              <w:spacing w:beforeLines="0" w:afterLines="0"/>
              <w:jc w:val="center"/>
              <w:rPr>
                <w:rFonts w:hint="eastAsia" w:ascii="宋体" w:hAnsi="宋体"/>
                <w:color w:val="000000"/>
                <w:sz w:val="18"/>
              </w:rPr>
            </w:pPr>
            <w:r>
              <w:rPr>
                <w:rFonts w:hint="eastAsia" w:ascii="宋体" w:hAnsi="宋体"/>
                <w:color w:val="000000"/>
                <w:sz w:val="18"/>
              </w:rPr>
              <w:t>项</w:t>
            </w:r>
          </w:p>
        </w:tc>
        <w:tc>
          <w:tcPr>
            <w:tcW w:w="667" w:type="dxa"/>
            <w:tcBorders>
              <w:top w:val="single" w:color="auto" w:sz="6" w:space="0"/>
              <w:left w:val="single" w:color="auto" w:sz="6" w:space="0"/>
              <w:bottom w:val="single" w:color="auto" w:sz="6" w:space="0"/>
              <w:right w:val="single" w:color="auto" w:sz="6" w:space="0"/>
              <w:tl2br w:val="nil"/>
              <w:tr2bl w:val="nil"/>
            </w:tcBorders>
            <w:vAlign w:val="center"/>
          </w:tcPr>
          <w:p w14:paraId="21AC0F3B">
            <w:pPr>
              <w:spacing w:beforeLines="0" w:afterLines="0"/>
              <w:jc w:val="center"/>
              <w:rPr>
                <w:rFonts w:hint="eastAsia" w:ascii="宋体" w:hAnsi="宋体"/>
                <w:color w:val="000000"/>
                <w:sz w:val="18"/>
              </w:rPr>
            </w:pPr>
            <w:r>
              <w:rPr>
                <w:rFonts w:hint="eastAsia" w:ascii="宋体" w:hAnsi="宋体"/>
                <w:color w:val="000000"/>
                <w:sz w:val="18"/>
              </w:rPr>
              <w:t>1</w:t>
            </w:r>
          </w:p>
        </w:tc>
      </w:tr>
    </w:tbl>
    <w:p w14:paraId="5CCDF954">
      <w:pPr>
        <w:widowControl/>
        <w:spacing w:line="560" w:lineRule="exact"/>
        <w:rPr>
          <w:rFonts w:hint="eastAsia" w:ascii="方正小标宋简体" w:hAnsi="Times New Roman" w:eastAsia="方正小标宋简体"/>
          <w:sz w:val="44"/>
          <w:szCs w:val="44"/>
        </w:rPr>
        <w:sectPr>
          <w:pgSz w:w="16838" w:h="11906" w:orient="landscape"/>
          <w:pgMar w:top="1803" w:right="873" w:bottom="1803" w:left="76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6CD2F2D4">
      <w:pPr>
        <w:keepNext w:val="0"/>
        <w:keepLines w:val="0"/>
        <w:pageBreakBefore w:val="0"/>
        <w:widowControl/>
        <w:kinsoku/>
        <w:wordWrap/>
        <w:overflowPunct/>
        <w:topLinePunct w:val="0"/>
        <w:autoSpaceDE/>
        <w:autoSpaceDN/>
        <w:bidi w:val="0"/>
        <w:adjustRightInd/>
        <w:snapToGrid/>
        <w:spacing w:before="312" w:beforeLines="100" w:after="156" w:afterLines="50" w:line="560" w:lineRule="exact"/>
        <w:jc w:val="center"/>
        <w:textAlignment w:val="auto"/>
        <w:outlineLvl w:val="0"/>
        <w:rPr>
          <w:rFonts w:ascii="方正小标宋简体" w:hAnsi="Times New Roman" w:eastAsia="方正小标宋简体"/>
          <w:sz w:val="44"/>
          <w:szCs w:val="44"/>
        </w:rPr>
      </w:pPr>
      <w:r>
        <w:rPr>
          <w:rFonts w:hint="eastAsia" w:ascii="方正小标宋简体" w:eastAsia="方正小标宋简体" w:cs="方正小标宋简体"/>
          <w:sz w:val="44"/>
          <w:szCs w:val="44"/>
          <w:lang w:val="en-US" w:eastAsia="zh-CN"/>
        </w:rPr>
        <w:t>附件1-4</w:t>
      </w:r>
      <w:r>
        <w:rPr>
          <w:rFonts w:hint="eastAsia" w:ascii="方正小标宋简体" w:hAnsi="Times New Roman" w:eastAsia="方正小标宋简体"/>
          <w:sz w:val="44"/>
          <w:szCs w:val="44"/>
        </w:rPr>
        <w:t>经济要求</w:t>
      </w:r>
    </w:p>
    <w:p w14:paraId="6C22038F">
      <w:pPr>
        <w:keepNext w:val="0"/>
        <w:keepLines w:val="0"/>
        <w:pageBreakBefore w:val="0"/>
        <w:widowControl w:val="0"/>
        <w:kinsoku/>
        <w:wordWrap/>
        <w:overflowPunct/>
        <w:topLinePunct w:val="0"/>
        <w:autoSpaceDE/>
        <w:autoSpaceDN/>
        <w:bidi w:val="0"/>
        <w:adjustRightInd w:val="0"/>
        <w:snapToGrid/>
        <w:spacing w:before="0" w:after="0" w:line="530" w:lineRule="exact"/>
        <w:ind w:firstLine="640" w:firstLineChars="200"/>
        <w:textAlignment w:val="auto"/>
        <w:outlineLvl w:val="9"/>
        <w:rPr>
          <w:rFonts w:hint="eastAsia" w:ascii="黑体" w:hAnsi="黑体" w:cs="黑体"/>
          <w:b w:val="0"/>
          <w:bCs w:val="0"/>
          <w:sz w:val="32"/>
          <w:szCs w:val="32"/>
          <w:lang w:eastAsia="zh-CN"/>
        </w:rPr>
      </w:pPr>
      <w:bookmarkStart w:id="14" w:name="_Toc128151031"/>
      <w:bookmarkStart w:id="15" w:name="_Toc127820568"/>
      <w:bookmarkStart w:id="16" w:name="_Toc128150782"/>
      <w:bookmarkStart w:id="17" w:name="_Toc128397974"/>
      <w:bookmarkStart w:id="18" w:name="_Toc128150138"/>
      <w:r>
        <w:rPr>
          <w:rFonts w:hint="eastAsia" w:ascii="黑体" w:hAnsi="黑体" w:cs="黑体"/>
          <w:b w:val="0"/>
          <w:bCs w:val="0"/>
          <w:sz w:val="32"/>
          <w:szCs w:val="32"/>
          <w:lang w:eastAsia="zh-CN"/>
        </w:rPr>
        <w:t>★一、</w:t>
      </w:r>
      <w:bookmarkEnd w:id="14"/>
      <w:bookmarkEnd w:id="15"/>
      <w:bookmarkEnd w:id="16"/>
      <w:bookmarkEnd w:id="17"/>
      <w:bookmarkEnd w:id="18"/>
      <w:bookmarkStart w:id="19" w:name="_Hlk129329253"/>
      <w:r>
        <w:rPr>
          <w:rFonts w:hint="eastAsia" w:ascii="黑体" w:hAnsi="黑体" w:cs="黑体"/>
          <w:b w:val="0"/>
          <w:bCs w:val="0"/>
          <w:sz w:val="32"/>
          <w:szCs w:val="32"/>
          <w:lang w:eastAsia="zh-CN"/>
        </w:rPr>
        <w:t>交付时间</w:t>
      </w:r>
      <w:bookmarkEnd w:id="19"/>
      <w:r>
        <w:rPr>
          <w:rFonts w:hint="eastAsia" w:ascii="黑体" w:hAnsi="黑体" w:cs="黑体"/>
          <w:b w:val="0"/>
          <w:bCs w:val="0"/>
          <w:sz w:val="32"/>
          <w:szCs w:val="32"/>
          <w:lang w:eastAsia="zh-CN"/>
        </w:rPr>
        <w:t>、地点及方式</w:t>
      </w:r>
    </w:p>
    <w:p w14:paraId="5234E2C8">
      <w:pPr>
        <w:adjustRightInd w:val="0"/>
        <w:spacing w:line="530" w:lineRule="exact"/>
        <w:ind w:firstLine="640" w:firstLineChars="200"/>
        <w:rPr>
          <w:rFonts w:hint="eastAsia" w:ascii="仿宋_GB2312" w:hAnsi="仿宋" w:eastAsia="仿宋_GB2312"/>
          <w:bCs/>
          <w:sz w:val="32"/>
          <w:szCs w:val="32"/>
        </w:rPr>
      </w:pPr>
      <w:bookmarkStart w:id="20" w:name="_Hlk129332881"/>
      <w:r>
        <w:rPr>
          <w:rFonts w:hint="eastAsia" w:ascii="仿宋_GB2312" w:hAnsi="仿宋" w:eastAsia="仿宋_GB2312"/>
          <w:bCs/>
          <w:sz w:val="32"/>
          <w:szCs w:val="32"/>
        </w:rPr>
        <w:t>（一）</w:t>
      </w:r>
      <w:bookmarkEnd w:id="20"/>
      <w:r>
        <w:rPr>
          <w:rFonts w:hint="eastAsia" w:ascii="仿宋_GB2312" w:hAnsi="仿宋" w:eastAsia="仿宋_GB2312"/>
          <w:bCs/>
          <w:sz w:val="32"/>
          <w:szCs w:val="32"/>
        </w:rPr>
        <w:t>交付时间：自合同签订生效之日起</w:t>
      </w:r>
      <w:r>
        <w:rPr>
          <w:rFonts w:hint="eastAsia" w:ascii="仿宋_GB2312" w:hAnsi="仿宋" w:eastAsia="仿宋_GB2312"/>
          <w:bCs/>
          <w:sz w:val="32"/>
          <w:szCs w:val="32"/>
          <w:lang w:val="en-US" w:eastAsia="zh-CN"/>
        </w:rPr>
        <w:t>30</w:t>
      </w:r>
      <w:r>
        <w:rPr>
          <w:rFonts w:hint="eastAsia" w:ascii="仿宋_GB2312" w:hAnsi="仿宋" w:eastAsia="仿宋_GB2312"/>
          <w:bCs/>
          <w:sz w:val="32"/>
          <w:szCs w:val="32"/>
        </w:rPr>
        <w:t>内完成供货、安装、调试</w:t>
      </w:r>
    </w:p>
    <w:p w14:paraId="451FE8AC">
      <w:pPr>
        <w:adjustRightInd w:val="0"/>
        <w:spacing w:line="53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（二）交付地点：</w:t>
      </w:r>
      <w:r>
        <w:rPr>
          <w:rFonts w:hint="eastAsia" w:ascii="仿宋_GB2312" w:hAnsi="仿宋" w:eastAsia="仿宋_GB2312"/>
          <w:bCs/>
          <w:sz w:val="32"/>
          <w:szCs w:val="32"/>
          <w:lang w:eastAsia="zh-CN"/>
        </w:rPr>
        <w:t>甘肃省兰州市安宁区</w:t>
      </w:r>
      <w:r>
        <w:rPr>
          <w:rFonts w:hint="eastAsia" w:ascii="仿宋_GB2312" w:hAnsi="仿宋" w:eastAsia="仿宋_GB2312"/>
          <w:bCs/>
          <w:sz w:val="32"/>
          <w:szCs w:val="32"/>
        </w:rPr>
        <w:t xml:space="preserve">                </w:t>
      </w:r>
    </w:p>
    <w:p w14:paraId="6DDF10FF">
      <w:pPr>
        <w:adjustRightInd w:val="0"/>
        <w:spacing w:line="530" w:lineRule="exact"/>
        <w:ind w:firstLine="640" w:firstLineChars="200"/>
        <w:rPr>
          <w:rFonts w:hint="eastAsia" w:ascii="仿宋_GB2312" w:hAnsi="仿宋" w:eastAsia="仿宋_GB2312"/>
          <w:bCs/>
          <w:sz w:val="32"/>
          <w:szCs w:val="32"/>
          <w:lang w:val="zh-CN"/>
        </w:rPr>
      </w:pPr>
      <w:r>
        <w:rPr>
          <w:rFonts w:hint="eastAsia" w:ascii="仿宋_GB2312" w:hAnsi="仿宋" w:eastAsia="仿宋_GB2312"/>
          <w:bCs/>
          <w:sz w:val="32"/>
          <w:szCs w:val="32"/>
        </w:rPr>
        <w:t>（三）交付方式：</w:t>
      </w:r>
      <w:r>
        <w:rPr>
          <w:rFonts w:hint="eastAsia" w:ascii="仿宋_GB2312" w:hAnsi="仿宋" w:eastAsia="仿宋_GB2312"/>
          <w:bCs/>
          <w:sz w:val="32"/>
          <w:szCs w:val="32"/>
          <w:lang w:val="zh-CN"/>
        </w:rPr>
        <w:t>现场交付</w:t>
      </w:r>
    </w:p>
    <w:p w14:paraId="3CA32239">
      <w:pPr>
        <w:keepNext w:val="0"/>
        <w:keepLines w:val="0"/>
        <w:pageBreakBefore w:val="0"/>
        <w:widowControl w:val="0"/>
        <w:kinsoku/>
        <w:wordWrap/>
        <w:overflowPunct/>
        <w:topLinePunct w:val="0"/>
        <w:autoSpaceDE/>
        <w:autoSpaceDN/>
        <w:bidi w:val="0"/>
        <w:adjustRightInd w:val="0"/>
        <w:snapToGrid/>
        <w:spacing w:before="0" w:after="0" w:line="530" w:lineRule="exact"/>
        <w:ind w:firstLine="640" w:firstLineChars="200"/>
        <w:textAlignment w:val="auto"/>
        <w:outlineLvl w:val="9"/>
        <w:rPr>
          <w:rFonts w:hint="eastAsia" w:ascii="黑体" w:hAnsi="黑体" w:cs="黑体"/>
          <w:b w:val="0"/>
          <w:bCs w:val="0"/>
          <w:sz w:val="32"/>
          <w:szCs w:val="32"/>
          <w:lang w:eastAsia="zh-CN"/>
        </w:rPr>
      </w:pPr>
      <w:r>
        <w:rPr>
          <w:rFonts w:hint="eastAsia" w:ascii="黑体" w:hAnsi="黑体" w:cs="黑体"/>
          <w:b w:val="0"/>
          <w:bCs w:val="0"/>
          <w:sz w:val="32"/>
          <w:szCs w:val="32"/>
          <w:lang w:eastAsia="zh-CN"/>
        </w:rPr>
        <w:t>★二、售后服务</w:t>
      </w:r>
    </w:p>
    <w:p w14:paraId="4ED69587">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（一）自</w:t>
      </w:r>
      <w:bookmarkStart w:id="21" w:name="_Hlk129331333"/>
      <w:r>
        <w:rPr>
          <w:rFonts w:hint="eastAsia" w:ascii="仿宋_GB2312" w:hAnsi="仿宋" w:eastAsia="仿宋_GB2312"/>
          <w:bCs/>
          <w:sz w:val="32"/>
          <w:szCs w:val="32"/>
        </w:rPr>
        <w:t>物资</w:t>
      </w:r>
      <w:bookmarkEnd w:id="21"/>
      <w:r>
        <w:rPr>
          <w:rFonts w:hint="eastAsia" w:ascii="仿宋_GB2312" w:hAnsi="仿宋" w:eastAsia="仿宋_GB2312"/>
          <w:bCs/>
          <w:sz w:val="32"/>
          <w:szCs w:val="32"/>
        </w:rPr>
        <w:t>验收合格之日起，物资免费质保期为</w:t>
      </w:r>
      <w:r>
        <w:rPr>
          <w:rFonts w:hint="eastAsia" w:ascii="仿宋_GB2312" w:hAnsi="仿宋" w:eastAsia="仿宋_GB2312"/>
          <w:bCs/>
          <w:sz w:val="32"/>
          <w:szCs w:val="32"/>
          <w:u w:val="single"/>
        </w:rPr>
        <w:t xml:space="preserve"> </w:t>
      </w:r>
      <w:r>
        <w:rPr>
          <w:rFonts w:hint="eastAsia" w:ascii="仿宋_GB2312" w:hAnsi="仿宋" w:eastAsia="仿宋_GB2312"/>
          <w:bCs/>
          <w:sz w:val="32"/>
          <w:szCs w:val="32"/>
          <w:u w:val="single"/>
          <w:lang w:val="en-US" w:eastAsia="zh-CN"/>
        </w:rPr>
        <w:t>24</w:t>
      </w:r>
      <w:r>
        <w:rPr>
          <w:rFonts w:hint="eastAsia" w:ascii="仿宋_GB2312" w:hAnsi="仿宋" w:eastAsia="仿宋_GB2312"/>
          <w:bCs/>
          <w:sz w:val="32"/>
          <w:szCs w:val="32"/>
          <w:u w:val="single"/>
        </w:rPr>
        <w:t xml:space="preserve"> </w:t>
      </w:r>
      <w:r>
        <w:rPr>
          <w:rFonts w:hint="eastAsia" w:ascii="仿宋_GB2312" w:hAnsi="仿宋" w:eastAsia="仿宋_GB2312"/>
          <w:bCs/>
          <w:sz w:val="32"/>
          <w:szCs w:val="32"/>
        </w:rPr>
        <w:t>个月。在</w:t>
      </w:r>
      <w:bookmarkStart w:id="22" w:name="_Hlk129331519"/>
      <w:r>
        <w:rPr>
          <w:rFonts w:hint="eastAsia" w:ascii="仿宋_GB2312" w:hAnsi="仿宋" w:eastAsia="仿宋_GB2312"/>
          <w:bCs/>
          <w:sz w:val="32"/>
          <w:szCs w:val="32"/>
        </w:rPr>
        <w:t>免费质保期</w:t>
      </w:r>
      <w:bookmarkEnd w:id="22"/>
      <w:r>
        <w:rPr>
          <w:rFonts w:hint="eastAsia" w:ascii="仿宋_GB2312" w:hAnsi="仿宋" w:eastAsia="仿宋_GB2312"/>
          <w:bCs/>
          <w:sz w:val="32"/>
          <w:szCs w:val="32"/>
        </w:rPr>
        <w:t>内，出现质量问题，甲方提出后，乙方应当在</w:t>
      </w:r>
      <w:r>
        <w:rPr>
          <w:rFonts w:hint="eastAsia" w:ascii="仿宋_GB2312" w:hAnsi="仿宋" w:eastAsia="仿宋_GB2312"/>
          <w:bCs/>
          <w:sz w:val="32"/>
          <w:szCs w:val="32"/>
          <w:u w:val="single"/>
        </w:rPr>
        <w:t xml:space="preserve"> </w:t>
      </w:r>
      <w:r>
        <w:rPr>
          <w:rFonts w:hint="eastAsia" w:ascii="仿宋_GB2312" w:hAnsi="仿宋" w:eastAsia="仿宋_GB2312"/>
          <w:bCs/>
          <w:sz w:val="32"/>
          <w:szCs w:val="32"/>
          <w:u w:val="single"/>
          <w:lang w:val="en-US" w:eastAsia="zh-CN"/>
        </w:rPr>
        <w:t>2</w:t>
      </w:r>
      <w:r>
        <w:rPr>
          <w:rFonts w:hint="eastAsia" w:ascii="仿宋_GB2312" w:hAnsi="仿宋" w:eastAsia="仿宋_GB2312"/>
          <w:bCs/>
          <w:sz w:val="32"/>
          <w:szCs w:val="32"/>
          <w:u w:val="single"/>
        </w:rPr>
        <w:t xml:space="preserve">  </w:t>
      </w:r>
      <w:r>
        <w:rPr>
          <w:rFonts w:hint="eastAsia" w:ascii="仿宋_GB2312" w:hAnsi="仿宋" w:eastAsia="仿宋_GB2312"/>
          <w:bCs/>
          <w:sz w:val="32"/>
          <w:szCs w:val="32"/>
        </w:rPr>
        <w:t>小时内响应，</w:t>
      </w:r>
      <w:r>
        <w:rPr>
          <w:rFonts w:hint="eastAsia" w:ascii="仿宋_GB2312" w:hAnsi="仿宋" w:eastAsia="仿宋_GB2312"/>
          <w:bCs/>
          <w:sz w:val="32"/>
          <w:szCs w:val="32"/>
          <w:u w:val="single"/>
        </w:rPr>
        <w:t xml:space="preserve">  </w:t>
      </w:r>
      <w:r>
        <w:rPr>
          <w:rFonts w:hint="eastAsia" w:ascii="仿宋_GB2312" w:hAnsi="仿宋" w:eastAsia="仿宋_GB2312"/>
          <w:bCs/>
          <w:sz w:val="32"/>
          <w:szCs w:val="32"/>
          <w:u w:val="single"/>
          <w:lang w:val="en-US" w:eastAsia="zh-CN"/>
        </w:rPr>
        <w:t xml:space="preserve">4 </w:t>
      </w:r>
      <w:r>
        <w:rPr>
          <w:rFonts w:hint="eastAsia" w:ascii="仿宋_GB2312" w:hAnsi="仿宋" w:eastAsia="仿宋_GB2312"/>
          <w:bCs/>
          <w:sz w:val="32"/>
          <w:szCs w:val="32"/>
          <w:u w:val="single"/>
        </w:rPr>
        <w:t xml:space="preserve"> </w:t>
      </w:r>
      <w:r>
        <w:rPr>
          <w:rFonts w:hint="eastAsia" w:ascii="仿宋_GB2312" w:hAnsi="仿宋" w:eastAsia="仿宋_GB2312"/>
          <w:bCs/>
          <w:sz w:val="32"/>
          <w:szCs w:val="32"/>
        </w:rPr>
        <w:t>小时内到达现场提供相关的维修、更换等服务。</w:t>
      </w:r>
    </w:p>
    <w:p w14:paraId="56939388">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（二）乙方不能按约定期限派人保修的，甲方在技术允许的范围内自行修理，费用由乙方承担。</w:t>
      </w:r>
    </w:p>
    <w:p w14:paraId="6FA21C29">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（三）因设计、制造缺陷导致物资质量问题或存在质量隐患的，乙方应当免费提供包修、包换、包退服务，因此导致的损失，甲方有权向乙方追偿。</w:t>
      </w:r>
    </w:p>
    <w:p w14:paraId="215095EC">
      <w:pPr>
        <w:pStyle w:val="3"/>
        <w:adjustRightInd w:val="0"/>
        <w:spacing w:after="0"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（四）在</w:t>
      </w:r>
      <w:bookmarkStart w:id="23" w:name="_Hlk129333864"/>
      <w:r>
        <w:rPr>
          <w:rFonts w:hint="eastAsia" w:ascii="仿宋_GB2312" w:hAnsi="仿宋" w:eastAsia="仿宋_GB2312"/>
          <w:bCs/>
          <w:sz w:val="32"/>
          <w:szCs w:val="32"/>
        </w:rPr>
        <w:t>物资</w:t>
      </w:r>
      <w:bookmarkEnd w:id="23"/>
      <w:r>
        <w:rPr>
          <w:rFonts w:hint="eastAsia" w:ascii="仿宋_GB2312" w:hAnsi="仿宋" w:eastAsia="仿宋_GB2312"/>
          <w:bCs/>
          <w:sz w:val="32"/>
          <w:szCs w:val="32"/>
        </w:rPr>
        <w:t>全生命周期内</w:t>
      </w:r>
      <w:r>
        <w:rPr>
          <w:rFonts w:hint="eastAsia" w:ascii="仿宋_GB2312" w:hAnsi="楷体_GB2312" w:eastAsia="仿宋_GB2312" w:cs="楷体_GB2312"/>
          <w:bCs/>
          <w:sz w:val="32"/>
          <w:szCs w:val="32"/>
          <w:highlight w:val="none"/>
        </w:rPr>
        <w:t>（</w:t>
      </w:r>
      <w:r>
        <w:rPr>
          <w:rFonts w:hint="eastAsia" w:ascii="仿宋_GB2312" w:hAnsi="楷体_GB2312" w:eastAsia="仿宋_GB2312" w:cs="楷体_GB2312"/>
          <w:bCs/>
          <w:sz w:val="32"/>
          <w:szCs w:val="32"/>
          <w:highlight w:val="none"/>
          <w:u w:val="single"/>
          <w:lang w:val="en-US" w:eastAsia="zh-CN"/>
        </w:rPr>
        <w:t>5</w:t>
      </w:r>
      <w:r>
        <w:rPr>
          <w:rFonts w:hint="eastAsia" w:ascii="仿宋_GB2312" w:hAnsi="楷体_GB2312" w:eastAsia="仿宋_GB2312" w:cs="楷体_GB2312"/>
          <w:bCs/>
          <w:sz w:val="32"/>
          <w:szCs w:val="32"/>
          <w:highlight w:val="none"/>
        </w:rPr>
        <w:t>年</w:t>
      </w:r>
      <w:r>
        <w:rPr>
          <w:rFonts w:hint="eastAsia" w:ascii="仿宋_GB2312" w:hAnsi="楷体_GB2312" w:eastAsia="仿宋_GB2312" w:cs="楷体_GB2312"/>
          <w:bCs/>
          <w:sz w:val="32"/>
          <w:szCs w:val="32"/>
        </w:rPr>
        <w:t>内）</w:t>
      </w:r>
      <w:r>
        <w:rPr>
          <w:rFonts w:hint="eastAsia" w:ascii="仿宋_GB2312" w:hAnsi="仿宋" w:eastAsia="仿宋_GB2312"/>
          <w:bCs/>
          <w:sz w:val="32"/>
          <w:szCs w:val="32"/>
        </w:rPr>
        <w:t>，乙方提供维护保障。质保期外，乙方继续提供技术支持服务和系统软件升级换代，备品备件应当以不高于其投标（报价）文件或本合同约定的价格向甲方供应。</w:t>
      </w:r>
    </w:p>
    <w:p w14:paraId="0169E562">
      <w:pPr>
        <w:keepNext w:val="0"/>
        <w:keepLines w:val="0"/>
        <w:pageBreakBefore w:val="0"/>
        <w:widowControl w:val="0"/>
        <w:kinsoku/>
        <w:wordWrap/>
        <w:overflowPunct/>
        <w:topLinePunct w:val="0"/>
        <w:autoSpaceDE/>
        <w:autoSpaceDN/>
        <w:bidi w:val="0"/>
        <w:adjustRightInd w:val="0"/>
        <w:snapToGrid/>
        <w:spacing w:before="0" w:after="0" w:line="530" w:lineRule="exact"/>
        <w:ind w:firstLine="640" w:firstLineChars="200"/>
        <w:textAlignment w:val="auto"/>
        <w:outlineLvl w:val="9"/>
        <w:rPr>
          <w:rFonts w:hint="eastAsia" w:ascii="黑体" w:hAnsi="黑体" w:cs="黑体"/>
          <w:b w:val="0"/>
          <w:bCs w:val="0"/>
          <w:sz w:val="32"/>
          <w:szCs w:val="32"/>
          <w:lang w:eastAsia="zh-CN"/>
        </w:rPr>
      </w:pPr>
      <w:r>
        <w:rPr>
          <w:rFonts w:hint="eastAsia" w:ascii="黑体" w:hAnsi="黑体" w:cs="黑体"/>
          <w:b w:val="0"/>
          <w:bCs w:val="0"/>
          <w:sz w:val="32"/>
          <w:szCs w:val="32"/>
          <w:lang w:eastAsia="zh-CN"/>
        </w:rPr>
        <w:t>★三、包装及技术材料</w:t>
      </w:r>
    </w:p>
    <w:p w14:paraId="51AB5D08">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（一）乙方提供的物资采用国家或行业规定的标准进行包装，包装费用由乙方承担。</w:t>
      </w:r>
    </w:p>
    <w:p w14:paraId="67BCB85C">
      <w:pPr>
        <w:adjustRightInd w:val="0"/>
        <w:spacing w:line="530" w:lineRule="exact"/>
        <w:ind w:firstLine="640" w:firstLineChars="200"/>
        <w:rPr>
          <w:rFonts w:ascii="仿宋_GB2312" w:hAnsi="仿宋" w:eastAsia="仿宋_GB2312"/>
          <w:bCs/>
          <w:sz w:val="32"/>
          <w:szCs w:val="32"/>
        </w:rPr>
      </w:pPr>
      <w:bookmarkStart w:id="24" w:name="_Hlk129330044"/>
      <w:r>
        <w:rPr>
          <w:rFonts w:hint="eastAsia" w:ascii="仿宋_GB2312" w:hAnsi="仿宋" w:eastAsia="仿宋_GB2312"/>
          <w:bCs/>
          <w:sz w:val="32"/>
          <w:szCs w:val="32"/>
        </w:rPr>
        <w:t>（二）</w:t>
      </w:r>
      <w:bookmarkEnd w:id="24"/>
      <w:r>
        <w:rPr>
          <w:rFonts w:hint="eastAsia" w:ascii="仿宋_GB2312" w:hAnsi="仿宋" w:eastAsia="仿宋_GB2312"/>
          <w:bCs/>
          <w:sz w:val="32"/>
          <w:szCs w:val="32"/>
        </w:rPr>
        <w:t>乙方提供的物资、技术材料，应当有详细的说明，包括物资的规格、技术指标及外观质量情况等，并附检验合格证和保修保养证书。</w:t>
      </w:r>
    </w:p>
    <w:p w14:paraId="3DEE469E">
      <w:pPr>
        <w:adjustRightInd w:val="0"/>
        <w:spacing w:line="530" w:lineRule="exact"/>
        <w:ind w:firstLine="640" w:firstLineChars="200"/>
        <w:rPr>
          <w:rFonts w:ascii="仿宋_GB2312" w:eastAsia="仿宋_GB2312"/>
          <w:bCs/>
          <w:sz w:val="32"/>
          <w:szCs w:val="32"/>
        </w:rPr>
      </w:pPr>
      <w:r>
        <w:rPr>
          <w:rFonts w:hint="eastAsia" w:ascii="仿宋_GB2312" w:eastAsia="仿宋_GB2312"/>
          <w:bCs/>
          <w:sz w:val="32"/>
          <w:szCs w:val="32"/>
        </w:rPr>
        <w:t>1.乙方所出售的全部物资均应</w:t>
      </w:r>
      <w:r>
        <w:rPr>
          <w:rFonts w:hint="eastAsia" w:ascii="仿宋_GB2312" w:eastAsia="仿宋_GB2312"/>
          <w:sz w:val="32"/>
          <w:szCs w:val="32"/>
        </w:rPr>
        <w:t>当</w:t>
      </w:r>
      <w:r>
        <w:rPr>
          <w:rFonts w:hint="eastAsia" w:ascii="仿宋_GB2312" w:eastAsia="仿宋_GB2312"/>
          <w:bCs/>
          <w:sz w:val="32"/>
          <w:szCs w:val="32"/>
        </w:rPr>
        <w:t>按标准保护措施进行包装，包装应</w:t>
      </w:r>
      <w:r>
        <w:rPr>
          <w:rFonts w:hint="eastAsia" w:ascii="仿宋_GB2312" w:eastAsia="仿宋_GB2312"/>
          <w:sz w:val="32"/>
          <w:szCs w:val="32"/>
        </w:rPr>
        <w:t>当</w:t>
      </w:r>
      <w:r>
        <w:rPr>
          <w:rFonts w:hint="eastAsia" w:ascii="仿宋_GB2312" w:eastAsia="仿宋_GB2312"/>
          <w:bCs/>
          <w:sz w:val="32"/>
          <w:szCs w:val="32"/>
        </w:rPr>
        <w:t>适应于远距离运输、防潮、防震、防锈和防野蛮装卸等要求，以确保物资安全无损地运抵指定现场。由于包装防护措施不妥而引起的损坏、丢失由乙方负责。</w:t>
      </w:r>
    </w:p>
    <w:p w14:paraId="5688018C">
      <w:pPr>
        <w:adjustRightInd w:val="0"/>
        <w:spacing w:line="530" w:lineRule="exact"/>
        <w:ind w:firstLine="640" w:firstLineChars="200"/>
        <w:rPr>
          <w:rFonts w:ascii="仿宋_GB2312" w:eastAsia="仿宋_GB2312"/>
          <w:bCs/>
          <w:sz w:val="32"/>
          <w:szCs w:val="32"/>
        </w:rPr>
      </w:pPr>
      <w:r>
        <w:rPr>
          <w:rFonts w:hint="eastAsia" w:ascii="仿宋_GB2312" w:eastAsia="仿宋_GB2312"/>
          <w:bCs/>
          <w:sz w:val="32"/>
          <w:szCs w:val="32"/>
        </w:rPr>
        <w:t>2.每一个包装箱内应</w:t>
      </w:r>
      <w:r>
        <w:rPr>
          <w:rFonts w:hint="eastAsia" w:ascii="仿宋_GB2312" w:eastAsia="仿宋_GB2312"/>
          <w:sz w:val="32"/>
          <w:szCs w:val="32"/>
        </w:rPr>
        <w:t>当</w:t>
      </w:r>
      <w:r>
        <w:rPr>
          <w:rFonts w:hint="eastAsia" w:ascii="仿宋_GB2312" w:eastAsia="仿宋_GB2312"/>
          <w:bCs/>
          <w:sz w:val="32"/>
          <w:szCs w:val="32"/>
        </w:rPr>
        <w:t>附一份详细装箱清单。</w:t>
      </w:r>
    </w:p>
    <w:p w14:paraId="6C7F80A8">
      <w:pPr>
        <w:keepNext w:val="0"/>
        <w:keepLines w:val="0"/>
        <w:pageBreakBefore w:val="0"/>
        <w:widowControl w:val="0"/>
        <w:kinsoku/>
        <w:wordWrap/>
        <w:overflowPunct/>
        <w:topLinePunct w:val="0"/>
        <w:autoSpaceDE/>
        <w:autoSpaceDN/>
        <w:bidi w:val="0"/>
        <w:adjustRightInd w:val="0"/>
        <w:snapToGrid/>
        <w:spacing w:before="0" w:after="0" w:line="530" w:lineRule="exact"/>
        <w:ind w:firstLine="640" w:firstLineChars="200"/>
        <w:textAlignment w:val="auto"/>
        <w:outlineLvl w:val="9"/>
        <w:rPr>
          <w:rFonts w:hint="eastAsia" w:ascii="黑体" w:hAnsi="黑体" w:cs="黑体"/>
          <w:b w:val="0"/>
          <w:bCs w:val="0"/>
          <w:sz w:val="32"/>
          <w:szCs w:val="32"/>
          <w:lang w:eastAsia="zh-CN"/>
        </w:rPr>
      </w:pPr>
      <w:r>
        <w:rPr>
          <w:rFonts w:hint="eastAsia" w:ascii="黑体" w:hAnsi="黑体" w:cs="黑体"/>
          <w:b w:val="0"/>
          <w:bCs w:val="0"/>
          <w:sz w:val="32"/>
          <w:szCs w:val="32"/>
          <w:lang w:eastAsia="zh-CN"/>
        </w:rPr>
        <w:t>★四、运输和保险</w:t>
      </w:r>
    </w:p>
    <w:p w14:paraId="104C1E5A">
      <w:pPr>
        <w:keepNext w:val="0"/>
        <w:keepLines w:val="0"/>
        <w:pageBreakBefore w:val="0"/>
        <w:widowControl w:val="0"/>
        <w:kinsoku/>
        <w:wordWrap/>
        <w:overflowPunct/>
        <w:topLinePunct w:val="0"/>
        <w:autoSpaceDE/>
        <w:autoSpaceDN/>
        <w:bidi w:val="0"/>
        <w:adjustRightInd w:val="0"/>
        <w:snapToGrid/>
        <w:spacing w:before="0" w:after="0" w:line="530" w:lineRule="exact"/>
        <w:ind w:firstLine="640" w:firstLineChars="200"/>
        <w:textAlignment w:val="auto"/>
        <w:outlineLvl w:val="9"/>
        <w:rPr>
          <w:rFonts w:ascii="仿宋_GB2312" w:hAnsi="仿宋" w:eastAsia="仿宋_GB2312"/>
          <w:bCs/>
          <w:sz w:val="32"/>
          <w:szCs w:val="32"/>
        </w:rPr>
      </w:pPr>
      <w:r>
        <w:rPr>
          <w:rFonts w:hint="eastAsia" w:ascii="仿宋_GB2312" w:hAnsi="仿宋" w:eastAsia="仿宋_GB2312"/>
          <w:bCs/>
          <w:sz w:val="32"/>
          <w:szCs w:val="32"/>
          <w:lang w:eastAsia="zh-CN"/>
        </w:rPr>
        <w:t>（一）乙方负责将物资运抵合同约定</w:t>
      </w:r>
      <w:r>
        <w:rPr>
          <w:rFonts w:hint="eastAsia" w:ascii="仿宋_GB2312" w:hAnsi="仿宋" w:eastAsia="仿宋_GB2312"/>
          <w:bCs/>
          <w:sz w:val="32"/>
          <w:szCs w:val="32"/>
        </w:rPr>
        <w:t>的甲方指定地点或其他同意的地点。以上所发生的相关费用应</w:t>
      </w:r>
      <w:r>
        <w:rPr>
          <w:rFonts w:hint="eastAsia" w:ascii="仿宋_GB2312" w:hAnsi="仿宋" w:eastAsia="仿宋_GB2312"/>
          <w:sz w:val="32"/>
          <w:szCs w:val="32"/>
        </w:rPr>
        <w:t>当</w:t>
      </w:r>
      <w:r>
        <w:rPr>
          <w:rFonts w:hint="eastAsia" w:ascii="仿宋_GB2312" w:hAnsi="仿宋" w:eastAsia="仿宋_GB2312"/>
          <w:bCs/>
          <w:sz w:val="32"/>
          <w:szCs w:val="32"/>
        </w:rPr>
        <w:t>包括在合同总价中。</w:t>
      </w:r>
    </w:p>
    <w:p w14:paraId="16CB88C4">
      <w:pPr>
        <w:pStyle w:val="3"/>
        <w:adjustRightInd w:val="0"/>
        <w:spacing w:after="0"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（二）物资交付前，乙方应</w:t>
      </w:r>
      <w:r>
        <w:rPr>
          <w:rFonts w:hint="eastAsia" w:ascii="仿宋_GB2312" w:hAnsi="仿宋" w:eastAsia="仿宋_GB2312"/>
          <w:sz w:val="32"/>
          <w:szCs w:val="32"/>
        </w:rPr>
        <w:t>当</w:t>
      </w:r>
      <w:r>
        <w:rPr>
          <w:rFonts w:hint="eastAsia" w:ascii="仿宋_GB2312" w:hAnsi="仿宋" w:eastAsia="仿宋_GB2312"/>
          <w:bCs/>
          <w:sz w:val="32"/>
          <w:szCs w:val="32"/>
        </w:rPr>
        <w:t>对运输、搬卸和交接过程中的丢失或损坏等问题负责。</w:t>
      </w:r>
    </w:p>
    <w:p w14:paraId="7B7E2A68">
      <w:pPr>
        <w:keepNext w:val="0"/>
        <w:keepLines w:val="0"/>
        <w:pageBreakBefore w:val="0"/>
        <w:widowControl w:val="0"/>
        <w:kinsoku/>
        <w:wordWrap/>
        <w:overflowPunct/>
        <w:topLinePunct w:val="0"/>
        <w:autoSpaceDE/>
        <w:autoSpaceDN/>
        <w:bidi w:val="0"/>
        <w:adjustRightInd w:val="0"/>
        <w:snapToGrid/>
        <w:spacing w:before="0" w:after="0" w:line="530" w:lineRule="exact"/>
        <w:ind w:firstLine="640" w:firstLineChars="200"/>
        <w:textAlignment w:val="auto"/>
        <w:outlineLvl w:val="9"/>
        <w:rPr>
          <w:rFonts w:hint="eastAsia" w:ascii="黑体" w:hAnsi="黑体" w:cs="黑体"/>
          <w:b w:val="0"/>
          <w:bCs w:val="0"/>
          <w:sz w:val="32"/>
          <w:szCs w:val="32"/>
          <w:lang w:eastAsia="zh-CN"/>
        </w:rPr>
      </w:pPr>
      <w:r>
        <w:rPr>
          <w:rFonts w:hint="eastAsia" w:ascii="黑体" w:hAnsi="黑体" w:cs="黑体"/>
          <w:b w:val="0"/>
          <w:bCs w:val="0"/>
          <w:sz w:val="32"/>
          <w:szCs w:val="32"/>
          <w:lang w:eastAsia="zh-CN"/>
        </w:rPr>
        <w:t>五、质量标准和保证</w:t>
      </w:r>
    </w:p>
    <w:p w14:paraId="42E22FF1">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（一）质量标准</w:t>
      </w:r>
    </w:p>
    <w:p w14:paraId="54AF6C87">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1.</w:t>
      </w:r>
      <w:bookmarkStart w:id="25" w:name="_Hlk129298658"/>
      <w:r>
        <w:rPr>
          <w:rFonts w:hint="eastAsia" w:ascii="仿宋_GB2312" w:hAnsi="仿宋" w:eastAsia="仿宋_GB2312"/>
          <w:bCs/>
          <w:sz w:val="32"/>
          <w:szCs w:val="32"/>
        </w:rPr>
        <w:t>乙方交付</w:t>
      </w:r>
      <w:bookmarkEnd w:id="25"/>
      <w:r>
        <w:rPr>
          <w:rFonts w:hint="eastAsia" w:ascii="仿宋_GB2312" w:hAnsi="仿宋" w:eastAsia="仿宋_GB2312"/>
          <w:bCs/>
          <w:sz w:val="32"/>
          <w:szCs w:val="32"/>
        </w:rPr>
        <w:t>的</w:t>
      </w:r>
      <w:bookmarkStart w:id="26" w:name="_Hlk129298245"/>
      <w:r>
        <w:rPr>
          <w:rFonts w:hint="eastAsia" w:ascii="仿宋_GB2312" w:hAnsi="仿宋" w:eastAsia="仿宋_GB2312"/>
          <w:bCs/>
          <w:sz w:val="32"/>
          <w:szCs w:val="32"/>
        </w:rPr>
        <w:t>物资</w:t>
      </w:r>
      <w:bookmarkEnd w:id="26"/>
      <w:r>
        <w:rPr>
          <w:rFonts w:hint="eastAsia" w:ascii="仿宋_GB2312" w:hAnsi="仿宋" w:eastAsia="仿宋_GB2312"/>
          <w:bCs/>
          <w:sz w:val="32"/>
          <w:szCs w:val="32"/>
        </w:rPr>
        <w:t>应当符合采购文件所述的标准。如果没有提及适用标准，则应当符合中华人民共和国有关机构发布的最新版本的标准。</w:t>
      </w:r>
    </w:p>
    <w:p w14:paraId="6DCC0E74">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2.采用中华人民共和国法定计量单位。</w:t>
      </w:r>
    </w:p>
    <w:p w14:paraId="254C6049">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3.乙方</w:t>
      </w:r>
      <w:bookmarkStart w:id="27" w:name="_Hlk129298842"/>
      <w:r>
        <w:rPr>
          <w:rFonts w:hint="eastAsia" w:ascii="仿宋_GB2312" w:hAnsi="仿宋" w:eastAsia="仿宋_GB2312"/>
          <w:bCs/>
          <w:sz w:val="32"/>
          <w:szCs w:val="32"/>
        </w:rPr>
        <w:t>交付</w:t>
      </w:r>
      <w:bookmarkEnd w:id="27"/>
      <w:r>
        <w:rPr>
          <w:rFonts w:hint="eastAsia" w:ascii="仿宋_GB2312" w:hAnsi="仿宋" w:eastAsia="仿宋_GB2312"/>
          <w:bCs/>
          <w:sz w:val="32"/>
          <w:szCs w:val="32"/>
        </w:rPr>
        <w:t>的</w:t>
      </w:r>
      <w:bookmarkStart w:id="28" w:name="_Hlk129298745"/>
      <w:r>
        <w:rPr>
          <w:rFonts w:hint="eastAsia" w:ascii="仿宋_GB2312" w:hAnsi="仿宋" w:eastAsia="仿宋_GB2312"/>
          <w:bCs/>
          <w:sz w:val="32"/>
          <w:szCs w:val="32"/>
        </w:rPr>
        <w:t>物资</w:t>
      </w:r>
      <w:bookmarkEnd w:id="28"/>
      <w:r>
        <w:rPr>
          <w:rFonts w:hint="eastAsia" w:ascii="仿宋_GB2312" w:hAnsi="仿宋" w:eastAsia="仿宋_GB2312"/>
          <w:bCs/>
          <w:sz w:val="32"/>
          <w:szCs w:val="32"/>
        </w:rPr>
        <w:t>还应当符合国家有关安全、环保、卫生等规定。</w:t>
      </w:r>
    </w:p>
    <w:p w14:paraId="4293D34F">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（二）质量保证</w:t>
      </w:r>
    </w:p>
    <w:p w14:paraId="77A2DB2B">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1.乙方应当保证交付物资是全新的、未使用过的，并完全符合合同约定的质量、规格和性能的要求。</w:t>
      </w:r>
    </w:p>
    <w:p w14:paraId="50F36FA7">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2.在质量保证期内出现的产品质量问题，甲方应当以书面形式通知乙方。乙方收到通知后应当在约定的响应时间内免费维修或更换有缺陷的物资或部件。</w:t>
      </w:r>
    </w:p>
    <w:p w14:paraId="6F5C150F">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3.乙方在约定的时间内未能解决质量问题，甲方可采取必要的补救措施，但其风险和费用将由乙方承担，甲方根据合同约定对乙方行使的其他权利不受影响。</w:t>
      </w:r>
    </w:p>
    <w:p w14:paraId="4358EE36">
      <w:pPr>
        <w:tabs>
          <w:tab w:val="left" w:pos="0"/>
        </w:tabs>
        <w:autoSpaceDE w:val="0"/>
        <w:autoSpaceDN w:val="0"/>
        <w:adjustRightInd w:val="0"/>
        <w:spacing w:line="560" w:lineRule="exact"/>
        <w:ind w:firstLine="560"/>
        <w:rPr>
          <w:rFonts w:ascii="黑体" w:hAnsi="黑体" w:eastAsia="黑体" w:cs="黑体"/>
          <w:sz w:val="32"/>
          <w:szCs w:val="32"/>
        </w:rPr>
      </w:pPr>
      <w:r>
        <w:rPr>
          <w:rFonts w:hint="eastAsia" w:ascii="黑体" w:hAnsi="黑体" w:eastAsia="黑体" w:cs="黑体"/>
          <w:sz w:val="32"/>
          <w:szCs w:val="32"/>
        </w:rPr>
        <w:t>★</w:t>
      </w:r>
      <w:r>
        <w:rPr>
          <w:rFonts w:hint="eastAsia" w:ascii="黑体" w:hAnsi="黑体" w:eastAsia="黑体" w:cs="黑体"/>
          <w:sz w:val="32"/>
          <w:szCs w:val="32"/>
          <w:lang w:eastAsia="zh-CN"/>
        </w:rPr>
        <w:t>六</w:t>
      </w:r>
      <w:r>
        <w:rPr>
          <w:rFonts w:hint="eastAsia" w:ascii="黑体" w:hAnsi="黑体" w:eastAsia="黑体" w:cs="黑体"/>
          <w:sz w:val="32"/>
          <w:szCs w:val="32"/>
        </w:rPr>
        <w:t>、履约保证金及质量保证金</w:t>
      </w:r>
    </w:p>
    <w:p w14:paraId="69672165">
      <w:pPr>
        <w:adjustRightInd w:val="0"/>
        <w:snapToGrid w:val="0"/>
        <w:spacing w:line="530" w:lineRule="exact"/>
        <w:ind w:firstLine="640" w:firstLineChars="200"/>
        <w:rPr>
          <w:rFonts w:hint="eastAsia" w:ascii="仿宋_GB2312" w:hAnsi="仿宋" w:eastAsia="仿宋_GB2312" w:cs="宋体"/>
          <w:color w:val="000000" w:themeColor="text1"/>
          <w:sz w:val="32"/>
          <w:szCs w:val="32"/>
          <w:lang w:eastAsia="zh-CN"/>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（一）本合同履约保证金为合同金额的5%，乙方应当在签订合同前10日内缴纳履约保证金</w:t>
      </w:r>
      <w:r>
        <w:rPr>
          <w:rFonts w:hint="eastAsia" w:ascii="仿宋_GB2312" w:hAnsi="仿宋" w:eastAsia="仿宋_GB2312" w:cs="宋体"/>
          <w:color w:val="000000" w:themeColor="text1"/>
          <w:sz w:val="32"/>
          <w:szCs w:val="32"/>
          <w:lang w:eastAsia="zh-CN"/>
          <w14:textFill>
            <w14:solidFill>
              <w14:schemeClr w14:val="tx1"/>
            </w14:solidFill>
          </w14:textFill>
        </w:rPr>
        <w:t>。</w:t>
      </w:r>
    </w:p>
    <w:p w14:paraId="37328B95">
      <w:pPr>
        <w:adjustRightInd w:val="0"/>
        <w:spacing w:line="530" w:lineRule="exact"/>
        <w:ind w:firstLine="640" w:firstLineChars="200"/>
        <w:rPr>
          <w:rFonts w:ascii="仿宋_GB2312" w:hAnsi="仿宋" w:eastAsia="仿宋_GB2312" w:cs="宋体"/>
          <w:color w:val="000000" w:themeColor="text1"/>
          <w:sz w:val="32"/>
          <w:szCs w:val="32"/>
          <w14:textFill>
            <w14:solidFill>
              <w14:schemeClr w14:val="tx1"/>
            </w14:solidFill>
          </w14:textFill>
        </w:rPr>
      </w:pPr>
      <w:bookmarkStart w:id="29" w:name="_Toc128151035"/>
      <w:bookmarkStart w:id="30" w:name="_Toc128397978"/>
      <w:bookmarkStart w:id="31" w:name="_Toc127820572"/>
      <w:bookmarkStart w:id="32" w:name="_Toc128150786"/>
      <w:bookmarkStart w:id="33" w:name="_Toc128150142"/>
      <w:r>
        <w:rPr>
          <w:rFonts w:hint="eastAsia" w:ascii="仿宋_GB2312" w:hAnsi="仿宋" w:eastAsia="仿宋_GB2312" w:cs="宋体"/>
          <w:color w:val="000000" w:themeColor="text1"/>
          <w:sz w:val="32"/>
          <w:szCs w:val="32"/>
          <w14:textFill>
            <w14:solidFill>
              <w14:schemeClr w14:val="tx1"/>
            </w14:solidFill>
          </w14:textFill>
        </w:rPr>
        <w:t>（二）若乙方未按时交付物资，或物资履约验收不合格，甲方有权终止合同，并没收乙方履约保证金。</w:t>
      </w:r>
    </w:p>
    <w:p w14:paraId="68E7F13C">
      <w:pPr>
        <w:adjustRightInd w:val="0"/>
        <w:spacing w:line="530" w:lineRule="exact"/>
        <w:ind w:firstLine="640" w:firstLineChars="200"/>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（三）乙方应当向甲方支付合同项下的违约金或赔偿金时，甲方有权从履约保证金中予以扣除。</w:t>
      </w:r>
    </w:p>
    <w:p w14:paraId="06A6FDBC">
      <w:pPr>
        <w:adjustRightInd w:val="0"/>
        <w:spacing w:line="530" w:lineRule="exact"/>
        <w:ind w:firstLine="640" w:firstLineChars="200"/>
        <w:rPr>
          <w:rFonts w:ascii="仿宋_GB2312" w:eastAsia="仿宋_GB2312"/>
          <w:sz w:val="32"/>
          <w:szCs w:val="32"/>
        </w:rPr>
      </w:pPr>
      <w:bookmarkStart w:id="34" w:name="_Hlk129335643"/>
      <w:r>
        <w:rPr>
          <w:rFonts w:hint="eastAsia" w:ascii="仿宋_GB2312" w:hAnsi="仿宋" w:eastAsia="仿宋_GB2312" w:cs="宋体"/>
          <w:color w:val="000000" w:themeColor="text1"/>
          <w:sz w:val="32"/>
          <w:szCs w:val="32"/>
          <w14:textFill>
            <w14:solidFill>
              <w14:schemeClr w14:val="tx1"/>
            </w14:solidFill>
          </w14:textFill>
        </w:rPr>
        <w:t>（四）</w:t>
      </w:r>
      <w:bookmarkEnd w:id="34"/>
      <w:r>
        <w:rPr>
          <w:rFonts w:hint="eastAsia" w:ascii="仿宋_GB2312" w:eastAsia="仿宋_GB2312"/>
          <w:sz w:val="32"/>
          <w:szCs w:val="32"/>
        </w:rPr>
        <w:t>质量保证金从履约保证金中扣留。在质保期内，物资因乙方责任产生质量问题未予以补救，或者予以补救后仍然造成损失的，甲方有权直接从质量保证金扣除相应损失。</w:t>
      </w:r>
    </w:p>
    <w:bookmarkEnd w:id="29"/>
    <w:bookmarkEnd w:id="30"/>
    <w:bookmarkEnd w:id="31"/>
    <w:bookmarkEnd w:id="32"/>
    <w:bookmarkEnd w:id="33"/>
    <w:p w14:paraId="20F06F53">
      <w:pPr>
        <w:adjustRightInd w:val="0"/>
        <w:spacing w:line="530" w:lineRule="exact"/>
        <w:ind w:firstLine="640" w:firstLineChars="200"/>
        <w:rPr>
          <w:rFonts w:ascii="仿宋_GB2312" w:hAnsi="仿宋" w:eastAsia="仿宋_GB2312"/>
          <w:sz w:val="32"/>
          <w:szCs w:val="32"/>
        </w:rPr>
      </w:pPr>
      <w:r>
        <w:rPr>
          <w:rFonts w:hint="eastAsia" w:ascii="仿宋_GB2312" w:eastAsia="仿宋_GB2312"/>
          <w:sz w:val="32"/>
          <w:szCs w:val="32"/>
        </w:rPr>
        <w:t>（五）</w:t>
      </w:r>
      <w:r>
        <w:rPr>
          <w:rFonts w:hint="eastAsia" w:ascii="仿宋_GB2312" w:hAnsi="仿宋" w:eastAsia="仿宋_GB2312"/>
          <w:sz w:val="32"/>
          <w:szCs w:val="32"/>
        </w:rPr>
        <w:t>质量保证金在质保期满且无质量问题时全额无息退还。本合同约定的质保期满，甲方接到乙方质量保证金返还申请后，办理质量保证金返还。</w:t>
      </w:r>
    </w:p>
    <w:p w14:paraId="42CA074A">
      <w:pPr>
        <w:pStyle w:val="9"/>
        <w:spacing w:line="560" w:lineRule="exact"/>
        <w:ind w:firstLine="640"/>
        <w:rPr>
          <w:rFonts w:ascii="黑体" w:hAnsi="黑体" w:eastAsia="黑体" w:cs="黑体"/>
          <w:color w:val="auto"/>
          <w:kern w:val="2"/>
          <w:sz w:val="32"/>
          <w:szCs w:val="32"/>
        </w:rPr>
      </w:pPr>
      <w:r>
        <w:rPr>
          <w:rFonts w:hint="eastAsia" w:ascii="黑体" w:hAnsi="黑体" w:eastAsia="黑体" w:cs="黑体"/>
          <w:color w:val="auto"/>
          <w:kern w:val="2"/>
          <w:sz w:val="32"/>
          <w:szCs w:val="32"/>
        </w:rPr>
        <w:t>★</w:t>
      </w:r>
      <w:r>
        <w:rPr>
          <w:rFonts w:hint="eastAsia" w:ascii="黑体" w:hAnsi="黑体" w:eastAsia="黑体" w:cs="黑体"/>
          <w:color w:val="auto"/>
          <w:kern w:val="2"/>
          <w:sz w:val="32"/>
          <w:szCs w:val="32"/>
          <w:lang w:eastAsia="zh-CN"/>
        </w:rPr>
        <w:t>七</w:t>
      </w:r>
      <w:r>
        <w:rPr>
          <w:rFonts w:hint="eastAsia" w:ascii="黑体" w:hAnsi="黑体" w:eastAsia="黑体" w:cs="黑体"/>
          <w:color w:val="auto"/>
          <w:kern w:val="2"/>
          <w:sz w:val="32"/>
          <w:szCs w:val="32"/>
        </w:rPr>
        <w:t>、资金结算</w:t>
      </w:r>
    </w:p>
    <w:p w14:paraId="4F7F172A">
      <w:pPr>
        <w:adjustRightInd w:val="0"/>
        <w:spacing w:line="530" w:lineRule="exact"/>
        <w:ind w:firstLine="640" w:firstLineChars="200"/>
        <w:rPr>
          <w:rFonts w:ascii="仿宋_GB2312" w:hAnsi="仿宋" w:eastAsia="仿宋_GB2312"/>
          <w:bCs/>
          <w:color w:val="auto"/>
          <w:sz w:val="32"/>
          <w:szCs w:val="32"/>
          <w:lang w:val="zh-CN"/>
        </w:rPr>
      </w:pPr>
      <w:bookmarkStart w:id="35" w:name="_Hlk129336528"/>
      <w:r>
        <w:rPr>
          <w:rFonts w:hint="eastAsia" w:ascii="仿宋_GB2312" w:hAnsi="仿宋" w:eastAsia="仿宋_GB2312"/>
          <w:bCs/>
          <w:color w:val="auto"/>
          <w:sz w:val="32"/>
          <w:szCs w:val="32"/>
          <w:lang w:val="zh-CN"/>
        </w:rPr>
        <w:t>本合同无预付款，物资运达指定地点验收合格后，乙方收集发运接收单、发票、验收报告等</w:t>
      </w:r>
      <w:r>
        <w:rPr>
          <w:rFonts w:hint="eastAsia" w:ascii="仿宋_GB2312" w:hAnsi="仿宋" w:eastAsia="仿宋_GB2312"/>
          <w:bCs/>
          <w:color w:val="auto"/>
          <w:sz w:val="32"/>
          <w:szCs w:val="32"/>
        </w:rPr>
        <w:t>材料</w:t>
      </w:r>
      <w:r>
        <w:rPr>
          <w:rFonts w:hint="eastAsia" w:ascii="仿宋_GB2312" w:hAnsi="仿宋" w:eastAsia="仿宋_GB2312"/>
          <w:bCs/>
          <w:color w:val="auto"/>
          <w:sz w:val="32"/>
          <w:szCs w:val="32"/>
          <w:lang w:val="zh-CN"/>
        </w:rPr>
        <w:t>，提交甲方办理结算手续，</w:t>
      </w:r>
      <w:r>
        <w:rPr>
          <w:rFonts w:hint="eastAsia" w:ascii="仿宋_GB2312" w:hAnsi="仿宋" w:eastAsia="仿宋_GB2312"/>
          <w:bCs/>
          <w:color w:val="auto"/>
          <w:sz w:val="32"/>
          <w:szCs w:val="32"/>
          <w:highlight w:val="none"/>
          <w:lang w:val="zh-CN"/>
        </w:rPr>
        <w:t>甲方向乙方支付合同金额的</w:t>
      </w:r>
      <w:r>
        <w:rPr>
          <w:rFonts w:hint="eastAsia" w:ascii="仿宋_GB2312" w:hAnsi="仿宋" w:eastAsia="仿宋_GB2312"/>
          <w:bCs/>
          <w:color w:val="auto"/>
          <w:sz w:val="32"/>
          <w:szCs w:val="32"/>
          <w:highlight w:val="none"/>
          <w:u w:val="single"/>
        </w:rPr>
        <w:t xml:space="preserve"> </w:t>
      </w:r>
      <w:r>
        <w:rPr>
          <w:rFonts w:hint="eastAsia" w:ascii="仿宋_GB2312" w:hAnsi="仿宋" w:eastAsia="仿宋_GB2312"/>
          <w:bCs/>
          <w:color w:val="auto"/>
          <w:sz w:val="32"/>
          <w:szCs w:val="32"/>
          <w:highlight w:val="none"/>
          <w:u w:val="single"/>
          <w:lang w:val="en-US" w:eastAsia="zh-CN"/>
        </w:rPr>
        <w:t>100</w:t>
      </w:r>
      <w:r>
        <w:rPr>
          <w:rFonts w:hint="eastAsia" w:ascii="仿宋_GB2312" w:hAnsi="仿宋" w:eastAsia="仿宋_GB2312"/>
          <w:bCs/>
          <w:color w:val="auto"/>
          <w:sz w:val="32"/>
          <w:szCs w:val="32"/>
          <w:highlight w:val="none"/>
          <w:u w:val="single"/>
        </w:rPr>
        <w:t xml:space="preserve"> </w:t>
      </w:r>
      <w:r>
        <w:rPr>
          <w:rFonts w:hint="eastAsia" w:ascii="仿宋_GB2312" w:hAnsi="仿宋" w:eastAsia="仿宋_GB2312"/>
          <w:bCs/>
          <w:color w:val="auto"/>
          <w:sz w:val="32"/>
          <w:szCs w:val="32"/>
          <w:highlight w:val="none"/>
        </w:rPr>
        <w:t>%</w:t>
      </w:r>
      <w:r>
        <w:rPr>
          <w:rFonts w:hint="eastAsia" w:ascii="仿宋_GB2312" w:hAnsi="仿宋" w:eastAsia="仿宋_GB2312"/>
          <w:bCs/>
          <w:color w:val="auto"/>
          <w:sz w:val="32"/>
          <w:szCs w:val="32"/>
          <w:highlight w:val="none"/>
          <w:lang w:val="zh-CN"/>
        </w:rPr>
        <w:t>。</w:t>
      </w:r>
    </w:p>
    <w:bookmarkEnd w:id="35"/>
    <w:p w14:paraId="44482A15">
      <w:pPr>
        <w:pStyle w:val="3"/>
        <w:adjustRightInd w:val="0"/>
        <w:spacing w:after="0" w:line="530" w:lineRule="exact"/>
        <w:ind w:firstLine="640" w:firstLineChars="200"/>
        <w:rPr>
          <w:rFonts w:ascii="仿宋_GB2312" w:hAnsi="仿宋" w:eastAsia="仿宋_GB2312"/>
          <w:sz w:val="32"/>
          <w:szCs w:val="32"/>
        </w:rPr>
      </w:pPr>
      <w:r>
        <w:rPr>
          <w:rFonts w:hint="eastAsia" w:ascii="仿宋_GB2312" w:hAnsi="仿宋" w:eastAsia="仿宋_GB2312"/>
          <w:kern w:val="0"/>
          <w:sz w:val="32"/>
          <w:szCs w:val="32"/>
        </w:rPr>
        <w:t>（二）乙方应</w:t>
      </w:r>
      <w:r>
        <w:rPr>
          <w:rFonts w:hint="eastAsia" w:ascii="仿宋_GB2312" w:hAnsi="仿宋" w:eastAsia="仿宋_GB2312"/>
          <w:sz w:val="32"/>
          <w:szCs w:val="32"/>
        </w:rPr>
        <w:t>当</w:t>
      </w:r>
      <w:r>
        <w:rPr>
          <w:rFonts w:hint="eastAsia" w:ascii="仿宋_GB2312" w:hAnsi="仿宋" w:eastAsia="仿宋_GB2312"/>
          <w:kern w:val="0"/>
          <w:sz w:val="32"/>
          <w:szCs w:val="32"/>
        </w:rPr>
        <w:t>向甲方支付合同项下的违约金或赔偿金时，甲方有权从上述任何一笔应</w:t>
      </w:r>
      <w:r>
        <w:rPr>
          <w:rFonts w:hint="eastAsia" w:ascii="仿宋_GB2312" w:hAnsi="仿宋" w:eastAsia="仿宋_GB2312"/>
          <w:sz w:val="32"/>
          <w:szCs w:val="32"/>
        </w:rPr>
        <w:t>当</w:t>
      </w:r>
      <w:r>
        <w:rPr>
          <w:rFonts w:hint="eastAsia" w:ascii="仿宋_GB2312" w:hAnsi="仿宋" w:eastAsia="仿宋_GB2312"/>
          <w:kern w:val="0"/>
          <w:sz w:val="32"/>
          <w:szCs w:val="32"/>
        </w:rPr>
        <w:t>付款中予以扣除。</w:t>
      </w:r>
    </w:p>
    <w:p w14:paraId="623A8441">
      <w:pPr>
        <w:pStyle w:val="3"/>
        <w:adjustRightInd w:val="0"/>
        <w:spacing w:after="0"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（三）在结算过程中，乙方出具虚假发票或其他虚假材料的，按照提供虚假材料情况处理。</w:t>
      </w:r>
    </w:p>
    <w:p w14:paraId="4CBAD436">
      <w:pPr>
        <w:pStyle w:val="3"/>
        <w:adjustRightInd w:val="0"/>
        <w:spacing w:after="0"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（四）未经军队采购平台合同管理信息系统编号或者未按照要求进行备案的物资工程服务采购合同书，不得办理支付手续。</w:t>
      </w:r>
    </w:p>
    <w:p w14:paraId="38DB80FD">
      <w:pPr>
        <w:pStyle w:val="3"/>
        <w:spacing w:after="0"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五）若后期军队审计部门、军队采购管理部门、纪检监察部门等职能部门抽查，提出价格虚高等问题，乙方需无条件配合甲方进行调查，积极提供相关审价资料，若审价结果低于合同价，乙方需无条件退还虚高款项；若审价结果高于合同价，按合同价进行结算。</w:t>
      </w:r>
    </w:p>
    <w:p w14:paraId="190DD829">
      <w:pPr>
        <w:spacing w:line="560" w:lineRule="exact"/>
        <w:ind w:firstLine="645"/>
        <w:rPr>
          <w:rFonts w:ascii="黑体" w:hAnsi="黑体" w:eastAsia="黑体" w:cs="黑体"/>
          <w:sz w:val="32"/>
          <w:szCs w:val="32"/>
        </w:rPr>
      </w:pPr>
      <w:r>
        <w:rPr>
          <w:rFonts w:hint="eastAsia" w:ascii="黑体" w:hAnsi="黑体" w:eastAsia="黑体" w:cs="黑体"/>
          <w:sz w:val="32"/>
          <w:szCs w:val="32"/>
        </w:rPr>
        <w:t>★</w:t>
      </w:r>
      <w:r>
        <w:rPr>
          <w:rFonts w:hint="eastAsia" w:ascii="黑体" w:hAnsi="黑体" w:eastAsia="黑体" w:cs="黑体"/>
          <w:sz w:val="32"/>
          <w:szCs w:val="32"/>
          <w:lang w:eastAsia="zh-CN"/>
        </w:rPr>
        <w:t>八</w:t>
      </w:r>
      <w:r>
        <w:rPr>
          <w:rFonts w:hint="eastAsia" w:ascii="黑体" w:hAnsi="黑体" w:eastAsia="黑体" w:cs="黑体"/>
          <w:sz w:val="32"/>
          <w:szCs w:val="32"/>
        </w:rPr>
        <w:t>、知识产权和保密要求</w:t>
      </w:r>
    </w:p>
    <w:p w14:paraId="087DDB75">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乙方应当保证甲方在使用物资和服务时不受第三方提出侵犯其知识产权的指控，对此甲方不承担任何连带责任或赔偿责任。</w:t>
      </w:r>
    </w:p>
    <w:p w14:paraId="61459B45">
      <w:pPr>
        <w:keepNext w:val="0"/>
        <w:keepLines w:val="0"/>
        <w:pageBreakBefore w:val="0"/>
        <w:widowControl w:val="0"/>
        <w:kinsoku/>
        <w:wordWrap/>
        <w:overflowPunct/>
        <w:topLinePunct w:val="0"/>
        <w:autoSpaceDE/>
        <w:autoSpaceDN/>
        <w:bidi w:val="0"/>
        <w:adjustRightInd w:val="0"/>
        <w:snapToGrid/>
        <w:spacing w:before="0" w:after="0" w:line="530" w:lineRule="exact"/>
        <w:ind w:firstLine="640" w:firstLineChars="200"/>
        <w:textAlignment w:val="auto"/>
        <w:outlineLvl w:val="9"/>
        <w:rPr>
          <w:rFonts w:hint="eastAsia" w:ascii="黑体" w:hAnsi="黑体" w:cs="黑体"/>
          <w:b w:val="0"/>
          <w:bCs w:val="0"/>
          <w:sz w:val="32"/>
          <w:szCs w:val="32"/>
          <w:lang w:eastAsia="zh-CN"/>
        </w:rPr>
      </w:pPr>
      <w:r>
        <w:rPr>
          <w:rFonts w:hint="eastAsia" w:ascii="黑体" w:hAnsi="黑体" w:cs="黑体"/>
          <w:b w:val="0"/>
          <w:bCs w:val="0"/>
          <w:sz w:val="32"/>
          <w:szCs w:val="32"/>
          <w:lang w:eastAsia="zh-CN"/>
        </w:rPr>
        <w:t>★九、</w:t>
      </w:r>
      <w:bookmarkStart w:id="36" w:name="_Hlk129326502"/>
      <w:r>
        <w:rPr>
          <w:rFonts w:hint="eastAsia" w:ascii="黑体" w:hAnsi="黑体" w:cs="黑体"/>
          <w:b w:val="0"/>
          <w:bCs w:val="0"/>
          <w:sz w:val="32"/>
          <w:szCs w:val="32"/>
          <w:lang w:eastAsia="zh-CN"/>
        </w:rPr>
        <w:t>物资编目编码、打码贴签要求</w:t>
      </w:r>
      <w:bookmarkEnd w:id="36"/>
    </w:p>
    <w:p w14:paraId="370EACCB">
      <w:pPr>
        <w:adjustRightInd w:val="0"/>
        <w:spacing w:line="530" w:lineRule="exact"/>
        <w:ind w:firstLine="640" w:firstLineChars="200"/>
        <w:rPr>
          <w:rFonts w:ascii="仿宋_GB2312" w:eastAsia="仿宋_GB2312"/>
          <w:bCs/>
          <w:sz w:val="32"/>
          <w:szCs w:val="32"/>
        </w:rPr>
      </w:pPr>
      <w:r>
        <w:rPr>
          <w:rFonts w:hint="eastAsia" w:ascii="仿宋_GB2312" w:eastAsia="仿宋_GB2312"/>
          <w:bCs/>
          <w:sz w:val="32"/>
          <w:szCs w:val="32"/>
        </w:rPr>
        <w:t>（一）乙方应当配合甲方完成合同内采购物资的编目编码工作，按照统一要求，提供物资相关数据信息，配合甲方做好编目数据采集工作。涉密信息应当按照国家、军队安全保密有关规定进行处理，确保不发生失泄密问题。</w:t>
      </w:r>
    </w:p>
    <w:p w14:paraId="5605485F">
      <w:pPr>
        <w:adjustRightInd w:val="0"/>
        <w:spacing w:line="530" w:lineRule="exact"/>
        <w:ind w:firstLine="640" w:firstLineChars="200"/>
        <w:rPr>
          <w:rFonts w:ascii="仿宋_GB2312" w:eastAsia="仿宋_GB2312"/>
          <w:bCs/>
          <w:sz w:val="32"/>
          <w:szCs w:val="32"/>
        </w:rPr>
      </w:pPr>
      <w:r>
        <w:rPr>
          <w:rFonts w:hint="eastAsia" w:ascii="仿宋_GB2312" w:eastAsia="仿宋_GB2312"/>
          <w:bCs/>
          <w:sz w:val="32"/>
          <w:szCs w:val="32"/>
        </w:rPr>
        <w:t>1.乙方可通过军队采购网互联网网站（www.plap.mil.cn），下载安装编目用户终端软件。按要求录入采购物资数据，导入技术规范、产品说明书、图片等便于物资识别的电子文件资料，生成编目申请数据包，提交甲方或承担军队资产编目编码职能的单位。</w:t>
      </w:r>
    </w:p>
    <w:p w14:paraId="60596327">
      <w:pPr>
        <w:adjustRightInd w:val="0"/>
        <w:spacing w:line="530" w:lineRule="exact"/>
        <w:ind w:firstLine="640" w:firstLineChars="200"/>
        <w:rPr>
          <w:rFonts w:ascii="仿宋_GB2312" w:eastAsia="仿宋_GB2312"/>
          <w:bCs/>
          <w:sz w:val="32"/>
          <w:szCs w:val="32"/>
        </w:rPr>
      </w:pPr>
      <w:r>
        <w:rPr>
          <w:rFonts w:hint="eastAsia" w:ascii="仿宋_GB2312" w:eastAsia="仿宋_GB2312"/>
          <w:bCs/>
          <w:sz w:val="32"/>
          <w:szCs w:val="32"/>
        </w:rPr>
        <w:t>2.乙方应当配合甲方或承担军队资产编目编码职能的单位，补充完善编目数据。</w:t>
      </w:r>
    </w:p>
    <w:p w14:paraId="4E9F1856">
      <w:pPr>
        <w:adjustRightInd w:val="0"/>
        <w:spacing w:line="530" w:lineRule="exact"/>
        <w:ind w:firstLine="640" w:firstLineChars="200"/>
        <w:rPr>
          <w:rFonts w:ascii="仿宋_GB2312" w:eastAsia="仿宋_GB2312"/>
          <w:bCs/>
          <w:sz w:val="32"/>
          <w:szCs w:val="32"/>
        </w:rPr>
      </w:pPr>
      <w:r>
        <w:rPr>
          <w:rFonts w:hint="eastAsia" w:ascii="仿宋_GB2312" w:eastAsia="仿宋_GB2312"/>
          <w:bCs/>
          <w:sz w:val="32"/>
          <w:szCs w:val="32"/>
        </w:rPr>
        <w:t>3.乙方通过甲方接收赋码后的编目数据包，导入编目用户终端软件，获取品种码，正确填入合同文本，用于打码贴签、验收结算等。</w:t>
      </w:r>
    </w:p>
    <w:p w14:paraId="6B716F7F">
      <w:pPr>
        <w:adjustRightInd w:val="0"/>
        <w:spacing w:line="530" w:lineRule="exact"/>
        <w:ind w:firstLine="640" w:firstLineChars="200"/>
        <w:rPr>
          <w:rFonts w:ascii="仿宋_GB2312" w:eastAsia="仿宋_GB2312"/>
          <w:bCs/>
          <w:sz w:val="32"/>
          <w:szCs w:val="32"/>
        </w:rPr>
      </w:pPr>
      <w:r>
        <w:rPr>
          <w:rFonts w:hint="eastAsia" w:ascii="仿宋_GB2312" w:eastAsia="仿宋_GB2312"/>
          <w:bCs/>
          <w:sz w:val="32"/>
          <w:szCs w:val="32"/>
        </w:rPr>
        <w:t>4.甲方有单件管理需要的，乙方应当依据规则或示例程序自行生成单件码。</w:t>
      </w:r>
    </w:p>
    <w:p w14:paraId="79BFDB9B">
      <w:pPr>
        <w:adjustRightInd w:val="0"/>
        <w:spacing w:line="530" w:lineRule="exact"/>
        <w:ind w:firstLine="640" w:firstLineChars="200"/>
        <w:rPr>
          <w:rFonts w:ascii="仿宋_GB2312" w:eastAsia="仿宋_GB2312"/>
          <w:bCs/>
          <w:sz w:val="32"/>
          <w:szCs w:val="32"/>
        </w:rPr>
      </w:pPr>
      <w:r>
        <w:rPr>
          <w:rFonts w:hint="eastAsia" w:ascii="仿宋_GB2312" w:eastAsia="仿宋_GB2312"/>
          <w:bCs/>
          <w:sz w:val="32"/>
          <w:szCs w:val="32"/>
        </w:rPr>
        <w:t>（二）乙方应当按照统一要求在物资交付前完成打码贴签工作。</w:t>
      </w:r>
    </w:p>
    <w:p w14:paraId="5DC3B40B">
      <w:pPr>
        <w:adjustRightInd w:val="0"/>
        <w:spacing w:line="530" w:lineRule="exact"/>
        <w:ind w:firstLine="640" w:firstLineChars="200"/>
        <w:rPr>
          <w:rFonts w:ascii="仿宋_GB2312" w:eastAsia="仿宋_GB2312"/>
          <w:bCs/>
          <w:sz w:val="32"/>
          <w:szCs w:val="32"/>
        </w:rPr>
      </w:pPr>
      <w:r>
        <w:rPr>
          <w:rFonts w:hint="eastAsia" w:ascii="仿宋_GB2312" w:eastAsia="仿宋_GB2312"/>
          <w:bCs/>
          <w:sz w:val="32"/>
          <w:szCs w:val="32"/>
        </w:rPr>
        <w:t>1.物资标识标签格式、张挂位置、材质、码制等内容，应当符合军队有关要求。</w:t>
      </w:r>
    </w:p>
    <w:p w14:paraId="481DEC01">
      <w:pPr>
        <w:adjustRightInd w:val="0"/>
        <w:spacing w:line="530" w:lineRule="exact"/>
        <w:ind w:firstLine="640" w:firstLineChars="200"/>
        <w:rPr>
          <w:rFonts w:ascii="仿宋_GB2312" w:eastAsia="仿宋_GB2312"/>
          <w:bCs/>
          <w:sz w:val="32"/>
          <w:szCs w:val="32"/>
        </w:rPr>
      </w:pPr>
      <w:r>
        <w:rPr>
          <w:rFonts w:hint="eastAsia" w:ascii="仿宋_GB2312" w:eastAsia="仿宋_GB2312"/>
          <w:bCs/>
          <w:sz w:val="32"/>
          <w:szCs w:val="32"/>
        </w:rPr>
        <w:t>2.物资标识标签上的品种码应当与合同物资明细表中的品种码完全一致。</w:t>
      </w:r>
    </w:p>
    <w:p w14:paraId="38D52E3C">
      <w:pPr>
        <w:adjustRightInd w:val="0"/>
        <w:spacing w:line="530" w:lineRule="exact"/>
        <w:ind w:firstLine="640" w:firstLineChars="200"/>
        <w:rPr>
          <w:rFonts w:ascii="仿宋_GB2312" w:eastAsia="仿宋_GB2312"/>
          <w:bCs/>
          <w:sz w:val="32"/>
          <w:szCs w:val="32"/>
          <w:highlight w:val="yellow"/>
        </w:rPr>
      </w:pPr>
      <w:r>
        <w:rPr>
          <w:rFonts w:hint="eastAsia" w:ascii="仿宋_GB2312" w:eastAsia="仿宋_GB2312"/>
          <w:bCs/>
          <w:sz w:val="32"/>
          <w:szCs w:val="32"/>
        </w:rPr>
        <w:t>（三）物资编目数据填报和打码贴签情况，列入出厂检验、到货检验内容，编目数据、标识标签不符合规范要求的，不予通过，不得进入物资储存单位。乙方应当在7日内完成整改，并重新进行检验。</w:t>
      </w:r>
    </w:p>
    <w:p w14:paraId="16B2BB6F">
      <w:pPr>
        <w:spacing w:line="560" w:lineRule="exact"/>
        <w:ind w:firstLine="645"/>
        <w:rPr>
          <w:rFonts w:ascii="黑体" w:hAnsi="黑体" w:eastAsia="黑体" w:cs="黑体"/>
          <w:sz w:val="32"/>
          <w:szCs w:val="32"/>
        </w:rPr>
      </w:pPr>
      <w:r>
        <w:rPr>
          <w:rFonts w:hint="eastAsia" w:ascii="黑体" w:hAnsi="黑体" w:eastAsia="黑体" w:cs="黑体"/>
          <w:sz w:val="32"/>
          <w:szCs w:val="32"/>
        </w:rPr>
        <w:t>★</w:t>
      </w:r>
      <w:r>
        <w:rPr>
          <w:rFonts w:hint="eastAsia" w:ascii="黑体" w:hAnsi="黑体" w:eastAsia="黑体" w:cs="黑体"/>
          <w:sz w:val="32"/>
          <w:szCs w:val="32"/>
          <w:lang w:eastAsia="zh-CN"/>
        </w:rPr>
        <w:t>十</w:t>
      </w:r>
      <w:r>
        <w:rPr>
          <w:rFonts w:hint="eastAsia" w:ascii="黑体" w:hAnsi="黑体" w:eastAsia="黑体" w:cs="黑体"/>
          <w:sz w:val="32"/>
          <w:szCs w:val="32"/>
        </w:rPr>
        <w:t>、合同履约要求</w:t>
      </w:r>
    </w:p>
    <w:p w14:paraId="59198385">
      <w:pPr>
        <w:spacing w:line="560" w:lineRule="exact"/>
        <w:ind w:firstLine="645"/>
        <w:rPr>
          <w:rFonts w:ascii="仿宋_GB2312" w:hAnsi="黑体" w:eastAsia="仿宋_GB2312" w:cs="黑体"/>
          <w:b/>
          <w:sz w:val="32"/>
          <w:szCs w:val="32"/>
        </w:rPr>
      </w:pPr>
      <w:r>
        <w:rPr>
          <w:rFonts w:hint="eastAsia" w:ascii="仿宋_GB2312" w:hAnsi="黑体" w:eastAsia="仿宋_GB2312" w:cs="黑体"/>
          <w:b/>
          <w:sz w:val="32"/>
          <w:szCs w:val="32"/>
        </w:rPr>
        <w:t>（一）违约责任</w:t>
      </w:r>
    </w:p>
    <w:p w14:paraId="01CC4C1B">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1.乙方未经甲方同意而延期交付时，应当向甲方偿付违约金，违约金每天按违约金额的</w:t>
      </w:r>
      <w:r>
        <w:rPr>
          <w:rFonts w:hint="eastAsia" w:ascii="仿宋_GB2312" w:hAnsi="仿宋" w:eastAsia="仿宋_GB2312"/>
          <w:bCs/>
          <w:sz w:val="32"/>
          <w:szCs w:val="32"/>
          <w:u w:val="single"/>
        </w:rPr>
        <w:t xml:space="preserve">  5‰  </w:t>
      </w:r>
      <w:r>
        <w:rPr>
          <w:rFonts w:hint="eastAsia" w:ascii="仿宋_GB2312" w:hAnsi="楷体_GB2312" w:eastAsia="仿宋_GB2312" w:cs="楷体_GB2312"/>
          <w:bCs/>
          <w:sz w:val="32"/>
          <w:szCs w:val="32"/>
        </w:rPr>
        <w:t>（</w:t>
      </w:r>
      <w:bookmarkStart w:id="37" w:name="_Hlk144131610"/>
      <w:r>
        <w:rPr>
          <w:rFonts w:hint="eastAsia" w:ascii="仿宋_GB2312" w:hAnsi="楷体_GB2312" w:eastAsia="仿宋_GB2312" w:cs="楷体_GB2312"/>
          <w:bCs/>
          <w:sz w:val="32"/>
          <w:szCs w:val="32"/>
        </w:rPr>
        <w:t>通常为1‰-1%，可据实设定</w:t>
      </w:r>
      <w:bookmarkEnd w:id="37"/>
      <w:r>
        <w:rPr>
          <w:rFonts w:hint="eastAsia" w:ascii="仿宋_GB2312" w:hAnsi="楷体_GB2312" w:eastAsia="仿宋_GB2312" w:cs="楷体_GB2312"/>
          <w:bCs/>
          <w:sz w:val="32"/>
          <w:szCs w:val="32"/>
        </w:rPr>
        <w:t>）</w:t>
      </w:r>
      <w:r>
        <w:rPr>
          <w:rFonts w:hint="eastAsia" w:ascii="仿宋_GB2312" w:hAnsi="仿宋" w:eastAsia="仿宋_GB2312"/>
          <w:bCs/>
          <w:sz w:val="32"/>
          <w:szCs w:val="32"/>
        </w:rPr>
        <w:t>计算，违约金最高限额为违约金额的</w:t>
      </w:r>
      <w:r>
        <w:rPr>
          <w:rFonts w:hint="eastAsia" w:ascii="仿宋_GB2312" w:hAnsi="仿宋" w:eastAsia="仿宋_GB2312"/>
          <w:bCs/>
          <w:sz w:val="32"/>
          <w:szCs w:val="32"/>
          <w:u w:val="single"/>
        </w:rPr>
        <w:t xml:space="preserve">  5%  </w:t>
      </w:r>
      <w:r>
        <w:rPr>
          <w:rFonts w:hint="eastAsia" w:ascii="仿宋_GB2312" w:hAnsi="仿宋" w:eastAsia="仿宋_GB2312" w:cs="仿宋_GB2312"/>
          <w:bCs/>
          <w:sz w:val="32"/>
          <w:szCs w:val="32"/>
          <w:u w:val="single"/>
        </w:rPr>
        <w:t>（</w:t>
      </w:r>
      <w:bookmarkStart w:id="38" w:name="_Hlk144131592"/>
      <w:r>
        <w:rPr>
          <w:rFonts w:hint="eastAsia" w:ascii="仿宋_GB2312" w:hAnsi="楷体_GB2312" w:eastAsia="仿宋_GB2312" w:cs="楷体_GB2312"/>
          <w:bCs/>
          <w:sz w:val="32"/>
          <w:szCs w:val="32"/>
        </w:rPr>
        <w:t>通常为5%-10%，</w:t>
      </w:r>
      <w:bookmarkEnd w:id="38"/>
      <w:r>
        <w:rPr>
          <w:rFonts w:hint="eastAsia" w:ascii="仿宋_GB2312" w:hAnsi="楷体_GB2312" w:eastAsia="仿宋_GB2312" w:cs="楷体_GB2312"/>
          <w:bCs/>
          <w:sz w:val="32"/>
          <w:szCs w:val="32"/>
        </w:rPr>
        <w:t>可据实设定）</w:t>
      </w:r>
      <w:r>
        <w:rPr>
          <w:rFonts w:hint="eastAsia" w:ascii="仿宋_GB2312" w:eastAsia="仿宋_GB2312"/>
          <w:bCs/>
          <w:sz w:val="32"/>
          <w:szCs w:val="32"/>
        </w:rPr>
        <w:t>。</w:t>
      </w:r>
      <w:r>
        <w:rPr>
          <w:rFonts w:hint="eastAsia" w:ascii="仿宋_GB2312" w:hAnsi="仿宋" w:eastAsia="仿宋_GB2312"/>
          <w:bCs/>
          <w:sz w:val="32"/>
          <w:szCs w:val="32"/>
        </w:rPr>
        <w:t>如果达到违约金最高限额时仍不能交付，或因延期交付影响甲方任务实施，甲方可以终止合同，而由此给甲方造成的实际损失，乙方应</w:t>
      </w:r>
      <w:r>
        <w:rPr>
          <w:rFonts w:hint="eastAsia" w:ascii="仿宋_GB2312" w:hAnsi="仿宋" w:eastAsia="仿宋_GB2312"/>
          <w:sz w:val="32"/>
          <w:szCs w:val="32"/>
        </w:rPr>
        <w:t>当</w:t>
      </w:r>
      <w:r>
        <w:rPr>
          <w:rFonts w:hint="eastAsia" w:ascii="仿宋_GB2312" w:hAnsi="仿宋" w:eastAsia="仿宋_GB2312"/>
          <w:bCs/>
          <w:sz w:val="32"/>
          <w:szCs w:val="32"/>
        </w:rPr>
        <w:t>给予足额赔偿。</w:t>
      </w:r>
    </w:p>
    <w:p w14:paraId="5381F926">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2.乙方未按合同约定履行义务或产品技术性能指标不达标而给甲方或产品使用单位造成损失的，乙方应按损失金额予以赔偿。因甲方不具备接收条件或拒绝接收，致使乙方无法按期交付并造成损失的，甲方应按损失金额予以赔偿。</w:t>
      </w:r>
    </w:p>
    <w:p w14:paraId="2B1D8F6E">
      <w:pPr>
        <w:adjustRightInd w:val="0"/>
        <w:spacing w:line="530" w:lineRule="exact"/>
        <w:ind w:firstLine="640" w:firstLineChars="200"/>
        <w:rPr>
          <w:rFonts w:ascii="仿宋_GB2312" w:hAnsi="仿宋" w:eastAsia="仿宋_GB2312"/>
          <w:bCs/>
          <w:sz w:val="32"/>
          <w:szCs w:val="32"/>
        </w:rPr>
      </w:pPr>
      <w:bookmarkStart w:id="39" w:name="_Hlk129349156"/>
      <w:r>
        <w:rPr>
          <w:rFonts w:hint="eastAsia" w:ascii="仿宋_GB2312" w:hAnsi="仿宋" w:eastAsia="仿宋_GB2312"/>
          <w:bCs/>
          <w:sz w:val="32"/>
          <w:szCs w:val="32"/>
        </w:rPr>
        <w:t>3.甲方</w:t>
      </w:r>
      <w:bookmarkEnd w:id="39"/>
      <w:r>
        <w:rPr>
          <w:rFonts w:hint="eastAsia" w:ascii="仿宋_GB2312" w:hAnsi="仿宋" w:eastAsia="仿宋_GB2312"/>
          <w:bCs/>
          <w:sz w:val="32"/>
          <w:szCs w:val="32"/>
        </w:rPr>
        <w:t>需按约定及时足额支付货款，未按约定及时足额支付货款时，甲方向乙方偿付违约金。每迟付一天按应付款金额的</w:t>
      </w:r>
      <w:r>
        <w:rPr>
          <w:rFonts w:hint="eastAsia" w:ascii="仿宋_GB2312" w:hAnsi="仿宋" w:eastAsia="仿宋_GB2312"/>
          <w:bCs/>
          <w:sz w:val="32"/>
          <w:szCs w:val="32"/>
          <w:u w:val="single"/>
        </w:rPr>
        <w:t xml:space="preserve"> 1‰   </w:t>
      </w:r>
      <w:r>
        <w:rPr>
          <w:rFonts w:hint="eastAsia" w:ascii="仿宋_GB2312" w:hAnsi="楷体_GB2312" w:eastAsia="仿宋_GB2312" w:cs="楷体_GB2312"/>
          <w:bCs/>
          <w:sz w:val="32"/>
          <w:szCs w:val="32"/>
        </w:rPr>
        <w:t>（通常为1‰-1%，可按照项目实际情况设定）</w:t>
      </w:r>
      <w:r>
        <w:rPr>
          <w:rFonts w:hint="eastAsia" w:ascii="仿宋_GB2312" w:hAnsi="仿宋" w:eastAsia="仿宋_GB2312"/>
          <w:bCs/>
          <w:sz w:val="32"/>
          <w:szCs w:val="32"/>
        </w:rPr>
        <w:t>向乙方偿付违约金，违约金最高限额为应付款金额的</w:t>
      </w:r>
      <w:r>
        <w:rPr>
          <w:rFonts w:hint="eastAsia" w:ascii="仿宋_GB2312" w:hAnsi="仿宋" w:eastAsia="仿宋_GB2312"/>
          <w:bCs/>
          <w:sz w:val="32"/>
          <w:szCs w:val="32"/>
          <w:u w:val="single"/>
        </w:rPr>
        <w:t xml:space="preserve"> 5%   </w:t>
      </w:r>
      <w:r>
        <w:rPr>
          <w:rFonts w:hint="eastAsia" w:ascii="仿宋_GB2312" w:hAnsi="仿宋" w:eastAsia="仿宋_GB2312" w:cs="仿宋_GB2312"/>
          <w:bCs/>
          <w:sz w:val="32"/>
          <w:szCs w:val="32"/>
          <w:u w:val="single"/>
        </w:rPr>
        <w:t>（</w:t>
      </w:r>
      <w:r>
        <w:rPr>
          <w:rFonts w:hint="eastAsia" w:ascii="仿宋_GB2312" w:hAnsi="楷体_GB2312" w:eastAsia="仿宋_GB2312" w:cs="楷体_GB2312"/>
          <w:bCs/>
          <w:sz w:val="32"/>
          <w:szCs w:val="32"/>
        </w:rPr>
        <w:t>通常为5%-10%，可据实设定）</w:t>
      </w:r>
      <w:r>
        <w:rPr>
          <w:rFonts w:hint="eastAsia" w:ascii="仿宋_GB2312" w:hAnsi="仿宋" w:eastAsia="仿宋_GB2312"/>
          <w:bCs/>
          <w:sz w:val="32"/>
          <w:szCs w:val="32"/>
        </w:rPr>
        <w:t>。</w:t>
      </w:r>
    </w:p>
    <w:p w14:paraId="1483178A">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4.如因不可抗力事件导致一方无法履行合同，该方应立即书面通知对方，并在合理期限内提供权威机构出具的证明。受影响方应尽力减轻不可抗力事件所造成的影响。如法律对不可抗力有其他规定，或合同迟延履行后发生不可抗力事件，本条款不免除违约方的责任。</w:t>
      </w:r>
    </w:p>
    <w:p w14:paraId="458D94D0">
      <w:pPr>
        <w:spacing w:line="560" w:lineRule="exact"/>
        <w:ind w:firstLine="645"/>
        <w:rPr>
          <w:rFonts w:ascii="仿宋_GB2312" w:hAnsi="黑体" w:eastAsia="仿宋_GB2312" w:cs="黑体"/>
          <w:b/>
          <w:sz w:val="32"/>
          <w:szCs w:val="32"/>
        </w:rPr>
      </w:pPr>
      <w:r>
        <w:rPr>
          <w:rFonts w:hint="eastAsia" w:ascii="仿宋_GB2312" w:hAnsi="黑体" w:eastAsia="仿宋_GB2312" w:cs="黑体"/>
          <w:b/>
          <w:sz w:val="32"/>
          <w:szCs w:val="32"/>
        </w:rPr>
        <w:t>（二）争议处理</w:t>
      </w:r>
    </w:p>
    <w:p w14:paraId="30CF9917">
      <w:pPr>
        <w:adjustRightInd w:val="0"/>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合同履行过程中，发生争议时，甲方和乙方协商解决。协商不一致的，甲方或者乙方向采购机构负责合同履约的部门反映情况，请求第一次调解处理；第一次调解不成功的，向军级单位采购管理部门或者同等权限的采购管理部门请求第二次调解处理。 </w:t>
      </w:r>
    </w:p>
    <w:p w14:paraId="3D8F9619">
      <w:pPr>
        <w:adjustRightInd w:val="0"/>
        <w:spacing w:line="530" w:lineRule="exact"/>
        <w:ind w:firstLine="640" w:firstLineChars="200"/>
        <w:rPr>
          <w:rFonts w:ascii="黑体" w:hAnsi="黑体" w:eastAsia="黑体" w:cs="黑体"/>
          <w:sz w:val="32"/>
          <w:szCs w:val="32"/>
        </w:rPr>
      </w:pPr>
      <w:r>
        <w:rPr>
          <w:rFonts w:hint="eastAsia" w:ascii="仿宋_GB2312" w:hAnsi="仿宋" w:eastAsia="仿宋_GB2312"/>
          <w:sz w:val="32"/>
          <w:szCs w:val="32"/>
        </w:rPr>
        <w:t xml:space="preserve"> 调节不成功的，甲方或者乙方向甲方所在地仲裁机构提起仲裁或向甲方所在地人民法院提起诉讼。诉讼费由承担责任的一方承担。在诉讼期间，除正在诉讼的部分外，合同的其他部分应继续执行。</w:t>
      </w:r>
    </w:p>
    <w:p w14:paraId="6E451974">
      <w:r>
        <w:rPr>
          <w:rFonts w:ascii="仿宋_GB2312" w:hAnsi="仿宋_GB2312" w:eastAsia="仿宋_GB2312" w:cs="仿宋_GB2312"/>
          <w:sz w:val="32"/>
          <w:szCs w:val="32"/>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roman"/>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0BCFB"/>
    <w:multiLevelType w:val="singleLevel"/>
    <w:tmpl w:val="6870BCFB"/>
    <w:lvl w:ilvl="0" w:tentative="0">
      <w:start w:val="2"/>
      <w:numFmt w:val="decimal"/>
      <w:suff w:val="nothing"/>
      <w:lvlText w:val="%1、"/>
      <w:lvlJc w:val="left"/>
    </w:lvl>
  </w:abstractNum>
  <w:abstractNum w:abstractNumId="1">
    <w:nsid w:val="6870BD23"/>
    <w:multiLevelType w:val="singleLevel"/>
    <w:tmpl w:val="6870BD23"/>
    <w:lvl w:ilvl="0" w:tentative="0">
      <w:start w:val="7"/>
      <w:numFmt w:val="decimal"/>
      <w:suff w:val="nothing"/>
      <w:lvlText w:val="%1、"/>
      <w:lvlJc w:val="left"/>
    </w:lvl>
  </w:abstractNum>
  <w:abstractNum w:abstractNumId="2">
    <w:nsid w:val="6870BD3F"/>
    <w:multiLevelType w:val="singleLevel"/>
    <w:tmpl w:val="6870BD3F"/>
    <w:lvl w:ilvl="0" w:tentative="0">
      <w:start w:val="10"/>
      <w:numFmt w:val="decimal"/>
      <w:suff w:val="nothing"/>
      <w:lvlText w:val="%1、"/>
      <w:lvlJc w:val="left"/>
    </w:lvl>
  </w:abstractNum>
  <w:abstractNum w:abstractNumId="3">
    <w:nsid w:val="6892B39A"/>
    <w:multiLevelType w:val="singleLevel"/>
    <w:tmpl w:val="6892B39A"/>
    <w:lvl w:ilvl="0" w:tentative="0">
      <w:start w:val="2"/>
      <w:numFmt w:val="decimal"/>
      <w:suff w:val="nothing"/>
      <w:lvlText w:val="%1、"/>
      <w:lvlJc w:val="left"/>
    </w:lvl>
  </w:abstractNum>
  <w:abstractNum w:abstractNumId="4">
    <w:nsid w:val="6892B4CE"/>
    <w:multiLevelType w:val="singleLevel"/>
    <w:tmpl w:val="6892B4CE"/>
    <w:lvl w:ilvl="0" w:tentative="0">
      <w:start w:val="1"/>
      <w:numFmt w:val="chineseCounting"/>
      <w:suff w:val="nothing"/>
      <w:lvlText w:val="%1、"/>
      <w:lvlJc w:val="left"/>
    </w:lvl>
  </w:abstractNum>
  <w:abstractNum w:abstractNumId="5">
    <w:nsid w:val="6892B4DD"/>
    <w:multiLevelType w:val="singleLevel"/>
    <w:tmpl w:val="6892B4DD"/>
    <w:lvl w:ilvl="0" w:tentative="0">
      <w:start w:val="1"/>
      <w:numFmt w:val="decimal"/>
      <w:suff w:val="nothing"/>
      <w:lvlText w:val="%1、"/>
      <w:lvlJc w:val="left"/>
    </w:lvl>
  </w:abstractNum>
  <w:abstractNum w:abstractNumId="6">
    <w:nsid w:val="6892C5C7"/>
    <w:multiLevelType w:val="singleLevel"/>
    <w:tmpl w:val="6892C5C7"/>
    <w:lvl w:ilvl="0" w:tentative="0">
      <w:start w:val="2"/>
      <w:numFmt w:val="decimal"/>
      <w:suff w:val="nothing"/>
      <w:lvlText w:val="%1、"/>
      <w:lvlJc w:val="left"/>
    </w:lvl>
  </w:abstractNum>
  <w:abstractNum w:abstractNumId="7">
    <w:nsid w:val="6892C66F"/>
    <w:multiLevelType w:val="singleLevel"/>
    <w:tmpl w:val="6892C66F"/>
    <w:lvl w:ilvl="0" w:tentative="0">
      <w:start w:val="1"/>
      <w:numFmt w:val="decimal"/>
      <w:suff w:val="nothing"/>
      <w:lvlText w:val="%1、"/>
      <w:lvlJc w:val="left"/>
    </w:lvl>
  </w:abstractNum>
  <w:num w:numId="1">
    <w:abstractNumId w:val="6"/>
  </w:num>
  <w:num w:numId="2">
    <w:abstractNumId w:val="7"/>
  </w:num>
  <w:num w:numId="3">
    <w:abstractNumId w:val="3"/>
  </w:num>
  <w:num w:numId="4">
    <w:abstractNumId w:val="4"/>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1DC"/>
    <w:rsid w:val="0051765B"/>
    <w:rsid w:val="006343FF"/>
    <w:rsid w:val="00776188"/>
    <w:rsid w:val="008274A4"/>
    <w:rsid w:val="0087690D"/>
    <w:rsid w:val="009672D4"/>
    <w:rsid w:val="00A65275"/>
    <w:rsid w:val="00BC6654"/>
    <w:rsid w:val="00C16618"/>
    <w:rsid w:val="00D24221"/>
    <w:rsid w:val="00FC1DE7"/>
    <w:rsid w:val="084F247E"/>
    <w:rsid w:val="0FC14227"/>
    <w:rsid w:val="1F755256"/>
    <w:rsid w:val="329364D0"/>
    <w:rsid w:val="353774A9"/>
    <w:rsid w:val="36ED3932"/>
    <w:rsid w:val="3B68512A"/>
    <w:rsid w:val="3DC372E4"/>
    <w:rsid w:val="43120588"/>
    <w:rsid w:val="43214A97"/>
    <w:rsid w:val="433E7912"/>
    <w:rsid w:val="449851D8"/>
    <w:rsid w:val="449C52D0"/>
    <w:rsid w:val="48B71741"/>
    <w:rsid w:val="53703453"/>
    <w:rsid w:val="5582698E"/>
    <w:rsid w:val="59AA7DDF"/>
    <w:rsid w:val="5A465286"/>
    <w:rsid w:val="67C16E4D"/>
    <w:rsid w:val="684B25BD"/>
    <w:rsid w:val="68520759"/>
    <w:rsid w:val="69485820"/>
    <w:rsid w:val="6A856856"/>
    <w:rsid w:val="6A896441"/>
    <w:rsid w:val="6BB972BB"/>
    <w:rsid w:val="6FFE0475"/>
    <w:rsid w:val="724768BD"/>
    <w:rsid w:val="79184012"/>
    <w:rsid w:val="792D36FA"/>
    <w:rsid w:val="7B812983"/>
    <w:rsid w:val="7C086679"/>
    <w:rsid w:val="7C6D3FE5"/>
    <w:rsid w:val="7D02093C"/>
    <w:rsid w:val="7E5C7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2"/>
    <w:qFormat/>
    <w:uiPriority w:val="0"/>
    <w:pPr>
      <w:keepNext/>
      <w:keepLines/>
      <w:spacing w:before="280" w:after="290" w:line="376" w:lineRule="auto"/>
      <w:outlineLvl w:val="3"/>
    </w:pPr>
    <w:rPr>
      <w:rFonts w:ascii="Arial" w:hAnsi="Arial" w:eastAsia="黑体" w:cs="仿宋_GB2312"/>
      <w:b/>
      <w:bCs/>
      <w:sz w:val="28"/>
      <w:szCs w:val="28"/>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6"/>
    <w:unhideWhenUsed/>
    <w:qFormat/>
    <w:uiPriority w:val="0"/>
    <w:pPr>
      <w:spacing w:after="120"/>
    </w:pPr>
    <w:rPr>
      <w:rFonts w:ascii="Calibri" w:hAnsi="Calibri" w:eastAsia="宋体" w:cs="Times New Roman"/>
      <w:szCs w:val="24"/>
    </w:rPr>
  </w:style>
  <w:style w:type="character" w:customStyle="1" w:styleId="6">
    <w:name w:val="正文文本 字符"/>
    <w:basedOn w:val="5"/>
    <w:link w:val="3"/>
    <w:qFormat/>
    <w:uiPriority w:val="0"/>
    <w:rPr>
      <w:rFonts w:ascii="Calibri" w:hAnsi="Calibri" w:eastAsia="宋体" w:cs="Times New Roman"/>
      <w:szCs w:val="24"/>
    </w:rPr>
  </w:style>
  <w:style w:type="paragraph" w:customStyle="1" w:styleId="7">
    <w:name w:val="_Style 24"/>
    <w:basedOn w:val="1"/>
    <w:qFormat/>
    <w:uiPriority w:val="34"/>
    <w:pPr>
      <w:ind w:firstLine="420" w:firstLineChars="200"/>
    </w:pPr>
    <w:rPr>
      <w:rFonts w:ascii="Calibri" w:hAnsi="Calibri" w:eastAsia="宋体" w:cs="Times New Roman"/>
    </w:rPr>
  </w:style>
  <w:style w:type="paragraph" w:customStyle="1" w:styleId="8">
    <w:name w:val="List Paragraph"/>
    <w:basedOn w:val="1"/>
    <w:qFormat/>
    <w:uiPriority w:val="34"/>
    <w:pPr>
      <w:ind w:firstLine="420" w:firstLineChars="200"/>
    </w:pPr>
  </w:style>
  <w:style w:type="paragraph" w:customStyle="1" w:styleId="9">
    <w:name w:val="列出段落1"/>
    <w:basedOn w:val="1"/>
    <w:link w:val="10"/>
    <w:qFormat/>
    <w:uiPriority w:val="0"/>
    <w:pPr>
      <w:ind w:firstLine="420" w:firstLineChars="200"/>
    </w:pPr>
    <w:rPr>
      <w:rFonts w:ascii="Times New Roman" w:hAnsi="Times New Roman" w:eastAsia="宋体" w:cs="Times New Roman"/>
      <w:kern w:val="0"/>
      <w:sz w:val="24"/>
      <w:szCs w:val="24"/>
    </w:rPr>
  </w:style>
  <w:style w:type="character" w:customStyle="1" w:styleId="10">
    <w:name w:val="List Paragraph Char"/>
    <w:link w:val="9"/>
    <w:qFormat/>
    <w:locked/>
    <w:uiPriority w:val="0"/>
    <w:rPr>
      <w:rFonts w:ascii="Times New Roman" w:hAnsi="Times New Roman" w:eastAsia="宋体" w:cs="Times New Roman"/>
      <w:kern w:val="0"/>
      <w:sz w:val="24"/>
      <w:szCs w:val="24"/>
    </w:rPr>
  </w:style>
  <w:style w:type="character" w:customStyle="1" w:styleId="11">
    <w:name w:val="标题 4 字符"/>
    <w:basedOn w:val="5"/>
    <w:semiHidden/>
    <w:qFormat/>
    <w:uiPriority w:val="9"/>
    <w:rPr>
      <w:rFonts w:asciiTheme="majorHAnsi" w:hAnsiTheme="majorHAnsi" w:eastAsiaTheme="majorEastAsia" w:cstheme="majorBidi"/>
      <w:b/>
      <w:bCs/>
      <w:sz w:val="28"/>
      <w:szCs w:val="28"/>
    </w:rPr>
  </w:style>
  <w:style w:type="character" w:customStyle="1" w:styleId="12">
    <w:name w:val="标题 4 字符1"/>
    <w:basedOn w:val="5"/>
    <w:link w:val="2"/>
    <w:qFormat/>
    <w:uiPriority w:val="0"/>
    <w:rPr>
      <w:rFonts w:ascii="Arial" w:hAnsi="Arial" w:eastAsia="黑体" w:cs="仿宋_GB2312"/>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1650</Words>
  <Characters>9410</Characters>
  <Lines>78</Lines>
  <Paragraphs>22</Paragraphs>
  <TotalTime>4</TotalTime>
  <ScaleCrop>false</ScaleCrop>
  <LinksUpToDate>false</LinksUpToDate>
  <CharactersWithSpaces>11038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2025-06-16T01:52:00Z</dcterms:created>
  <dc:creator>Administrator</dc:creator>
  <cp:lastModifiedBy>Administrator</cp:lastModifiedBy>
  <dcterms:modified xsi:type="dcterms:W3CDTF">2025-10-20T07:19:06Z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eyJoZGlkIjoiZGYwMDRhZDcwOTA3ZDdjNDIyMjc4OTgzZDA3ZjcyZDkifQ==</vt:lpwstr>
  </property>
  <property fmtid="{D5CDD505-2E9C-101B-9397-08002B2CF9AE}" pid="3" name="KSOProductBuildVer">
    <vt:lpwstr>2052-12.1.0.20305</vt:lpwstr>
  </property>
  <property fmtid="{D5CDD505-2E9C-101B-9397-08002B2CF9AE}" pid="4" name="ICV">
    <vt:lpwstr>01904C1FA29C4B3F899DA734AD1240C0_13</vt:lpwstr>
  </property>
</Properties>
</file>