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CCB99B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="方正小标宋简体" w:hAnsi="方正小标宋简体" w:eastAsia="方正小标宋简体" w:cs="方正小标宋简体"/>
          <w:sz w:val="44"/>
          <w:szCs w:val="4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洮河如意湾国家AAA级旅游景区</w:t>
      </w:r>
    </w:p>
    <w:p w14:paraId="466464E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招商公告</w:t>
      </w:r>
    </w:p>
    <w:p w14:paraId="0EF7F80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880" w:firstLineChars="200"/>
        <w:jc w:val="both"/>
        <w:textAlignment w:val="auto"/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</w:pPr>
    </w:p>
    <w:p w14:paraId="4AF3D3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为丰富景区业态，提升区域消费能级，打造集美食体验、文化休闲、旅游打卡于一体的城市文旅新地标，洮河如意湾现正式启动招商工作，面向全社会公开招募优质品牌企业入驻。我们诚邀四海宾朋，携手共赢，共同谱写如意湾景区新篇章。</w:t>
      </w:r>
    </w:p>
    <w:p w14:paraId="50969AB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黑体" w:hAnsi="黑体" w:eastAsia="黑体" w:cs="黑体"/>
          <w:b w:val="0"/>
          <w:bCs w:val="0"/>
          <w:sz w:val="32"/>
          <w:szCs w:val="4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2"/>
          <w:szCs w:val="40"/>
          <w:lang w:val="en-US" w:eastAsia="zh-CN"/>
        </w:rPr>
        <w:t>一、景区介绍</w:t>
      </w:r>
    </w:p>
    <w:p w14:paraId="0BF0110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highlight w:val="none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highlight w:val="none"/>
        </w:rPr>
        <w:t>洮河如意湾</w:t>
      </w:r>
      <w:r>
        <w:rPr>
          <w:rFonts w:hint="default" w:ascii="仿宋_GB2312" w:hAnsi="仿宋_GB2312" w:eastAsia="仿宋_GB2312" w:cs="仿宋_GB2312"/>
          <w:sz w:val="32"/>
          <w:szCs w:val="32"/>
          <w:highlight w:val="none"/>
          <w:woUserID w:val="1"/>
        </w:rPr>
        <w:t>国家AAA级旅游景区位于甘肃省定西市临洮县太石镇G75兰海高速太石服务区</w:t>
      </w:r>
      <w:r>
        <w:rPr>
          <w:rFonts w:hint="eastAsia" w:ascii="仿宋_GB2312" w:hAnsi="仿宋_GB2312" w:eastAsia="仿宋_GB2312" w:cs="仿宋_GB2312"/>
          <w:sz w:val="32"/>
          <w:szCs w:val="32"/>
          <w:highlight w:val="none"/>
        </w:rPr>
        <w:t>，是甘肃省一个重要的“路衍经济+交旅融合”示范项目。景区由甘肃公交建集团投资2.84亿元建设，于2024年4月30日正式开园</w:t>
      </w:r>
      <w:r>
        <w:rPr>
          <w:rFonts w:hint="eastAsia" w:ascii="仿宋_GB2312" w:hAnsi="仿宋_GB2312" w:eastAsia="仿宋_GB2312" w:cs="仿宋_GB2312"/>
          <w:sz w:val="32"/>
          <w:szCs w:val="32"/>
          <w:highlight w:val="none"/>
          <w:lang w:eastAsia="zh-CN"/>
        </w:rPr>
        <w:t>。</w:t>
      </w:r>
    </w:p>
    <w:p w14:paraId="018EE35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highlight w:val="none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highlight w:val="none"/>
          <w:lang w:eastAsia="zh-CN"/>
        </w:rPr>
        <w:t>项目充分利用高速公路服务区的交通优势，以“花香洮河·水韵太石”为主题，规划建设了临水休闲区、花海景观区、房车露营区、亲子乐园和</w:t>
      </w:r>
      <w:r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  <w:t>美食品鉴区</w:t>
      </w:r>
      <w:r>
        <w:rPr>
          <w:rFonts w:hint="eastAsia" w:ascii="仿宋_GB2312" w:hAnsi="仿宋_GB2312" w:eastAsia="仿宋_GB2312" w:cs="仿宋_GB2312"/>
          <w:sz w:val="32"/>
          <w:szCs w:val="32"/>
          <w:highlight w:val="none"/>
          <w:lang w:eastAsia="zh-CN"/>
        </w:rPr>
        <w:t>五大功能分区。核心业态包括淘淘兔乐园、美食街、牡丹园、水上运动项目等，致力于打造集“吃、住、行、游、购、娱”于一体的旅游目的地。</w:t>
      </w:r>
    </w:p>
    <w:p w14:paraId="111610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highlight w:val="none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highlight w:val="none"/>
          <w:lang w:eastAsia="zh-CN"/>
        </w:rPr>
        <w:t>洮河如意湾不仅丰富了交通与旅游融合发展的新模式，也为当地旅游业和区域经济发展注入了新的活力。自开园以来，已接待大量游客，成为兰州及周边地区的新兴旅游热点。</w:t>
      </w:r>
    </w:p>
    <w:p w14:paraId="3EC94D9A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黑体" w:hAnsi="黑体" w:eastAsia="黑体" w:cs="黑体"/>
          <w:b w:val="0"/>
          <w:bCs w:val="0"/>
          <w:sz w:val="32"/>
          <w:szCs w:val="4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2"/>
          <w:szCs w:val="40"/>
          <w:lang w:val="en-US" w:eastAsia="zh-CN"/>
        </w:rPr>
        <w:t>招商项目介绍</w:t>
      </w:r>
    </w:p>
    <w:p w14:paraId="70245301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jc w:val="both"/>
        <w:textAlignment w:val="auto"/>
        <w:rPr>
          <w:rFonts w:hint="eastAsia" w:ascii="楷体_GB2312" w:hAnsi="楷体_GB2312" w:eastAsia="楷体_GB2312" w:cs="楷体_GB2312"/>
          <w:b/>
          <w:bCs/>
          <w:sz w:val="32"/>
          <w:szCs w:val="40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bCs/>
          <w:sz w:val="32"/>
          <w:szCs w:val="40"/>
          <w:lang w:val="en-US" w:eastAsia="zh-CN"/>
        </w:rPr>
        <w:t>（一）</w:t>
      </w:r>
      <w:r>
        <w:rPr>
          <w:rFonts w:hint="eastAsia" w:ascii="楷体_GB2312" w:hAnsi="楷体_GB2312" w:eastAsia="楷体_GB2312" w:cs="楷体_GB2312"/>
          <w:b/>
          <w:bCs/>
          <w:sz w:val="32"/>
          <w:szCs w:val="40"/>
          <w:lang w:val="en-US" w:eastAsia="zh-CN"/>
        </w:rPr>
        <w:t>餐饮文创百货销售类</w:t>
      </w:r>
    </w:p>
    <w:p w14:paraId="7A514E4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洮河如意湾美食街位于景区入口，毗邻湖面，街区设计理念先进，建筑风格独具陇原特色，融合了现代时尚元素与本地文化底蕴，致力于为市民和游客提供一个环境优美、体验独特的餐饮消费目的地。</w:t>
      </w:r>
    </w:p>
    <w:p w14:paraId="4B2CF56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244475</wp:posOffset>
            </wp:positionH>
            <wp:positionV relativeFrom="paragraph">
              <wp:posOffset>1549400</wp:posOffset>
            </wp:positionV>
            <wp:extent cx="5187950" cy="2594610"/>
            <wp:effectExtent l="0" t="0" r="12700" b="15240"/>
            <wp:wrapSquare wrapText="bothSides"/>
            <wp:docPr id="1" name="图片 1" descr="04----洮河如意弯（组照4）----相机拍摄于甘肃省定西市临洮县太石镇洮河如意弯风景区----刘瑞祥---兰州市---15193125594--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04----洮河如意弯（组照4）----相机拍摄于甘肃省定西市临洮县太石镇洮河如意弯风景区----刘瑞祥---兰州市---15193125594---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187950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现已入驻的商家包括清真餐饮品牌马里兰羊羔肉、临洮特色小吃众可小吃、老潼关肉夹馍、甜胚子奶茶、定西宽粉、金桃源牛肉面等多家饮食品牌；同时还包含主题邮局、如意美术馆、陇上八里乡宿文创农产品旗舰店等。</w:t>
      </w:r>
    </w:p>
    <w:p w14:paraId="16AE5E4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92075</wp:posOffset>
            </wp:positionH>
            <wp:positionV relativeFrom="paragraph">
              <wp:posOffset>3124200</wp:posOffset>
            </wp:positionV>
            <wp:extent cx="5400040" cy="2230120"/>
            <wp:effectExtent l="0" t="0" r="10160" b="17780"/>
            <wp:wrapSquare wrapText="bothSides"/>
            <wp:docPr id="2" name="图片 2" descr="61a96979387c652dd4251825d3d8737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61a96979387c652dd4251825d3d8737b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230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招商商铺如下表所示：</w:t>
      </w:r>
    </w:p>
    <w:p w14:paraId="2625996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jc w:val="both"/>
        <w:textAlignment w:val="auto"/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kern w:val="2"/>
          <w:sz w:val="32"/>
          <w:szCs w:val="32"/>
          <w:lang w:val="en-US" w:eastAsia="zh-CN" w:bidi="ar-SA"/>
        </w:rPr>
        <w:t>1.</w:t>
      </w:r>
      <w:r>
        <w:rPr>
          <w:rFonts w:hint="eastAsia" w:ascii="仿宋_GB2312" w:hAnsi="仿宋_GB2312" w:eastAsia="仿宋_GB2312" w:cs="仿宋_GB2312"/>
          <w:b/>
          <w:bCs/>
          <w:sz w:val="32"/>
          <w:szCs w:val="40"/>
          <w:lang w:val="en-US" w:eastAsia="zh-CN"/>
        </w:rPr>
        <w:t>招商定位</w:t>
      </w:r>
    </w:p>
    <w:p w14:paraId="0E24410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我们旨在打造一个品牌化、特色化、多元化的美食街道。重点引进各类餐饮文创百货销售类品牌：</w:t>
      </w:r>
    </w:p>
    <w:p w14:paraId="215E072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地方特色餐饮：荣获“中华老字号”、“甘肃老字号”及地方非遗美食的代表性品牌。</w:t>
      </w:r>
    </w:p>
    <w:p w14:paraId="744E462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知名连锁品牌：在国内或区域内有较高知名度的连锁品牌。</w:t>
      </w:r>
    </w:p>
    <w:p w14:paraId="7EA577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主题文化餐厅：具有鲜明文化主题、独特装修风格和创意菜品的休闲餐厅、书吧餐厅等。</w:t>
      </w:r>
    </w:p>
    <w:p w14:paraId="7506638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特色小吃集合：品质优良、口碑良好的各地风味小吃。</w:t>
      </w:r>
    </w:p>
    <w:p w14:paraId="4149E0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jc w:val="both"/>
        <w:textAlignment w:val="auto"/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kern w:val="2"/>
          <w:sz w:val="32"/>
          <w:szCs w:val="32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b/>
          <w:bCs/>
          <w:sz w:val="32"/>
          <w:szCs w:val="40"/>
          <w:lang w:val="en-US" w:eastAsia="zh-CN"/>
        </w:rPr>
        <w:t>入驻条件</w:t>
      </w:r>
    </w:p>
    <w:p w14:paraId="264C520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（1） 具备合法的营业执照、食品经营许可证等相关资质。</w:t>
      </w:r>
    </w:p>
    <w:p w14:paraId="06FFD1E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（2）品牌信誉良好，市场认知度高，有成功的运营管理经验。</w:t>
      </w:r>
    </w:p>
    <w:p w14:paraId="091BAC8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（3）认可洮河如意湾美食街的经营理念与管理规范，愿意共同维护街区品牌形象。</w:t>
      </w:r>
    </w:p>
    <w:p w14:paraId="58975EC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jc w:val="both"/>
        <w:textAlignment w:val="auto"/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40"/>
          <w:lang w:val="en-US" w:eastAsia="zh-CN"/>
        </w:rPr>
        <w:t>3.合作模式</w:t>
      </w:r>
    </w:p>
    <w:p w14:paraId="19F2C18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kern w:val="2"/>
          <w:sz w:val="32"/>
          <w:szCs w:val="32"/>
          <w:lang w:eastAsia="zh-CN" w:bidi="ar"/>
          <w:woUserID w:val="1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32"/>
          <w:lang w:eastAsia="zh-CN" w:bidi="ar"/>
          <w:woUserID w:val="1"/>
        </w:rPr>
        <w:t>（</w:t>
      </w:r>
      <w:r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"/>
          <w:woUserID w:val="1"/>
        </w:rPr>
        <w:t>1</w:t>
      </w:r>
      <w:r>
        <w:rPr>
          <w:rFonts w:hint="eastAsia" w:ascii="仿宋_GB2312" w:hAnsi="仿宋_GB2312" w:eastAsia="仿宋_GB2312" w:cs="仿宋_GB2312"/>
          <w:kern w:val="2"/>
          <w:sz w:val="32"/>
          <w:szCs w:val="32"/>
          <w:lang w:eastAsia="zh-CN" w:bidi="ar"/>
          <w:woUserID w:val="1"/>
        </w:rPr>
        <w:t>）招商</w:t>
      </w:r>
      <w:r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"/>
          <w:woUserID w:val="1"/>
        </w:rPr>
        <w:t>业态</w:t>
      </w:r>
      <w:r>
        <w:rPr>
          <w:rFonts w:hint="eastAsia" w:ascii="仿宋_GB2312" w:hAnsi="仿宋_GB2312" w:eastAsia="仿宋_GB2312" w:cs="仿宋_GB2312"/>
          <w:kern w:val="2"/>
          <w:sz w:val="32"/>
          <w:szCs w:val="32"/>
          <w:lang w:eastAsia="zh-CN" w:bidi="ar"/>
          <w:woUserID w:val="1"/>
        </w:rPr>
        <w:t>经营模式为“保底收益+提成”模式，即设年度保底收益额和提成比例。当年度含税营业额小于保底含税营业额时，招商人总收益=保底收益额；当年度含税营业额高于保底含税营业额时，招商人总收益=保底收益额+（年度含税营业额-保底含税营业额）×提成比例。（例：设年度含税营业额为1000万元，提成比例15%，保底收益额为1000*15%=150万元。若年度含税营业额为900万元，则招商人收益为150万元；若年度含税营业额为1500万元，则招商人收益为：150+（1500-1000）*15%=225万元。）</w:t>
      </w:r>
    </w:p>
    <w:p w14:paraId="642CDFF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kern w:val="2"/>
          <w:sz w:val="32"/>
          <w:szCs w:val="32"/>
          <w:lang w:eastAsia="zh-CN" w:bidi="ar"/>
          <w:woUserID w:val="1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（2）</w:t>
      </w:r>
      <w:r>
        <w:rPr>
          <w:rFonts w:hint="eastAsia" w:ascii="仿宋_GB2312" w:hAnsi="仿宋_GB2312" w:eastAsia="仿宋_GB2312" w:cs="仿宋_GB2312"/>
          <w:b w:val="0"/>
          <w:bCs w:val="0"/>
          <w:kern w:val="2"/>
          <w:sz w:val="32"/>
          <w:szCs w:val="32"/>
          <w:lang w:eastAsia="zh-CN" w:bidi="ar"/>
          <w:woUserID w:val="1"/>
        </w:rPr>
        <w:t>本</w:t>
      </w:r>
      <w:r>
        <w:rPr>
          <w:rFonts w:hint="eastAsia" w:ascii="仿宋_GB2312" w:hAnsi="仿宋_GB2312" w:eastAsia="仿宋_GB2312" w:cs="仿宋_GB2312"/>
          <w:kern w:val="2"/>
          <w:sz w:val="32"/>
          <w:szCs w:val="32"/>
          <w:lang w:eastAsia="zh-CN" w:bidi="ar"/>
          <w:woUserID w:val="1"/>
        </w:rPr>
        <w:t>次意向招商业态为初步意向，可根据经营者意愿和实际情况设置多种业态，具体由双方协商。</w:t>
      </w:r>
    </w:p>
    <w:p w14:paraId="1B781DC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kern w:val="2"/>
          <w:sz w:val="32"/>
          <w:szCs w:val="32"/>
          <w:lang w:eastAsia="zh-CN" w:bidi="ar"/>
          <w:woUserID w:val="1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（3）</w:t>
      </w:r>
      <w:r>
        <w:rPr>
          <w:rFonts w:hint="eastAsia" w:ascii="仿宋_GB2312" w:hAnsi="仿宋_GB2312" w:eastAsia="仿宋_GB2312" w:cs="仿宋_GB2312"/>
          <w:b w:val="0"/>
          <w:bCs w:val="0"/>
          <w:kern w:val="2"/>
          <w:sz w:val="32"/>
          <w:szCs w:val="32"/>
          <w:lang w:eastAsia="zh-CN" w:bidi="ar"/>
          <w:woUserID w:val="1"/>
        </w:rPr>
        <w:t>整</w:t>
      </w:r>
      <w:r>
        <w:rPr>
          <w:rFonts w:hint="eastAsia" w:ascii="仿宋_GB2312" w:hAnsi="仿宋_GB2312" w:eastAsia="仿宋_GB2312" w:cs="仿宋_GB2312"/>
          <w:kern w:val="2"/>
          <w:sz w:val="32"/>
          <w:szCs w:val="32"/>
          <w:lang w:eastAsia="zh-CN" w:bidi="ar"/>
          <w:woUserID w:val="1"/>
        </w:rPr>
        <w:t>体招商所有标段业态招商期限根据投资方投资规模、经营业态双方具体商定。</w:t>
      </w:r>
    </w:p>
    <w:p w14:paraId="602469C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kern w:val="2"/>
          <w:sz w:val="32"/>
          <w:szCs w:val="32"/>
          <w:lang w:eastAsia="zh-CN" w:bidi="ar"/>
          <w:woUserID w:val="1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（5）</w:t>
      </w:r>
      <w:r>
        <w:rPr>
          <w:rFonts w:hint="eastAsia" w:ascii="仿宋_GB2312" w:hAnsi="仿宋_GB2312" w:eastAsia="仿宋_GB2312" w:cs="仿宋_GB2312"/>
          <w:b w:val="0"/>
          <w:bCs w:val="0"/>
          <w:kern w:val="2"/>
          <w:sz w:val="32"/>
          <w:szCs w:val="32"/>
          <w:lang w:eastAsia="zh-CN" w:bidi="ar"/>
          <w:woUserID w:val="1"/>
        </w:rPr>
        <w:t>本</w:t>
      </w:r>
      <w:r>
        <w:rPr>
          <w:rFonts w:hint="eastAsia" w:ascii="仿宋_GB2312" w:hAnsi="仿宋_GB2312" w:eastAsia="仿宋_GB2312" w:cs="仿宋_GB2312"/>
          <w:kern w:val="2"/>
          <w:sz w:val="32"/>
          <w:szCs w:val="32"/>
          <w:lang w:eastAsia="zh-CN" w:bidi="ar"/>
          <w:woUserID w:val="1"/>
        </w:rPr>
        <w:t>次招商品牌包含国际、国内、省内和其他自创品牌，根据品牌影响力大小给予经营者一定条件的招商优惠，具体由双方协商。</w:t>
      </w:r>
    </w:p>
    <w:p w14:paraId="225E3DAD">
      <w:pPr>
        <w:keepNext w:val="0"/>
        <w:keepLines w:val="0"/>
        <w:pageBreakBefore w:val="0"/>
        <w:widowControl/>
        <w:numPr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firstLine="640" w:firstLineChars="200"/>
        <w:jc w:val="both"/>
        <w:textAlignment w:val="auto"/>
        <w:rPr>
          <w:rFonts w:hint="eastAsia" w:ascii="楷体_GB2312" w:hAnsi="楷体_GB2312" w:eastAsia="楷体_GB2312" w:cs="楷体_GB2312"/>
          <w:b/>
          <w:bCs/>
          <w:sz w:val="32"/>
          <w:szCs w:val="40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589915</wp:posOffset>
            </wp:positionV>
            <wp:extent cx="5331460" cy="3554730"/>
            <wp:effectExtent l="0" t="0" r="2540" b="7620"/>
            <wp:wrapSquare wrapText="bothSides"/>
            <wp:docPr id="3" name="图片 3" descr="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31460" cy="3554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楷体_GB2312" w:hAnsi="楷体_GB2312" w:eastAsia="楷体_GB2312" w:cs="楷体_GB2312"/>
          <w:b/>
          <w:bCs/>
          <w:kern w:val="2"/>
          <w:sz w:val="32"/>
          <w:szCs w:val="32"/>
          <w:lang w:eastAsia="zh-CN" w:bidi="ar"/>
          <w:woUserID w:val="1"/>
        </w:rPr>
        <w:t>（</w:t>
      </w:r>
      <w:r>
        <w:rPr>
          <w:rFonts w:hint="eastAsia" w:ascii="楷体_GB2312" w:hAnsi="楷体_GB2312" w:eastAsia="楷体_GB2312" w:cs="楷体_GB2312"/>
          <w:b/>
          <w:bCs/>
          <w:kern w:val="2"/>
          <w:sz w:val="32"/>
          <w:szCs w:val="32"/>
          <w:lang w:val="en-US" w:eastAsia="zh-CN" w:bidi="ar"/>
          <w:woUserID w:val="1"/>
        </w:rPr>
        <w:t>二</w:t>
      </w:r>
      <w:r>
        <w:rPr>
          <w:rFonts w:hint="eastAsia" w:ascii="楷体_GB2312" w:hAnsi="楷体_GB2312" w:eastAsia="楷体_GB2312" w:cs="楷体_GB2312"/>
          <w:b/>
          <w:bCs/>
          <w:kern w:val="2"/>
          <w:sz w:val="32"/>
          <w:szCs w:val="32"/>
          <w:lang w:eastAsia="zh-CN" w:bidi="ar"/>
          <w:woUserID w:val="1"/>
        </w:rPr>
        <w:t>）</w:t>
      </w:r>
      <w:r>
        <w:rPr>
          <w:rFonts w:hint="eastAsia" w:ascii="楷体_GB2312" w:hAnsi="楷体_GB2312" w:eastAsia="楷体_GB2312" w:cs="楷体_GB2312"/>
          <w:b/>
          <w:bCs/>
          <w:sz w:val="32"/>
          <w:szCs w:val="40"/>
        </w:rPr>
        <w:t>游乐类</w:t>
      </w:r>
    </w:p>
    <w:p w14:paraId="5BD953A7">
      <w:pPr>
        <w:keepNext w:val="0"/>
        <w:keepLines w:val="0"/>
        <w:pageBreakBefore w:val="0"/>
        <w:widowControl/>
        <w:numPr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left="0" w:firstLine="1920" w:firstLineChars="600"/>
        <w:jc w:val="both"/>
        <w:textAlignment w:val="auto"/>
        <w:rPr>
          <w:rFonts w:hint="eastAsia" w:ascii="楷体_GB2312" w:hAnsi="楷体_GB2312" w:eastAsia="楷体_GB2312" w:cs="楷体_GB2312"/>
          <w:b/>
          <w:bCs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洮河如意湾项目总规划面积598亩，拥有上海季高兔窝窝乐园一比一还原的淘淘兔乐园，以生态为基、文化为魂、旅游为体，旨在成为区域旅游新地标和城市休闲会客厅。目前项目基础建设稳步推进，具备良好的商业开发条件与发展前景。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 </w:t>
      </w: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 xml:space="preserve">   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1.招商范围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br w:type="textWrapping"/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 xml:space="preserve">    我们热忱欢迎以下各类游乐设施业态的商家前来洽谈合作：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br w:type="textWrapping"/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 xml:space="preserve">    （1）无动力游乐设施： 如大型滑梯、攀爬网、秋千、沙池、蹦床、丛林探险、障碍闯关等。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br w:type="textWrapping"/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 xml:space="preserve">    （2）动力游乐设施：如海盗船、自控飞机、儿童电玩等（需符合国家安全与环保标准）。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br w:type="textWrapping"/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 xml:space="preserve">    （3）水上娱乐项目：如水上碰碰船、水上自行车、皮划艇、电动船、充气水乐园等。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br w:type="textWrapping"/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 xml:space="preserve">   （4）亲子互动体验：如亲子DIY工坊、萌宠乐园、迷你农场、创意手工坊等。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br w:type="textWrapping"/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 xml:space="preserve">   （5）竞技挑战类项目：如卡丁车、射箭馆、激光CS、迷你高尔夫等。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br w:type="textWrapping"/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 xml:space="preserve">   （6）科技娱乐项目：如VR/AR体验馆、光影互动乐园、沉浸式体验空间等。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br w:type="textWrapping"/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 xml:space="preserve">   （7）其他创新型、特色化、与项目定位相符的游乐业态。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br w:type="textWrapping"/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 xml:space="preserve">   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 xml:space="preserve"> 2.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 xml:space="preserve"> 合作优势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 xml:space="preserve">    （1）生态基底：坐拥洮河自然风光，环境优美，为游乐活动提供独特的生态背景。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br w:type="textWrapping"/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 xml:space="preserve">   （2）配套完善：已建成停车场、游客中心、餐饮、住宿等，为商家运营及游客体验提供便利。</w:t>
      </w:r>
      <w:bookmarkStart w:id="0" w:name="_GoBack"/>
      <w:bookmarkEnd w:id="0"/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br w:type="textWrapping"/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 xml:space="preserve"> 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 xml:space="preserve">   3.合作模式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br w:type="textWrapping"/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 xml:space="preserve">    我们将根据商家实力、项目特点及投资规模，提供灵活多样的合作方式，包括但不限于：场地租赁、联营合作、品牌入驻、其他双方认可的创新合作模式，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br w:type="textWrapping"/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具体合作条件面议。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br w:type="textWrapping"/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 xml:space="preserve">    4.商家要求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br w:type="textWrapping"/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 xml:space="preserve">   （1）具备合法的营业执照及相关经营资质。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br w:type="textWrapping"/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 xml:space="preserve">   （2）所经营品牌符合国家及行业安全、质量、环保标准。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br w:type="textWrapping"/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 xml:space="preserve">   （3）拥有良好的商业信誉和经营理念。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br w:type="textWrapping"/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 xml:space="preserve">   （4）具备一定的资金实力和运营管理能力。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br w:type="textWrapping"/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 xml:space="preserve">   （5）品牌形象与洮河如意湾项目定位相符。</w:t>
      </w:r>
    </w:p>
    <w:p w14:paraId="4A064B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三、政策扶持</w:t>
      </w:r>
    </w:p>
    <w:p w14:paraId="4496A69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为助力入驻品牌快速成长，我们将提供一系列重磅扶持政策：</w:t>
      </w:r>
    </w:p>
    <w:p w14:paraId="2CD5F30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租金优惠：针对不同品牌及经营规模，提供灵活经营模式，具体面议。</w:t>
      </w:r>
    </w:p>
    <w:p w14:paraId="21C5253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集中推广：洮河如意湾将投入专项宣传资金，通过甘肃经济信息网、本地主流媒体、新媒体矩阵、大型节庆活动等进行全方位、立体化的品牌联合推广。</w:t>
      </w:r>
    </w:p>
    <w:p w14:paraId="183F03C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黑体" w:hAnsi="黑体" w:eastAsia="黑体" w:cs="黑体"/>
          <w:kern w:val="2"/>
          <w:sz w:val="32"/>
          <w:szCs w:val="32"/>
          <w:lang w:val="en-US" w:eastAsia="zh-CN" w:bidi="ar-SA"/>
        </w:rPr>
      </w:pPr>
      <w:r>
        <w:rPr>
          <w:rFonts w:hint="eastAsia" w:ascii="黑体" w:hAnsi="黑体" w:eastAsia="黑体" w:cs="黑体"/>
          <w:kern w:val="2"/>
          <w:sz w:val="32"/>
          <w:szCs w:val="32"/>
          <w:lang w:val="en-US" w:eastAsia="zh-CN" w:bidi="ar-SA"/>
        </w:rPr>
        <w:t>四、报名与洽谈</w:t>
      </w:r>
    </w:p>
    <w:p w14:paraId="4611897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highlight w:val="none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highlight w:val="none"/>
        </w:rPr>
        <w:t>我们诚邀有意向且具备实力的企业踊跃垂询、洽谈。</w:t>
      </w:r>
    </w:p>
    <w:p w14:paraId="098D013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  <w:woUserID w:val="1"/>
        </w:rPr>
      </w:pPr>
    </w:p>
    <w:p w14:paraId="6B5EA75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  <w:woUserID w:val="1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  <w:woUserID w:val="1"/>
        </w:rPr>
        <w:t>联系人：</w:t>
      </w:r>
    </w:p>
    <w:p w14:paraId="67FEE2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firstLine="640" w:firstLineChars="200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  <w:woUserID w:val="1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  <w:woUserID w:val="1"/>
        </w:rPr>
        <w:t>康女士：15101265205     晏女士：17302258539</w:t>
      </w:r>
    </w:p>
    <w:p w14:paraId="5127E3F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 w14:paraId="68468FF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 w14:paraId="75386FD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 w14:paraId="390BF38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sectPr>
      <w:pgSz w:w="11906" w:h="16838"/>
      <w:pgMar w:top="2098" w:right="1474" w:bottom="1984" w:left="158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方正大标宋简体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Symbol">
    <w:panose1 w:val="05050102010706020507"/>
    <w:charset w:val="00"/>
    <w:family w:val="auto"/>
    <w:pitch w:val="default"/>
    <w:sig w:usb0="00000000" w:usb1="00000000" w:usb2="00000000" w:usb3="00000000" w:csb0="80000000" w:csb1="00000000"/>
  </w:font>
  <w:font w:name="Courier New">
    <w:panose1 w:val="02070309020205020404"/>
    <w:charset w:val="00"/>
    <w:family w:val="auto"/>
    <w:pitch w:val="default"/>
    <w:sig w:usb0="E0002EFF" w:usb1="C0007843" w:usb2="00000009" w:usb3="00000000" w:csb0="400001FF" w:csb1="FFFF0000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14CB20A"/>
    <w:multiLevelType w:val="singleLevel"/>
    <w:tmpl w:val="E14CB20A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557C4E5D"/>
    <w:multiLevelType w:val="singleLevel"/>
    <w:tmpl w:val="557C4E5D"/>
    <w:lvl w:ilvl="0" w:tentative="0">
      <w:start w:val="1"/>
      <w:numFmt w:val="chineseCounting"/>
      <w:pStyle w:val="4"/>
      <w:suff w:val="nothing"/>
      <w:lvlText w:val="%1、"/>
      <w:lvlJc w:val="left"/>
      <w:pPr>
        <w:ind w:left="630"/>
      </w:pPr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FmZTZiMjZkZmRhNjY5NzM3NGVkMjFkNjU4NjA0OGEifQ=="/>
  </w:docVars>
  <w:rsids>
    <w:rsidRoot w:val="36E8261F"/>
    <w:rsid w:val="035E2B6B"/>
    <w:rsid w:val="10EA3C90"/>
    <w:rsid w:val="31B732C3"/>
    <w:rsid w:val="367E0853"/>
    <w:rsid w:val="36E8261F"/>
    <w:rsid w:val="38034772"/>
    <w:rsid w:val="46454EEA"/>
    <w:rsid w:val="560F186B"/>
    <w:rsid w:val="5B834092"/>
    <w:rsid w:val="5E8C325E"/>
    <w:rsid w:val="602A2D2E"/>
    <w:rsid w:val="6B185AC4"/>
    <w:rsid w:val="79E955B1"/>
    <w:rsid w:val="7E4D36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">
    <w:name w:val="样式1"/>
    <w:basedOn w:val="1"/>
    <w:next w:val="1"/>
    <w:qFormat/>
    <w:uiPriority w:val="0"/>
    <w:pPr>
      <w:keepNext/>
      <w:keepLines/>
      <w:numPr>
        <w:ilvl w:val="0"/>
        <w:numId w:val="1"/>
      </w:numPr>
      <w:spacing w:before="340" w:beforeLines="0" w:after="330" w:afterLines="0" w:line="576" w:lineRule="auto"/>
      <w:ind w:left="630"/>
      <w:outlineLvl w:val="0"/>
    </w:pPr>
    <w:rPr>
      <w:rFonts w:hint="default" w:eastAsia="仿宋_GB2312" w:asciiTheme="minorAscii" w:hAnsiTheme="minorAscii"/>
      <w:b/>
      <w:kern w:val="44"/>
      <w:sz w:val="36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numbering" Target="numbering.xml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</Pages>
  <Words>0</Words>
  <Characters>0</Characters>
  <Lines>0</Lines>
  <Paragraphs>0</Paragraphs>
  <TotalTime>8</TotalTime>
  <ScaleCrop>false</ScaleCrop>
  <LinksUpToDate>false</LinksUpToDate>
  <CharactersWithSpaces>0</CharactersWithSpaces>
  <Application>WPS Office_12.1.0.17857_F1E327BC-269C-435d-A152-05C5408002CA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2025-11-05T01:15:00Z</dcterms:created>
  <dc:creator>市场营销部-晏兰兰</dc:creator>
  <cp:lastModifiedBy>市场营销部-晏兰兰</cp:lastModifiedBy>
  <dcterms:modified xsi:type="dcterms:W3CDTF">2025-11-05T09:45:55Z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2052-12.1.0.17857</vt:lpwstr>
  </property>
  <property fmtid="{D5CDD505-2E9C-101B-9397-08002B2CF9AE}" pid="3" name="ICV">
    <vt:lpwstr>6C400FD2AB5E4FFD9E5D1E2D088924A3_11</vt:lpwstr>
  </property>
</Properties>
</file>