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33DDD">
      <w:pPr>
        <w:jc w:val="right"/>
      </w:pPr>
      <w:bookmarkStart w:id="585" w:name="_GoBack"/>
      <w:bookmarkEnd w:id="585"/>
      <w:r>
        <w:rPr>
          <w:b/>
        </w:rPr>
        <w:t xml:space="preserve">                   </w:t>
      </w:r>
    </w:p>
    <w:p w14:paraId="12504CA4">
      <w:pPr>
        <w:jc w:val="center"/>
        <w:rPr>
          <w:b/>
          <w:sz w:val="44"/>
          <w:szCs w:val="44"/>
        </w:rPr>
      </w:pPr>
      <w:r>
        <w:rPr>
          <w:rFonts w:hAnsi="宋体"/>
          <w:b/>
          <w:sz w:val="44"/>
          <w:szCs w:val="44"/>
        </w:rPr>
        <w:t>【</w:t>
      </w:r>
      <w:r>
        <w:rPr>
          <w:rFonts w:hAnsi="宋体"/>
          <w:i/>
          <w:sz w:val="32"/>
          <w:szCs w:val="32"/>
        </w:rPr>
        <w:t>采购物品名称</w:t>
      </w:r>
      <w:r>
        <w:rPr>
          <w:rFonts w:hAnsi="宋体"/>
          <w:b/>
          <w:sz w:val="44"/>
          <w:szCs w:val="44"/>
        </w:rPr>
        <w:t>】采购合同</w:t>
      </w:r>
    </w:p>
    <w:p w14:paraId="576FAFD5">
      <w:pPr>
        <w:jc w:val="right"/>
        <w:rPr>
          <w:szCs w:val="21"/>
        </w:rPr>
      </w:pPr>
      <w:r>
        <w:rPr>
          <w:szCs w:val="21"/>
        </w:rPr>
        <w:t>合同编号</w:t>
      </w:r>
      <w:r>
        <w:rPr>
          <w:rFonts w:hint="eastAsia"/>
          <w:szCs w:val="21"/>
        </w:rPr>
        <w:t>：__________</w:t>
      </w:r>
    </w:p>
    <w:p w14:paraId="5011F245">
      <w:pPr>
        <w:spacing w:before="156" w:beforeLines="50" w:after="156" w:afterLines="50" w:line="480" w:lineRule="exact"/>
        <w:jc w:val="left"/>
        <w:rPr>
          <w:rFonts w:hAnsi="宋体"/>
          <w:bCs/>
          <w:sz w:val="24"/>
        </w:rPr>
      </w:pPr>
      <w:r>
        <w:rPr>
          <w:rFonts w:hint="eastAsia" w:hAnsi="宋体"/>
          <w:b/>
          <w:sz w:val="24"/>
        </w:rPr>
        <w:t>甲方（</w:t>
      </w:r>
      <w:r>
        <w:rPr>
          <w:rFonts w:hAnsi="宋体"/>
          <w:b/>
          <w:sz w:val="24"/>
        </w:rPr>
        <w:t>买方</w:t>
      </w:r>
      <w:r>
        <w:rPr>
          <w:rFonts w:hint="eastAsia" w:hAnsi="宋体"/>
          <w:b/>
          <w:sz w:val="24"/>
        </w:rPr>
        <w:t>）</w:t>
      </w:r>
      <w:r>
        <w:rPr>
          <w:rFonts w:hAnsi="宋体"/>
          <w:b/>
          <w:sz w:val="24"/>
        </w:rPr>
        <w:t>：</w:t>
      </w:r>
      <w:r>
        <w:rPr>
          <w:rFonts w:hint="eastAsia" w:hAnsi="宋体"/>
          <w:sz w:val="24"/>
        </w:rPr>
        <w:t>【</w:t>
      </w:r>
      <w:r>
        <w:rPr>
          <w:rFonts w:hint="eastAsia" w:hAnsi="宋体"/>
          <w:sz w:val="24"/>
          <w:lang w:val="en-US" w:eastAsia="zh-CN"/>
        </w:rPr>
        <w:t xml:space="preserve">                                </w:t>
      </w:r>
      <w:r>
        <w:rPr>
          <w:rFonts w:hint="eastAsia" w:hAnsi="宋体"/>
          <w:sz w:val="24"/>
        </w:rPr>
        <w:t>】</w:t>
      </w:r>
    </w:p>
    <w:p w14:paraId="7C71A17F">
      <w:pPr>
        <w:spacing w:before="156" w:beforeLines="50" w:after="156" w:afterLines="50" w:line="480" w:lineRule="exact"/>
        <w:jc w:val="left"/>
        <w:rPr>
          <w:b/>
          <w:sz w:val="24"/>
        </w:rPr>
      </w:pPr>
      <w:r>
        <w:rPr>
          <w:rFonts w:hint="eastAsia" w:hAnsi="宋体"/>
          <w:b/>
          <w:sz w:val="24"/>
        </w:rPr>
        <w:t>联系人及联系方式</w:t>
      </w:r>
      <w:r>
        <w:rPr>
          <w:rFonts w:hAnsi="宋体"/>
          <w:b/>
          <w:sz w:val="24"/>
        </w:rPr>
        <w:t>：【</w:t>
      </w:r>
      <w:r>
        <w:rPr>
          <w:rFonts w:hint="eastAsia" w:hAnsi="宋体"/>
          <w:b/>
          <w:sz w:val="24"/>
        </w:rPr>
        <w:t xml:space="preserve"> </w:t>
      </w:r>
      <w:r>
        <w:rPr>
          <w:rFonts w:hAnsi="宋体"/>
          <w:b/>
          <w:sz w:val="24"/>
        </w:rPr>
        <w:t xml:space="preserve">                                        】</w:t>
      </w:r>
    </w:p>
    <w:p w14:paraId="0A804FE4">
      <w:pPr>
        <w:spacing w:before="156" w:beforeLines="50" w:after="156" w:afterLines="50" w:line="480" w:lineRule="exact"/>
        <w:jc w:val="left"/>
        <w:rPr>
          <w:b/>
          <w:sz w:val="24"/>
        </w:rPr>
      </w:pPr>
    </w:p>
    <w:p w14:paraId="33537EC8">
      <w:pPr>
        <w:spacing w:before="156" w:beforeLines="50" w:after="156" w:afterLines="50" w:line="480" w:lineRule="exact"/>
        <w:jc w:val="left"/>
        <w:rPr>
          <w:b/>
          <w:sz w:val="24"/>
        </w:rPr>
      </w:pPr>
      <w:r>
        <w:rPr>
          <w:rFonts w:hint="eastAsia" w:hAnsi="宋体"/>
          <w:b/>
          <w:sz w:val="24"/>
        </w:rPr>
        <w:t>乙方（</w:t>
      </w:r>
      <w:r>
        <w:rPr>
          <w:rFonts w:hAnsi="宋体"/>
          <w:b/>
          <w:sz w:val="24"/>
        </w:rPr>
        <w:t>卖方</w:t>
      </w:r>
      <w:r>
        <w:rPr>
          <w:rFonts w:hint="eastAsia" w:hAnsi="宋体"/>
          <w:b/>
          <w:sz w:val="24"/>
        </w:rPr>
        <w:t>）</w:t>
      </w:r>
      <w:r>
        <w:rPr>
          <w:rFonts w:hAnsi="宋体"/>
          <w:b/>
          <w:sz w:val="24"/>
        </w:rPr>
        <w:t>：【</w:t>
      </w:r>
      <w:r>
        <w:rPr>
          <w:rFonts w:hint="eastAsia" w:hAnsi="宋体"/>
          <w:b/>
          <w:sz w:val="24"/>
        </w:rPr>
        <w:t xml:space="preserve">  </w:t>
      </w:r>
      <w:r>
        <w:rPr>
          <w:rFonts w:hAnsi="宋体"/>
          <w:b/>
          <w:sz w:val="24"/>
        </w:rPr>
        <w:t xml:space="preserve">                              </w:t>
      </w:r>
      <w:r>
        <w:rPr>
          <w:rFonts w:hint="eastAsia" w:hAnsi="宋体"/>
          <w:b/>
          <w:sz w:val="24"/>
        </w:rPr>
        <w:t xml:space="preserve"> </w:t>
      </w:r>
      <w:r>
        <w:rPr>
          <w:rFonts w:hAnsi="宋体"/>
          <w:b/>
          <w:sz w:val="24"/>
        </w:rPr>
        <w:t>】</w:t>
      </w:r>
    </w:p>
    <w:p w14:paraId="62DECD01">
      <w:pPr>
        <w:spacing w:before="156" w:beforeLines="50" w:after="156" w:afterLines="50" w:line="480" w:lineRule="exact"/>
        <w:jc w:val="left"/>
        <w:rPr>
          <w:b/>
          <w:sz w:val="24"/>
        </w:rPr>
      </w:pPr>
      <w:r>
        <w:rPr>
          <w:rFonts w:hint="eastAsia" w:hAnsi="宋体"/>
          <w:b/>
          <w:sz w:val="24"/>
        </w:rPr>
        <w:t>联系人及联系方式</w:t>
      </w:r>
      <w:r>
        <w:rPr>
          <w:rFonts w:hAnsi="宋体"/>
          <w:b/>
          <w:sz w:val="24"/>
        </w:rPr>
        <w:t>：【</w:t>
      </w:r>
      <w:r>
        <w:rPr>
          <w:rFonts w:hint="eastAsia" w:hAnsi="宋体"/>
          <w:b/>
          <w:sz w:val="24"/>
        </w:rPr>
        <w:t xml:space="preserve"> </w:t>
      </w:r>
      <w:r>
        <w:rPr>
          <w:rFonts w:hAnsi="宋体"/>
          <w:b/>
          <w:sz w:val="24"/>
        </w:rPr>
        <w:t xml:space="preserve">                                        】</w:t>
      </w:r>
    </w:p>
    <w:p w14:paraId="68FDB55D">
      <w:pPr>
        <w:spacing w:before="156" w:beforeLines="50" w:after="156" w:afterLines="50" w:line="480" w:lineRule="exact"/>
        <w:jc w:val="left"/>
        <w:rPr>
          <w:rFonts w:hAnsi="宋体"/>
          <w:b/>
          <w:sz w:val="24"/>
        </w:rPr>
      </w:pPr>
    </w:p>
    <w:p w14:paraId="124FF8F8">
      <w:pPr>
        <w:spacing w:before="156" w:beforeLines="50" w:after="156" w:afterLines="50" w:line="480" w:lineRule="exact"/>
        <w:jc w:val="left"/>
        <w:rPr>
          <w:rFonts w:hint="default" w:ascii="Times New Roman" w:hAnsi="宋体" w:eastAsia="宋体" w:cs="Times New Roman"/>
          <w:b/>
          <w:sz w:val="24"/>
          <w:lang w:val="en-US" w:eastAsia="zh-CN"/>
        </w:rPr>
      </w:pPr>
      <w:r>
        <w:rPr>
          <w:rFonts w:hint="eastAsia" w:ascii="Times New Roman" w:hAnsi="宋体" w:eastAsia="宋体" w:cs="Times New Roman"/>
          <w:b/>
          <w:sz w:val="24"/>
          <w:lang w:val="en-US" w:eastAsia="zh-CN"/>
        </w:rPr>
        <w:t>项目名称：【                      】</w:t>
      </w:r>
    </w:p>
    <w:p w14:paraId="6FF7E86F">
      <w:pPr>
        <w:spacing w:before="156" w:beforeLines="50" w:after="156" w:afterLines="50" w:line="480" w:lineRule="exact"/>
        <w:ind w:firstLine="480" w:firstLineChars="200"/>
        <w:jc w:val="left"/>
        <w:rPr>
          <w:bCs/>
          <w:sz w:val="24"/>
        </w:rPr>
      </w:pPr>
      <w:r>
        <w:rPr>
          <w:rFonts w:hAnsi="宋体"/>
          <w:bCs/>
          <w:sz w:val="24"/>
        </w:rPr>
        <w:t>本采购合同由甲乙双方于【</w:t>
      </w:r>
      <w:r>
        <w:rPr>
          <w:rFonts w:hint="eastAsia" w:hAnsi="宋体"/>
          <w:bCs/>
          <w:sz w:val="24"/>
        </w:rPr>
        <w:t xml:space="preserve">    </w:t>
      </w:r>
      <w:r>
        <w:rPr>
          <w:rFonts w:hAnsi="宋体"/>
          <w:bCs/>
          <w:sz w:val="24"/>
        </w:rPr>
        <w:t xml:space="preserve"> 】年【</w:t>
      </w:r>
      <w:r>
        <w:rPr>
          <w:rFonts w:hint="eastAsia" w:hAnsi="宋体"/>
          <w:bCs/>
          <w:sz w:val="24"/>
        </w:rPr>
        <w:t xml:space="preserve"> </w:t>
      </w:r>
      <w:r>
        <w:rPr>
          <w:rFonts w:hAnsi="宋体"/>
          <w:bCs/>
          <w:sz w:val="24"/>
        </w:rPr>
        <w:t>】月【</w:t>
      </w:r>
      <w:r>
        <w:rPr>
          <w:rFonts w:hint="eastAsia" w:hAnsi="宋体"/>
          <w:bCs/>
          <w:sz w:val="24"/>
        </w:rPr>
        <w:t xml:space="preserve"> </w:t>
      </w:r>
      <w:r>
        <w:rPr>
          <w:rFonts w:hAnsi="宋体"/>
          <w:bCs/>
          <w:sz w:val="24"/>
        </w:rPr>
        <w:t>】日签订。</w:t>
      </w:r>
      <w:r>
        <w:rPr>
          <w:rFonts w:hint="eastAsia" w:hAnsi="宋体"/>
          <w:bCs/>
          <w:sz w:val="24"/>
        </w:rPr>
        <w:t>乙</w:t>
      </w:r>
      <w:r>
        <w:rPr>
          <w:rFonts w:hAnsi="宋体"/>
          <w:bCs/>
          <w:sz w:val="24"/>
        </w:rPr>
        <w:t>方将根据本合同向</w:t>
      </w:r>
      <w:r>
        <w:rPr>
          <w:rFonts w:hint="eastAsia" w:hAnsi="宋体"/>
          <w:bCs/>
          <w:sz w:val="24"/>
        </w:rPr>
        <w:t>甲</w:t>
      </w:r>
      <w:r>
        <w:rPr>
          <w:rFonts w:hAnsi="宋体"/>
          <w:bCs/>
          <w:sz w:val="24"/>
        </w:rPr>
        <w:t>方提供完全符合本合同第一条产品描述</w:t>
      </w:r>
      <w:r>
        <w:rPr>
          <w:rFonts w:hint="eastAsia" w:hAnsi="宋体"/>
          <w:bCs/>
          <w:sz w:val="24"/>
        </w:rPr>
        <w:t>项下</w:t>
      </w:r>
      <w:r>
        <w:rPr>
          <w:rFonts w:hAnsi="宋体"/>
          <w:bCs/>
          <w:sz w:val="24"/>
        </w:rPr>
        <w:t>的产品。</w:t>
      </w:r>
    </w:p>
    <w:p w14:paraId="40CD8076">
      <w:pPr>
        <w:pStyle w:val="7"/>
        <w:spacing w:before="156" w:beforeLines="50" w:after="156" w:afterLines="50" w:line="480" w:lineRule="exact"/>
        <w:rPr>
          <w:sz w:val="24"/>
          <w:szCs w:val="24"/>
        </w:rPr>
      </w:pPr>
      <w:bookmarkStart w:id="0" w:name="_Toc135995577"/>
      <w:bookmarkEnd w:id="0"/>
      <w:bookmarkStart w:id="1" w:name="_Toc136072254"/>
      <w:bookmarkEnd w:id="1"/>
      <w:bookmarkStart w:id="2" w:name="_Toc136707886"/>
      <w:bookmarkEnd w:id="2"/>
      <w:bookmarkStart w:id="3" w:name="_Toc135205544"/>
      <w:bookmarkEnd w:id="3"/>
      <w:bookmarkStart w:id="4" w:name="_Toc136707948"/>
      <w:bookmarkEnd w:id="4"/>
      <w:bookmarkStart w:id="5" w:name="_Toc135188762"/>
      <w:bookmarkEnd w:id="5"/>
      <w:bookmarkStart w:id="6" w:name="_Toc136072251"/>
      <w:bookmarkEnd w:id="6"/>
      <w:bookmarkStart w:id="7" w:name="_Toc136707892"/>
      <w:bookmarkEnd w:id="7"/>
      <w:bookmarkStart w:id="8" w:name="_Toc136072252"/>
      <w:bookmarkEnd w:id="8"/>
      <w:bookmarkStart w:id="9" w:name="_Toc135995546"/>
      <w:bookmarkEnd w:id="9"/>
      <w:bookmarkStart w:id="10" w:name="_Toc135995543"/>
      <w:bookmarkEnd w:id="10"/>
      <w:bookmarkStart w:id="11" w:name="_Toc136072279"/>
      <w:bookmarkEnd w:id="11"/>
      <w:bookmarkStart w:id="12" w:name="_Toc135995550"/>
      <w:bookmarkEnd w:id="12"/>
      <w:bookmarkStart w:id="13" w:name="_Toc135205642"/>
      <w:bookmarkEnd w:id="13"/>
      <w:bookmarkStart w:id="14" w:name="_Toc136707943"/>
      <w:bookmarkEnd w:id="14"/>
      <w:bookmarkStart w:id="15" w:name="_Toc135995568"/>
      <w:bookmarkEnd w:id="15"/>
      <w:bookmarkStart w:id="16" w:name="_Toc136072282"/>
      <w:bookmarkEnd w:id="16"/>
      <w:bookmarkStart w:id="17" w:name="_Toc135995570"/>
      <w:bookmarkEnd w:id="17"/>
      <w:bookmarkStart w:id="18" w:name="_Toc136072277"/>
      <w:bookmarkEnd w:id="18"/>
      <w:bookmarkStart w:id="19" w:name="_Toc136707945"/>
      <w:bookmarkEnd w:id="19"/>
      <w:bookmarkStart w:id="20" w:name="_Toc135299592"/>
      <w:bookmarkEnd w:id="20"/>
      <w:bookmarkStart w:id="21" w:name="_Toc136072281"/>
      <w:bookmarkEnd w:id="21"/>
      <w:bookmarkStart w:id="22" w:name="_Toc135995576"/>
      <w:bookmarkEnd w:id="22"/>
      <w:bookmarkStart w:id="23" w:name="_Toc136072280"/>
      <w:bookmarkEnd w:id="23"/>
      <w:bookmarkStart w:id="24" w:name="_Toc135995575"/>
      <w:bookmarkEnd w:id="24"/>
      <w:bookmarkStart w:id="25" w:name="_Toc135995569"/>
      <w:bookmarkEnd w:id="25"/>
      <w:bookmarkStart w:id="26" w:name="_Toc135188810"/>
      <w:bookmarkEnd w:id="26"/>
      <w:bookmarkStart w:id="27" w:name="_Toc135205599"/>
      <w:bookmarkEnd w:id="27"/>
      <w:bookmarkStart w:id="28" w:name="_Toc136707949"/>
      <w:bookmarkEnd w:id="28"/>
      <w:bookmarkStart w:id="29" w:name="_Toc135205588"/>
      <w:bookmarkEnd w:id="29"/>
      <w:bookmarkStart w:id="30" w:name="_Toc135205595"/>
      <w:bookmarkEnd w:id="30"/>
      <w:bookmarkStart w:id="31" w:name="_Toc135205592"/>
      <w:bookmarkEnd w:id="31"/>
      <w:bookmarkStart w:id="32" w:name="_Toc135188805"/>
      <w:bookmarkEnd w:id="32"/>
      <w:bookmarkStart w:id="33" w:name="_Toc135188812"/>
      <w:bookmarkEnd w:id="33"/>
      <w:bookmarkStart w:id="34" w:name="_Toc135205584"/>
      <w:bookmarkEnd w:id="34"/>
      <w:bookmarkStart w:id="35" w:name="_Toc135205605"/>
      <w:bookmarkEnd w:id="35"/>
      <w:bookmarkStart w:id="36" w:name="_Toc135205598"/>
      <w:bookmarkEnd w:id="36"/>
      <w:bookmarkStart w:id="37" w:name="_Toc135188802"/>
      <w:bookmarkEnd w:id="37"/>
      <w:bookmarkStart w:id="38" w:name="_Toc135188797"/>
      <w:bookmarkEnd w:id="38"/>
      <w:bookmarkStart w:id="39" w:name="_Toc135205594"/>
      <w:bookmarkEnd w:id="39"/>
      <w:bookmarkStart w:id="40" w:name="_Toc135205628"/>
      <w:bookmarkEnd w:id="40"/>
      <w:bookmarkStart w:id="41" w:name="_Toc135205591"/>
      <w:bookmarkEnd w:id="41"/>
      <w:bookmarkStart w:id="42" w:name="_Toc135205596"/>
      <w:bookmarkEnd w:id="42"/>
      <w:bookmarkStart w:id="43" w:name="_Toc135205590"/>
      <w:bookmarkEnd w:id="43"/>
      <w:bookmarkStart w:id="44" w:name="_Toc135205583"/>
      <w:bookmarkEnd w:id="44"/>
      <w:bookmarkStart w:id="45" w:name="_Toc135188804"/>
      <w:bookmarkEnd w:id="45"/>
      <w:bookmarkStart w:id="46" w:name="_Toc135188807"/>
      <w:bookmarkEnd w:id="46"/>
      <w:bookmarkStart w:id="47" w:name="_Toc135205601"/>
      <w:bookmarkEnd w:id="47"/>
      <w:bookmarkStart w:id="48" w:name="_Toc135188806"/>
      <w:bookmarkEnd w:id="48"/>
      <w:bookmarkStart w:id="49" w:name="_Toc135188798"/>
      <w:bookmarkEnd w:id="49"/>
      <w:bookmarkStart w:id="50" w:name="_Toc135205589"/>
      <w:bookmarkEnd w:id="50"/>
      <w:bookmarkStart w:id="51" w:name="_Toc135188815"/>
      <w:bookmarkEnd w:id="51"/>
      <w:bookmarkStart w:id="52" w:name="_Toc135188813"/>
      <w:bookmarkEnd w:id="52"/>
      <w:bookmarkStart w:id="53" w:name="_Toc135205593"/>
      <w:bookmarkEnd w:id="53"/>
      <w:bookmarkStart w:id="54" w:name="_Toc135188795"/>
      <w:bookmarkEnd w:id="54"/>
      <w:bookmarkStart w:id="55" w:name="_Toc135188788"/>
      <w:bookmarkEnd w:id="55"/>
      <w:bookmarkStart w:id="56" w:name="_Toc135188786"/>
      <w:bookmarkEnd w:id="56"/>
      <w:bookmarkStart w:id="57" w:name="_Toc135188782"/>
      <w:bookmarkEnd w:id="57"/>
      <w:bookmarkStart w:id="58" w:name="_Toc135188791"/>
      <w:bookmarkEnd w:id="58"/>
      <w:bookmarkStart w:id="59" w:name="_Toc135188808"/>
      <w:bookmarkEnd w:id="59"/>
      <w:bookmarkStart w:id="60" w:name="_Toc135188803"/>
      <w:bookmarkEnd w:id="60"/>
      <w:bookmarkStart w:id="61" w:name="_Toc135205581"/>
      <w:bookmarkEnd w:id="61"/>
      <w:bookmarkStart w:id="62" w:name="_Toc135188793"/>
      <w:bookmarkEnd w:id="62"/>
      <w:bookmarkStart w:id="63" w:name="_Toc135188781"/>
      <w:bookmarkEnd w:id="63"/>
      <w:bookmarkStart w:id="64" w:name="_Toc135205573"/>
      <w:bookmarkEnd w:id="64"/>
      <w:bookmarkStart w:id="65" w:name="_Toc135188784"/>
      <w:bookmarkEnd w:id="65"/>
      <w:bookmarkStart w:id="66" w:name="_Toc135205630"/>
      <w:bookmarkEnd w:id="66"/>
      <w:bookmarkStart w:id="67" w:name="_Toc135205569"/>
      <w:bookmarkEnd w:id="67"/>
      <w:bookmarkStart w:id="68" w:name="_Toc135188779"/>
      <w:bookmarkEnd w:id="68"/>
      <w:bookmarkStart w:id="69" w:name="_Toc135205565"/>
      <w:bookmarkEnd w:id="69"/>
      <w:bookmarkStart w:id="70" w:name="_Toc135205570"/>
      <w:bookmarkEnd w:id="70"/>
      <w:bookmarkStart w:id="71" w:name="_Toc135205612"/>
      <w:bookmarkEnd w:id="71"/>
      <w:bookmarkStart w:id="72" w:name="_Toc135205608"/>
      <w:bookmarkEnd w:id="72"/>
      <w:bookmarkStart w:id="73" w:name="_Toc135188790"/>
      <w:bookmarkEnd w:id="73"/>
      <w:bookmarkStart w:id="74" w:name="_Toc135205606"/>
      <w:bookmarkEnd w:id="74"/>
      <w:bookmarkStart w:id="75" w:name="_Toc135205627"/>
      <w:bookmarkEnd w:id="75"/>
      <w:bookmarkStart w:id="76" w:name="_Toc135205623"/>
      <w:bookmarkEnd w:id="76"/>
      <w:bookmarkStart w:id="77" w:name="_Toc135205571"/>
      <w:bookmarkEnd w:id="77"/>
      <w:bookmarkStart w:id="78" w:name="_Toc135205613"/>
      <w:bookmarkEnd w:id="78"/>
      <w:bookmarkStart w:id="79" w:name="_Toc136072268"/>
      <w:bookmarkEnd w:id="79"/>
      <w:bookmarkStart w:id="80" w:name="_Toc135205624"/>
      <w:bookmarkEnd w:id="80"/>
      <w:bookmarkStart w:id="81" w:name="_Toc135205607"/>
      <w:bookmarkEnd w:id="81"/>
      <w:bookmarkStart w:id="82" w:name="_Toc135205631"/>
      <w:bookmarkEnd w:id="82"/>
      <w:bookmarkStart w:id="83" w:name="_Toc135205632"/>
      <w:bookmarkEnd w:id="83"/>
      <w:bookmarkStart w:id="84" w:name="_Toc135205616"/>
      <w:bookmarkEnd w:id="84"/>
      <w:bookmarkStart w:id="85" w:name="_Toc135205566"/>
      <w:bookmarkEnd w:id="85"/>
      <w:bookmarkStart w:id="86" w:name="_Toc135205619"/>
      <w:bookmarkEnd w:id="86"/>
      <w:bookmarkStart w:id="87" w:name="_Toc135995562"/>
      <w:bookmarkEnd w:id="87"/>
      <w:bookmarkStart w:id="88" w:name="_Toc135205611"/>
      <w:bookmarkEnd w:id="88"/>
      <w:bookmarkStart w:id="89" w:name="_Toc135205621"/>
      <w:bookmarkEnd w:id="89"/>
      <w:bookmarkStart w:id="90" w:name="_Toc136707911"/>
      <w:bookmarkEnd w:id="90"/>
      <w:bookmarkStart w:id="91" w:name="_Toc135205625"/>
      <w:bookmarkEnd w:id="91"/>
      <w:bookmarkStart w:id="92" w:name="_Toc136707912"/>
      <w:bookmarkEnd w:id="92"/>
      <w:bookmarkStart w:id="93" w:name="_Toc135205609"/>
      <w:bookmarkEnd w:id="93"/>
      <w:bookmarkStart w:id="94" w:name="_Toc135205634"/>
      <w:bookmarkEnd w:id="94"/>
      <w:bookmarkStart w:id="95" w:name="_Toc135205633"/>
      <w:bookmarkEnd w:id="95"/>
      <w:bookmarkStart w:id="96" w:name="_Toc135205622"/>
      <w:bookmarkEnd w:id="96"/>
      <w:bookmarkStart w:id="97" w:name="_Toc135995565"/>
      <w:bookmarkEnd w:id="97"/>
      <w:bookmarkStart w:id="98" w:name="_Toc135205610"/>
      <w:bookmarkEnd w:id="98"/>
      <w:bookmarkStart w:id="99" w:name="_Toc136707923"/>
      <w:bookmarkEnd w:id="99"/>
      <w:bookmarkStart w:id="100" w:name="_Toc136072271"/>
      <w:bookmarkEnd w:id="100"/>
      <w:bookmarkStart w:id="101" w:name="_Toc135205617"/>
      <w:bookmarkEnd w:id="101"/>
      <w:bookmarkStart w:id="102" w:name="_Toc136707935"/>
      <w:bookmarkEnd w:id="102"/>
      <w:bookmarkStart w:id="103" w:name="_Toc135995566"/>
      <w:bookmarkEnd w:id="103"/>
      <w:bookmarkStart w:id="104" w:name="_Toc136707928"/>
      <w:bookmarkEnd w:id="104"/>
      <w:bookmarkStart w:id="105" w:name="_Toc135205614"/>
      <w:bookmarkEnd w:id="105"/>
      <w:bookmarkStart w:id="106" w:name="_Toc136707930"/>
      <w:bookmarkEnd w:id="106"/>
      <w:bookmarkStart w:id="107" w:name="_Toc136707909"/>
      <w:bookmarkEnd w:id="107"/>
      <w:bookmarkStart w:id="108" w:name="_Toc135205629"/>
      <w:bookmarkEnd w:id="108"/>
      <w:bookmarkStart w:id="109" w:name="_Toc135205626"/>
      <w:bookmarkEnd w:id="109"/>
      <w:bookmarkStart w:id="110" w:name="_Toc136707927"/>
      <w:bookmarkEnd w:id="110"/>
      <w:bookmarkStart w:id="111" w:name="_Toc136707931"/>
      <w:bookmarkEnd w:id="111"/>
      <w:bookmarkStart w:id="112" w:name="_Toc136707920"/>
      <w:bookmarkEnd w:id="112"/>
      <w:bookmarkStart w:id="113" w:name="_Toc136707925"/>
      <w:bookmarkEnd w:id="113"/>
      <w:bookmarkStart w:id="114" w:name="_Toc135205620"/>
      <w:bookmarkEnd w:id="114"/>
      <w:bookmarkStart w:id="115" w:name="_Toc136707938"/>
      <w:bookmarkEnd w:id="115"/>
      <w:bookmarkStart w:id="116" w:name="_Toc136707926"/>
      <w:bookmarkEnd w:id="116"/>
      <w:bookmarkStart w:id="117" w:name="_Toc136707913"/>
      <w:bookmarkEnd w:id="117"/>
      <w:bookmarkStart w:id="118" w:name="_Toc136072272"/>
      <w:bookmarkEnd w:id="118"/>
      <w:bookmarkStart w:id="119" w:name="_Toc136707922"/>
      <w:bookmarkEnd w:id="119"/>
      <w:bookmarkStart w:id="120" w:name="_Toc136707914"/>
      <w:bookmarkEnd w:id="120"/>
      <w:bookmarkStart w:id="121" w:name="_Toc136707918"/>
      <w:bookmarkEnd w:id="121"/>
      <w:bookmarkStart w:id="122" w:name="_Toc136072270"/>
      <w:bookmarkEnd w:id="122"/>
      <w:bookmarkStart w:id="123" w:name="_Toc136707932"/>
      <w:bookmarkEnd w:id="123"/>
      <w:bookmarkStart w:id="124" w:name="_Toc136707915"/>
      <w:bookmarkEnd w:id="124"/>
      <w:bookmarkStart w:id="125" w:name="_Toc136707929"/>
      <w:bookmarkEnd w:id="125"/>
      <w:bookmarkStart w:id="126" w:name="_Toc136707936"/>
      <w:bookmarkEnd w:id="126"/>
      <w:bookmarkStart w:id="127" w:name="_Toc136707934"/>
      <w:bookmarkEnd w:id="127"/>
      <w:bookmarkStart w:id="128" w:name="_Toc136707924"/>
      <w:bookmarkEnd w:id="128"/>
      <w:bookmarkStart w:id="129" w:name="_Toc136707919"/>
      <w:bookmarkEnd w:id="129"/>
      <w:bookmarkStart w:id="130" w:name="_Toc136707921"/>
      <w:bookmarkEnd w:id="130"/>
      <w:bookmarkStart w:id="131" w:name="_Toc136707933"/>
      <w:bookmarkEnd w:id="131"/>
      <w:bookmarkStart w:id="132" w:name="_Toc136072278"/>
      <w:bookmarkEnd w:id="132"/>
      <w:bookmarkStart w:id="133" w:name="_Toc135995572"/>
      <w:bookmarkEnd w:id="133"/>
      <w:bookmarkStart w:id="134" w:name="_Toc136707917"/>
      <w:bookmarkEnd w:id="134"/>
      <w:bookmarkStart w:id="135" w:name="_Toc136707937"/>
      <w:bookmarkEnd w:id="135"/>
      <w:bookmarkStart w:id="136" w:name="_Toc136072276"/>
      <w:bookmarkEnd w:id="136"/>
      <w:bookmarkStart w:id="137" w:name="_Toc136707947"/>
      <w:bookmarkEnd w:id="137"/>
      <w:bookmarkStart w:id="138" w:name="_Toc136707916"/>
      <w:bookmarkEnd w:id="138"/>
      <w:bookmarkStart w:id="139" w:name="_Toc136707939"/>
      <w:bookmarkEnd w:id="139"/>
      <w:bookmarkStart w:id="140" w:name="_Toc136072275"/>
      <w:bookmarkEnd w:id="140"/>
      <w:bookmarkStart w:id="141" w:name="_Toc136707942"/>
      <w:bookmarkEnd w:id="141"/>
      <w:bookmarkStart w:id="142" w:name="_Toc135995573"/>
      <w:bookmarkEnd w:id="142"/>
      <w:bookmarkStart w:id="143" w:name="_Toc135188682"/>
      <w:bookmarkEnd w:id="143"/>
      <w:bookmarkStart w:id="144" w:name="_Toc136707941"/>
      <w:bookmarkEnd w:id="144"/>
      <w:bookmarkStart w:id="145" w:name="_Toc135995564"/>
      <w:bookmarkEnd w:id="145"/>
      <w:bookmarkStart w:id="146" w:name="_Toc135188705"/>
      <w:bookmarkEnd w:id="146"/>
      <w:bookmarkStart w:id="147" w:name="_Toc135995571"/>
      <w:bookmarkEnd w:id="147"/>
      <w:bookmarkStart w:id="148" w:name="_Toc136707944"/>
      <w:bookmarkEnd w:id="148"/>
      <w:bookmarkStart w:id="149" w:name="_Toc136072274"/>
      <w:bookmarkEnd w:id="149"/>
      <w:bookmarkStart w:id="150" w:name="_Toc136707940"/>
      <w:bookmarkEnd w:id="150"/>
      <w:bookmarkStart w:id="151" w:name="_Toc136072273"/>
      <w:bookmarkEnd w:id="151"/>
      <w:bookmarkStart w:id="152" w:name="_Toc136707859"/>
      <w:bookmarkEnd w:id="152"/>
      <w:bookmarkStart w:id="153" w:name="_Toc136707946"/>
      <w:bookmarkEnd w:id="153"/>
      <w:bookmarkStart w:id="154" w:name="_Toc135995574"/>
      <w:bookmarkEnd w:id="154"/>
      <w:bookmarkStart w:id="155" w:name="_Toc135205470"/>
      <w:bookmarkEnd w:id="155"/>
      <w:bookmarkStart w:id="156" w:name="_Toc135205497"/>
      <w:bookmarkEnd w:id="156"/>
      <w:bookmarkStart w:id="157" w:name="_Toc135188698"/>
      <w:bookmarkEnd w:id="157"/>
      <w:bookmarkStart w:id="158" w:name="_Toc135188686"/>
      <w:bookmarkEnd w:id="158"/>
      <w:bookmarkStart w:id="159" w:name="_Toc135188696"/>
      <w:bookmarkEnd w:id="159"/>
      <w:bookmarkStart w:id="160" w:name="_Toc136707861"/>
      <w:bookmarkEnd w:id="160"/>
      <w:bookmarkStart w:id="161" w:name="_Toc135205475"/>
      <w:bookmarkEnd w:id="161"/>
      <w:bookmarkStart w:id="162" w:name="_Toc135205476"/>
      <w:bookmarkEnd w:id="162"/>
      <w:bookmarkStart w:id="163" w:name="_Toc135188712"/>
      <w:bookmarkEnd w:id="163"/>
      <w:bookmarkStart w:id="164" w:name="_Toc135205471"/>
      <w:bookmarkEnd w:id="164"/>
      <w:bookmarkStart w:id="165" w:name="_Toc135188704"/>
      <w:bookmarkEnd w:id="165"/>
      <w:bookmarkStart w:id="166" w:name="_Toc135205499"/>
      <w:bookmarkEnd w:id="166"/>
      <w:bookmarkStart w:id="167" w:name="_Toc135205496"/>
      <w:bookmarkEnd w:id="167"/>
      <w:bookmarkStart w:id="168" w:name="_Toc135205469"/>
      <w:bookmarkEnd w:id="168"/>
      <w:bookmarkStart w:id="169" w:name="_Toc135188709"/>
      <w:bookmarkEnd w:id="169"/>
      <w:bookmarkStart w:id="170" w:name="_Toc135188699"/>
      <w:bookmarkEnd w:id="170"/>
      <w:bookmarkStart w:id="171" w:name="_Toc136707860"/>
      <w:bookmarkEnd w:id="171"/>
      <w:bookmarkStart w:id="172" w:name="_Toc135995567"/>
      <w:bookmarkEnd w:id="172"/>
      <w:bookmarkStart w:id="173" w:name="_Toc135188697"/>
      <w:bookmarkEnd w:id="173"/>
      <w:bookmarkStart w:id="174" w:name="_Toc135188708"/>
      <w:bookmarkEnd w:id="174"/>
      <w:bookmarkStart w:id="175" w:name="_Toc135205489"/>
      <w:bookmarkEnd w:id="175"/>
      <w:bookmarkStart w:id="176" w:name="_Toc135188703"/>
      <w:bookmarkEnd w:id="176"/>
      <w:bookmarkStart w:id="177" w:name="_Toc135205485"/>
      <w:bookmarkEnd w:id="177"/>
      <w:bookmarkStart w:id="178" w:name="_Toc136707862"/>
      <w:bookmarkEnd w:id="178"/>
      <w:bookmarkStart w:id="179" w:name="_Toc135205490"/>
      <w:bookmarkEnd w:id="179"/>
      <w:bookmarkStart w:id="180" w:name="_Toc135188710"/>
      <w:bookmarkEnd w:id="180"/>
      <w:bookmarkStart w:id="181" w:name="_Toc135188706"/>
      <w:bookmarkEnd w:id="181"/>
      <w:bookmarkStart w:id="182" w:name="_Toc131250680"/>
      <w:bookmarkEnd w:id="182"/>
      <w:bookmarkStart w:id="183" w:name="_Toc135205488"/>
      <w:bookmarkEnd w:id="183"/>
      <w:bookmarkStart w:id="184" w:name="_Toc135188689"/>
      <w:bookmarkEnd w:id="184"/>
      <w:bookmarkStart w:id="185" w:name="_Toc135205482"/>
      <w:bookmarkEnd w:id="185"/>
      <w:bookmarkStart w:id="186" w:name="_Toc135188702"/>
      <w:bookmarkEnd w:id="186"/>
      <w:bookmarkStart w:id="187" w:name="_Toc135205484"/>
      <w:bookmarkEnd w:id="187"/>
      <w:bookmarkStart w:id="188" w:name="_Toc135205494"/>
      <w:bookmarkEnd w:id="188"/>
      <w:bookmarkStart w:id="189" w:name="_Toc135205500"/>
      <w:bookmarkEnd w:id="189"/>
      <w:bookmarkStart w:id="190" w:name="_Toc135995582"/>
      <w:bookmarkEnd w:id="190"/>
      <w:bookmarkStart w:id="191" w:name="_Toc135205495"/>
      <w:bookmarkEnd w:id="191"/>
      <w:bookmarkStart w:id="192" w:name="_Toc135205483"/>
      <w:bookmarkEnd w:id="192"/>
      <w:bookmarkStart w:id="193" w:name="_Toc125888295"/>
      <w:bookmarkEnd w:id="193"/>
      <w:bookmarkStart w:id="194" w:name="_Toc135188714"/>
      <w:bookmarkEnd w:id="194"/>
      <w:bookmarkStart w:id="195" w:name="_Toc135205498"/>
      <w:bookmarkEnd w:id="195"/>
      <w:bookmarkStart w:id="196" w:name="_Toc135188711"/>
      <w:bookmarkEnd w:id="196"/>
      <w:bookmarkStart w:id="197" w:name="_Toc135205492"/>
      <w:bookmarkEnd w:id="197"/>
      <w:bookmarkStart w:id="198" w:name="_Toc135205491"/>
      <w:bookmarkEnd w:id="198"/>
      <w:bookmarkStart w:id="199" w:name="_Toc135188713"/>
      <w:bookmarkEnd w:id="199"/>
      <w:bookmarkStart w:id="200" w:name="_Toc136072286"/>
      <w:bookmarkEnd w:id="200"/>
      <w:bookmarkStart w:id="201" w:name="_Toc135205638"/>
      <w:bookmarkEnd w:id="201"/>
      <w:bookmarkStart w:id="202" w:name="_Toc135205641"/>
      <w:bookmarkEnd w:id="202"/>
      <w:bookmarkStart w:id="203" w:name="_Toc136072287"/>
      <w:bookmarkEnd w:id="203"/>
      <w:bookmarkStart w:id="204" w:name="_Toc135995580"/>
      <w:bookmarkEnd w:id="204"/>
      <w:bookmarkStart w:id="205" w:name="_Toc136072289"/>
      <w:bookmarkEnd w:id="205"/>
      <w:bookmarkStart w:id="206" w:name="_Toc136072284"/>
      <w:bookmarkEnd w:id="206"/>
      <w:bookmarkStart w:id="207" w:name="_Toc136072290"/>
      <w:bookmarkEnd w:id="207"/>
      <w:bookmarkStart w:id="208" w:name="_Toc136707956"/>
      <w:bookmarkEnd w:id="208"/>
      <w:bookmarkStart w:id="209" w:name="_Toc136707952"/>
      <w:bookmarkEnd w:id="209"/>
      <w:bookmarkStart w:id="210" w:name="_Toc136707954"/>
      <w:bookmarkEnd w:id="210"/>
      <w:bookmarkStart w:id="211" w:name="_Toc136072296"/>
      <w:bookmarkEnd w:id="211"/>
      <w:bookmarkStart w:id="212" w:name="_Toc135995584"/>
      <w:bookmarkEnd w:id="212"/>
      <w:bookmarkStart w:id="213" w:name="_Toc136707963"/>
      <w:bookmarkEnd w:id="213"/>
      <w:bookmarkStart w:id="214" w:name="_Toc135205637"/>
      <w:bookmarkEnd w:id="214"/>
      <w:bookmarkStart w:id="215" w:name="_Toc135205655"/>
      <w:bookmarkEnd w:id="215"/>
      <w:bookmarkStart w:id="216" w:name="_Toc135299606"/>
      <w:bookmarkEnd w:id="216"/>
      <w:bookmarkStart w:id="217" w:name="_Toc135995579"/>
      <w:bookmarkEnd w:id="217"/>
      <w:bookmarkStart w:id="218" w:name="_Toc135995583"/>
      <w:bookmarkEnd w:id="218"/>
      <w:bookmarkStart w:id="219" w:name="_Toc135995581"/>
      <w:bookmarkEnd w:id="219"/>
      <w:bookmarkStart w:id="220" w:name="_Toc135205640"/>
      <w:bookmarkEnd w:id="220"/>
      <w:bookmarkStart w:id="221" w:name="_Toc136707951"/>
      <w:bookmarkEnd w:id="221"/>
      <w:bookmarkStart w:id="222" w:name="_Toc136072283"/>
      <w:bookmarkEnd w:id="222"/>
      <w:bookmarkStart w:id="223" w:name="_Toc136707955"/>
      <w:bookmarkEnd w:id="223"/>
      <w:bookmarkStart w:id="224" w:name="_Toc136707957"/>
      <w:bookmarkEnd w:id="224"/>
      <w:bookmarkStart w:id="225" w:name="_Toc136707953"/>
      <w:bookmarkEnd w:id="225"/>
      <w:bookmarkStart w:id="226" w:name="_Toc135205660"/>
      <w:bookmarkEnd w:id="226"/>
      <w:bookmarkStart w:id="227" w:name="_Toc136072288"/>
      <w:bookmarkEnd w:id="227"/>
      <w:bookmarkStart w:id="228" w:name="_Toc136707950"/>
      <w:bookmarkEnd w:id="228"/>
      <w:bookmarkStart w:id="229" w:name="_Toc135205652"/>
      <w:bookmarkEnd w:id="229"/>
      <w:bookmarkStart w:id="230" w:name="_Toc136072285"/>
      <w:bookmarkEnd w:id="230"/>
      <w:bookmarkStart w:id="231" w:name="_Toc135205639"/>
      <w:bookmarkEnd w:id="231"/>
      <w:bookmarkStart w:id="232" w:name="_Toc135205656"/>
      <w:bookmarkEnd w:id="232"/>
      <w:bookmarkStart w:id="233" w:name="_Toc135995578"/>
      <w:bookmarkEnd w:id="233"/>
      <w:bookmarkStart w:id="234" w:name="_Toc135205653"/>
      <w:bookmarkEnd w:id="234"/>
      <w:bookmarkStart w:id="235" w:name="_Toc135205657"/>
      <w:bookmarkEnd w:id="235"/>
      <w:bookmarkStart w:id="236" w:name="_Toc135188841"/>
      <w:bookmarkEnd w:id="236"/>
      <w:bookmarkStart w:id="237" w:name="_Toc135188831"/>
      <w:bookmarkEnd w:id="237"/>
      <w:bookmarkStart w:id="238" w:name="_Toc135205651"/>
      <w:bookmarkEnd w:id="238"/>
      <w:bookmarkStart w:id="239" w:name="_Toc135205662"/>
      <w:bookmarkEnd w:id="239"/>
      <w:bookmarkStart w:id="240" w:name="_Toc135205650"/>
      <w:bookmarkEnd w:id="240"/>
      <w:bookmarkStart w:id="241" w:name="_Toc136072297"/>
      <w:bookmarkEnd w:id="241"/>
      <w:bookmarkStart w:id="242" w:name="_Toc135205654"/>
      <w:bookmarkEnd w:id="242"/>
      <w:bookmarkStart w:id="243" w:name="_Toc135188838"/>
      <w:bookmarkEnd w:id="243"/>
      <w:bookmarkStart w:id="244" w:name="_Toc135188839"/>
      <w:bookmarkEnd w:id="244"/>
      <w:bookmarkStart w:id="245" w:name="_Toc135205663"/>
      <w:bookmarkEnd w:id="245"/>
      <w:bookmarkStart w:id="246" w:name="_Toc135188833"/>
      <w:bookmarkEnd w:id="246"/>
      <w:bookmarkStart w:id="247" w:name="_Toc135205661"/>
      <w:bookmarkEnd w:id="247"/>
      <w:bookmarkStart w:id="248" w:name="_Toc135188832"/>
      <w:bookmarkEnd w:id="248"/>
      <w:bookmarkStart w:id="249" w:name="_Toc135205666"/>
      <w:bookmarkEnd w:id="249"/>
      <w:bookmarkStart w:id="250" w:name="_Toc135205664"/>
      <w:bookmarkEnd w:id="250"/>
      <w:bookmarkStart w:id="251" w:name="_Toc136707964"/>
      <w:bookmarkEnd w:id="251"/>
      <w:bookmarkStart w:id="252" w:name="_Toc135188837"/>
      <w:bookmarkEnd w:id="252"/>
      <w:bookmarkStart w:id="253" w:name="_Toc135188842"/>
      <w:bookmarkEnd w:id="253"/>
      <w:bookmarkStart w:id="254" w:name="_Toc135995590"/>
      <w:bookmarkEnd w:id="254"/>
      <w:bookmarkStart w:id="255" w:name="_Toc135205667"/>
      <w:bookmarkEnd w:id="255"/>
      <w:bookmarkStart w:id="256" w:name="_Toc136072226"/>
      <w:bookmarkEnd w:id="256"/>
      <w:bookmarkStart w:id="257" w:name="_Toc135205659"/>
      <w:bookmarkEnd w:id="257"/>
      <w:bookmarkStart w:id="258" w:name="_Toc135188830"/>
      <w:bookmarkEnd w:id="258"/>
      <w:bookmarkStart w:id="259" w:name="_Toc135205658"/>
      <w:bookmarkEnd w:id="259"/>
      <w:bookmarkStart w:id="260" w:name="_Toc135188840"/>
      <w:bookmarkEnd w:id="260"/>
      <w:bookmarkStart w:id="261" w:name="_Toc135188836"/>
      <w:bookmarkEnd w:id="261"/>
      <w:bookmarkStart w:id="262" w:name="_Toc135205674"/>
      <w:bookmarkEnd w:id="262"/>
      <w:bookmarkStart w:id="263" w:name="_Toc135188729"/>
      <w:bookmarkEnd w:id="263"/>
      <w:bookmarkStart w:id="264" w:name="_Toc135188728"/>
      <w:bookmarkEnd w:id="264"/>
      <w:bookmarkStart w:id="265" w:name="_Toc136707867"/>
      <w:bookmarkEnd w:id="265"/>
      <w:bookmarkStart w:id="266" w:name="_Toc135205673"/>
      <w:bookmarkEnd w:id="266"/>
      <w:bookmarkStart w:id="267" w:name="_Toc135205672"/>
      <w:bookmarkEnd w:id="267"/>
      <w:bookmarkStart w:id="268" w:name="_Toc135205675"/>
      <w:bookmarkEnd w:id="268"/>
      <w:bookmarkStart w:id="269" w:name="_Toc135205523"/>
      <w:bookmarkEnd w:id="269"/>
      <w:bookmarkStart w:id="270" w:name="_Toc135188834"/>
      <w:bookmarkEnd w:id="270"/>
      <w:bookmarkStart w:id="271" w:name="_Toc135205668"/>
      <w:bookmarkEnd w:id="271"/>
      <w:bookmarkStart w:id="272" w:name="_Toc135205524"/>
      <w:bookmarkEnd w:id="272"/>
      <w:bookmarkStart w:id="273" w:name="_Toc135205525"/>
      <w:bookmarkEnd w:id="273"/>
      <w:bookmarkStart w:id="274" w:name="_Toc135205676"/>
      <w:bookmarkEnd w:id="274"/>
      <w:bookmarkStart w:id="275" w:name="_Toc135188835"/>
      <w:bookmarkEnd w:id="275"/>
      <w:bookmarkStart w:id="276" w:name="_Toc135188736"/>
      <w:bookmarkEnd w:id="276"/>
      <w:bookmarkStart w:id="277" w:name="_Toc136072227"/>
      <w:bookmarkEnd w:id="277"/>
      <w:bookmarkStart w:id="278" w:name="_Toc135205671"/>
      <w:bookmarkEnd w:id="278"/>
      <w:bookmarkStart w:id="279" w:name="_Toc135205670"/>
      <w:bookmarkEnd w:id="279"/>
      <w:bookmarkStart w:id="280" w:name="_Toc135205520"/>
      <w:bookmarkEnd w:id="280"/>
      <w:bookmarkStart w:id="281" w:name="_Toc135205518"/>
      <w:bookmarkEnd w:id="281"/>
      <w:bookmarkStart w:id="282" w:name="_Toc136707868"/>
      <w:bookmarkEnd w:id="282"/>
      <w:bookmarkStart w:id="283" w:name="_Toc135995521"/>
      <w:bookmarkEnd w:id="283"/>
      <w:bookmarkStart w:id="284" w:name="_Toc135188739"/>
      <w:bookmarkEnd w:id="284"/>
      <w:bookmarkStart w:id="285" w:name="_Toc135188735"/>
      <w:bookmarkEnd w:id="285"/>
      <w:bookmarkStart w:id="286" w:name="_Toc135188726"/>
      <w:bookmarkEnd w:id="286"/>
      <w:bookmarkStart w:id="287" w:name="_Toc135205512"/>
      <w:bookmarkEnd w:id="287"/>
      <w:bookmarkStart w:id="288" w:name="_Toc135205527"/>
      <w:bookmarkEnd w:id="288"/>
      <w:bookmarkStart w:id="289" w:name="_Toc135205522"/>
      <w:bookmarkEnd w:id="289"/>
      <w:bookmarkStart w:id="290" w:name="_Toc135188652"/>
      <w:bookmarkEnd w:id="290"/>
      <w:bookmarkStart w:id="291" w:name="_Toc135188738"/>
      <w:bookmarkEnd w:id="291"/>
      <w:bookmarkStart w:id="292" w:name="_Toc135205513"/>
      <w:bookmarkEnd w:id="292"/>
      <w:bookmarkStart w:id="293" w:name="_Toc135188741"/>
      <w:bookmarkEnd w:id="293"/>
      <w:bookmarkStart w:id="294" w:name="_Toc135205437"/>
      <w:bookmarkEnd w:id="294"/>
      <w:bookmarkStart w:id="295" w:name="_Toc135188740"/>
      <w:bookmarkEnd w:id="295"/>
      <w:bookmarkStart w:id="296" w:name="_Toc135205515"/>
      <w:bookmarkEnd w:id="296"/>
      <w:bookmarkStart w:id="297" w:name="_Toc135205442"/>
      <w:bookmarkEnd w:id="297"/>
      <w:bookmarkStart w:id="298" w:name="_Toc135188732"/>
      <w:bookmarkEnd w:id="298"/>
      <w:bookmarkStart w:id="299" w:name="_Toc135205526"/>
      <w:bookmarkEnd w:id="299"/>
      <w:bookmarkStart w:id="300" w:name="_Toc135205441"/>
      <w:bookmarkEnd w:id="300"/>
      <w:bookmarkStart w:id="301" w:name="_Toc135205514"/>
      <w:bookmarkEnd w:id="301"/>
      <w:bookmarkStart w:id="302" w:name="_Toc135188751"/>
      <w:bookmarkEnd w:id="302"/>
      <w:bookmarkStart w:id="303" w:name="_Toc135188749"/>
      <w:bookmarkEnd w:id="303"/>
      <w:bookmarkStart w:id="304" w:name="_Toc135299570"/>
      <w:bookmarkEnd w:id="304"/>
      <w:bookmarkStart w:id="305" w:name="_Toc135995526"/>
      <w:bookmarkEnd w:id="305"/>
      <w:bookmarkStart w:id="306" w:name="_Toc135188721"/>
      <w:bookmarkEnd w:id="306"/>
      <w:bookmarkStart w:id="307" w:name="_Toc135995523"/>
      <w:bookmarkEnd w:id="307"/>
      <w:bookmarkStart w:id="308" w:name="_Toc135188734"/>
      <w:bookmarkEnd w:id="308"/>
      <w:bookmarkStart w:id="309" w:name="_Toc135995522"/>
      <w:bookmarkEnd w:id="309"/>
      <w:bookmarkStart w:id="310" w:name="_Toc135299573"/>
      <w:bookmarkEnd w:id="310"/>
      <w:bookmarkStart w:id="311" w:name="_Toc135299568"/>
      <w:bookmarkEnd w:id="311"/>
      <w:bookmarkStart w:id="312" w:name="_Toc135299577"/>
      <w:bookmarkEnd w:id="312"/>
      <w:bookmarkStart w:id="313" w:name="bt使用说明"/>
      <w:bookmarkEnd w:id="313"/>
      <w:bookmarkStart w:id="314" w:name="_Toc135299571"/>
      <w:bookmarkEnd w:id="314"/>
      <w:bookmarkStart w:id="315" w:name="_Toc135299576"/>
      <w:bookmarkEnd w:id="315"/>
      <w:bookmarkStart w:id="316" w:name="_Toc135205540"/>
      <w:bookmarkEnd w:id="316"/>
      <w:bookmarkStart w:id="317" w:name="_Toc135299581"/>
      <w:bookmarkEnd w:id="317"/>
      <w:bookmarkStart w:id="318" w:name="_Toc136707878"/>
      <w:bookmarkEnd w:id="318"/>
      <w:bookmarkStart w:id="319" w:name="_Toc135299582"/>
      <w:bookmarkEnd w:id="319"/>
      <w:bookmarkStart w:id="320" w:name="_Toc135299580"/>
      <w:bookmarkEnd w:id="320"/>
      <w:bookmarkStart w:id="321" w:name="_Toc135188752"/>
      <w:bookmarkEnd w:id="321"/>
      <w:bookmarkStart w:id="322" w:name="_Toc136707873"/>
      <w:bookmarkEnd w:id="322"/>
      <w:bookmarkStart w:id="323" w:name="_Toc136707872"/>
      <w:bookmarkEnd w:id="323"/>
      <w:bookmarkStart w:id="324" w:name="_Toc136072232"/>
      <w:bookmarkEnd w:id="324"/>
      <w:bookmarkStart w:id="325" w:name="_Toc135205529"/>
      <w:bookmarkEnd w:id="325"/>
      <w:bookmarkStart w:id="326" w:name="_Toc135299579"/>
      <w:bookmarkEnd w:id="326"/>
      <w:bookmarkStart w:id="327" w:name="_Toc135188750"/>
      <w:bookmarkEnd w:id="327"/>
      <w:bookmarkStart w:id="328" w:name="_Toc135299583"/>
      <w:bookmarkEnd w:id="328"/>
      <w:bookmarkStart w:id="329" w:name="_Toc135205536"/>
      <w:bookmarkEnd w:id="329"/>
      <w:bookmarkStart w:id="330" w:name="_Toc135205535"/>
      <w:bookmarkEnd w:id="330"/>
      <w:bookmarkStart w:id="331" w:name="_Toc135188753"/>
      <w:bookmarkEnd w:id="331"/>
      <w:bookmarkStart w:id="332" w:name="_Toc136072229"/>
      <w:bookmarkEnd w:id="332"/>
      <w:bookmarkStart w:id="333" w:name="_Toc135188743"/>
      <w:bookmarkEnd w:id="333"/>
      <w:bookmarkStart w:id="334" w:name="_Toc135188754"/>
      <w:bookmarkEnd w:id="334"/>
      <w:bookmarkStart w:id="335" w:name="_Toc135299569"/>
      <w:bookmarkEnd w:id="335"/>
      <w:bookmarkStart w:id="336" w:name="_Toc135299584"/>
      <w:bookmarkEnd w:id="336"/>
      <w:bookmarkStart w:id="337" w:name="_Toc135995534"/>
      <w:bookmarkEnd w:id="337"/>
      <w:bookmarkStart w:id="338" w:name="_Toc136072237"/>
      <w:bookmarkEnd w:id="338"/>
      <w:bookmarkStart w:id="339" w:name="_Toc136072239"/>
      <w:bookmarkEnd w:id="339"/>
      <w:bookmarkStart w:id="340" w:name="_Toc136072238"/>
      <w:bookmarkEnd w:id="340"/>
      <w:bookmarkStart w:id="341" w:name="_Toc136707879"/>
      <w:bookmarkEnd w:id="341"/>
      <w:bookmarkStart w:id="342" w:name="_Toc136707883"/>
      <w:bookmarkEnd w:id="342"/>
      <w:bookmarkStart w:id="343" w:name="_Toc135205503"/>
      <w:bookmarkEnd w:id="343"/>
      <w:bookmarkStart w:id="344" w:name="_Toc135205538"/>
      <w:bookmarkEnd w:id="344"/>
      <w:bookmarkStart w:id="345" w:name="_Toc135995531"/>
      <w:bookmarkEnd w:id="345"/>
      <w:bookmarkStart w:id="346" w:name="_Toc136072236"/>
      <w:bookmarkEnd w:id="346"/>
      <w:bookmarkStart w:id="347" w:name="_Toc135205537"/>
      <w:bookmarkEnd w:id="347"/>
      <w:bookmarkStart w:id="348" w:name="_Toc135188716"/>
      <w:bookmarkEnd w:id="348"/>
      <w:bookmarkStart w:id="349" w:name="_Toc136707881"/>
      <w:bookmarkEnd w:id="349"/>
      <w:bookmarkStart w:id="350" w:name="_Toc135995532"/>
      <w:bookmarkEnd w:id="350"/>
      <w:bookmarkStart w:id="351" w:name="_Toc135205505"/>
      <w:bookmarkEnd w:id="351"/>
      <w:bookmarkStart w:id="352" w:name="_Toc135188718"/>
      <w:bookmarkEnd w:id="352"/>
      <w:bookmarkStart w:id="353" w:name="_Toc135299574"/>
      <w:bookmarkEnd w:id="353"/>
      <w:bookmarkStart w:id="354" w:name="_Toc135205506"/>
      <w:bookmarkEnd w:id="354"/>
      <w:bookmarkStart w:id="355" w:name="_Toc135188720"/>
      <w:bookmarkEnd w:id="355"/>
      <w:bookmarkStart w:id="356" w:name="_Toc135188719"/>
      <w:bookmarkEnd w:id="356"/>
      <w:bookmarkStart w:id="357" w:name="_Toc135188715"/>
      <w:bookmarkEnd w:id="357"/>
      <w:bookmarkStart w:id="358" w:name="_Toc136072240"/>
      <w:bookmarkEnd w:id="358"/>
      <w:bookmarkStart w:id="359" w:name="_Toc135205504"/>
      <w:bookmarkEnd w:id="359"/>
      <w:bookmarkStart w:id="360" w:name="_Toc135205502"/>
      <w:bookmarkEnd w:id="360"/>
      <w:bookmarkStart w:id="361" w:name="_Toc135995530"/>
      <w:bookmarkEnd w:id="361"/>
      <w:bookmarkStart w:id="362" w:name="_Toc135188725"/>
      <w:bookmarkEnd w:id="362"/>
      <w:bookmarkStart w:id="363" w:name="_Toc135188717"/>
      <w:bookmarkEnd w:id="363"/>
      <w:bookmarkStart w:id="364" w:name="_Toc135205509"/>
      <w:bookmarkEnd w:id="364"/>
      <w:bookmarkStart w:id="365" w:name="_Toc135205539"/>
      <w:bookmarkEnd w:id="365"/>
      <w:bookmarkStart w:id="366" w:name="_Toc135205501"/>
      <w:bookmarkEnd w:id="366"/>
      <w:bookmarkStart w:id="367" w:name="_Toc135205511"/>
      <w:bookmarkEnd w:id="367"/>
      <w:bookmarkStart w:id="368" w:name="_Toc135188760"/>
      <w:bookmarkEnd w:id="368"/>
      <w:bookmarkStart w:id="369" w:name="_Toc136707897"/>
      <w:bookmarkEnd w:id="369"/>
      <w:bookmarkStart w:id="370" w:name="_Toc127099527"/>
      <w:bookmarkEnd w:id="370"/>
      <w:bookmarkStart w:id="371" w:name="_Toc135188722"/>
      <w:bookmarkEnd w:id="371"/>
      <w:bookmarkStart w:id="372" w:name="_Toc135995544"/>
      <w:bookmarkEnd w:id="372"/>
      <w:bookmarkStart w:id="373" w:name="_Toc136707896"/>
      <w:bookmarkEnd w:id="373"/>
      <w:bookmarkStart w:id="374" w:name="_Toc135188723"/>
      <w:bookmarkEnd w:id="374"/>
      <w:bookmarkStart w:id="375" w:name="_Toc135205510"/>
      <w:bookmarkEnd w:id="375"/>
      <w:bookmarkStart w:id="376" w:name="_Toc136072249"/>
      <w:bookmarkEnd w:id="376"/>
      <w:bookmarkStart w:id="377" w:name="_Toc136072250"/>
      <w:bookmarkEnd w:id="377"/>
      <w:bookmarkStart w:id="378" w:name="_Toc135188770"/>
      <w:bookmarkEnd w:id="378"/>
      <w:bookmarkStart w:id="379" w:name="_Toc135188767"/>
      <w:bookmarkEnd w:id="379"/>
      <w:bookmarkStart w:id="380" w:name="_Toc136072256"/>
      <w:bookmarkEnd w:id="380"/>
      <w:bookmarkStart w:id="381" w:name="_Toc135205546"/>
      <w:bookmarkEnd w:id="381"/>
      <w:bookmarkStart w:id="382" w:name="_Toc136072253"/>
      <w:bookmarkEnd w:id="382"/>
      <w:bookmarkStart w:id="383" w:name="_Toc136072255"/>
      <w:bookmarkEnd w:id="383"/>
      <w:bookmarkStart w:id="384" w:name="_Toc135188766"/>
      <w:bookmarkEnd w:id="384"/>
      <w:bookmarkStart w:id="385" w:name="_Toc135995547"/>
      <w:bookmarkEnd w:id="385"/>
      <w:bookmarkStart w:id="386" w:name="_Toc135205563"/>
      <w:bookmarkEnd w:id="386"/>
      <w:bookmarkStart w:id="387" w:name="_Toc135188761"/>
      <w:bookmarkEnd w:id="387"/>
      <w:bookmarkStart w:id="388" w:name="_Toc135205551"/>
      <w:bookmarkEnd w:id="388"/>
      <w:bookmarkStart w:id="389" w:name="_Toc135188765"/>
      <w:bookmarkEnd w:id="389"/>
      <w:bookmarkStart w:id="390" w:name="_Toc135205553"/>
      <w:bookmarkEnd w:id="390"/>
      <w:bookmarkStart w:id="391" w:name="_Toc135205550"/>
      <w:bookmarkEnd w:id="391"/>
      <w:bookmarkStart w:id="392" w:name="_Toc135188758"/>
      <w:bookmarkEnd w:id="392"/>
      <w:bookmarkStart w:id="393" w:name="_Toc135205561"/>
      <w:bookmarkEnd w:id="393"/>
      <w:bookmarkStart w:id="394" w:name="_Toc135205557"/>
      <w:bookmarkEnd w:id="394"/>
      <w:bookmarkStart w:id="395" w:name="_Toc135995549"/>
      <w:bookmarkEnd w:id="395"/>
      <w:bookmarkStart w:id="396" w:name="_Toc135188773"/>
      <w:bookmarkEnd w:id="396"/>
      <w:bookmarkStart w:id="397" w:name="_Toc135188763"/>
      <w:bookmarkEnd w:id="397"/>
      <w:bookmarkStart w:id="398" w:name="_Toc135205560"/>
      <w:bookmarkEnd w:id="398"/>
      <w:bookmarkStart w:id="399" w:name="_Toc135205558"/>
      <w:bookmarkEnd w:id="399"/>
      <w:bookmarkStart w:id="400" w:name="_Toc135205549"/>
      <w:bookmarkEnd w:id="400"/>
      <w:bookmarkStart w:id="401" w:name="_Toc135205562"/>
      <w:bookmarkEnd w:id="401"/>
      <w:bookmarkStart w:id="402" w:name="_Toc135205555"/>
      <w:bookmarkEnd w:id="402"/>
      <w:bookmarkStart w:id="403" w:name="_Toc135188778"/>
      <w:bookmarkEnd w:id="403"/>
      <w:bookmarkStart w:id="404" w:name="_Toc135188772"/>
      <w:bookmarkEnd w:id="404"/>
      <w:bookmarkStart w:id="405" w:name="_Toc135188771"/>
      <w:bookmarkEnd w:id="405"/>
      <w:bookmarkStart w:id="406" w:name="_Toc135205554"/>
      <w:bookmarkEnd w:id="406"/>
      <w:bookmarkStart w:id="407" w:name="_Toc135205548"/>
      <w:bookmarkEnd w:id="407"/>
      <w:bookmarkStart w:id="408" w:name="_Toc135188764"/>
      <w:bookmarkEnd w:id="408"/>
      <w:bookmarkStart w:id="409" w:name="_Toc135205574"/>
      <w:bookmarkEnd w:id="409"/>
      <w:bookmarkStart w:id="410" w:name="_Toc135205559"/>
      <w:bookmarkEnd w:id="410"/>
      <w:bookmarkStart w:id="411" w:name="_Toc135205568"/>
      <w:bookmarkEnd w:id="411"/>
      <w:bookmarkStart w:id="412" w:name="_Toc135205579"/>
      <w:bookmarkEnd w:id="412"/>
      <w:bookmarkStart w:id="413" w:name="_Toc135188775"/>
      <w:bookmarkEnd w:id="413"/>
      <w:bookmarkStart w:id="414" w:name="_Toc135205552"/>
      <w:bookmarkEnd w:id="414"/>
      <w:bookmarkStart w:id="415" w:name="_Toc135299575"/>
      <w:bookmarkEnd w:id="415"/>
      <w:bookmarkStart w:id="416" w:name="_Toc135995525"/>
      <w:bookmarkEnd w:id="416"/>
      <w:bookmarkStart w:id="417" w:name="_Toc135188724"/>
      <w:bookmarkEnd w:id="417"/>
      <w:bookmarkStart w:id="418" w:name="_Toc135188776"/>
      <w:bookmarkEnd w:id="418"/>
      <w:bookmarkStart w:id="419" w:name="_Toc135188777"/>
      <w:bookmarkEnd w:id="419"/>
      <w:bookmarkStart w:id="420" w:name="_Toc135205556"/>
      <w:bookmarkEnd w:id="420"/>
      <w:bookmarkStart w:id="421" w:name="_Toc135188768"/>
      <w:bookmarkEnd w:id="421"/>
      <w:bookmarkStart w:id="422" w:name="_Toc135188769"/>
      <w:bookmarkEnd w:id="422"/>
      <w:bookmarkStart w:id="423" w:name="_Toc135188774"/>
      <w:bookmarkEnd w:id="423"/>
      <w:bookmarkStart w:id="424" w:name="_Toc135995524"/>
      <w:bookmarkEnd w:id="424"/>
      <w:bookmarkStart w:id="425" w:name="_Toc135299578"/>
      <w:bookmarkEnd w:id="425"/>
      <w:bookmarkStart w:id="426" w:name="_Toc136072230"/>
      <w:bookmarkEnd w:id="426"/>
      <w:bookmarkStart w:id="427" w:name="_Toc136707870"/>
      <w:bookmarkEnd w:id="427"/>
      <w:bookmarkStart w:id="428" w:name="_Toc135205507"/>
      <w:bookmarkEnd w:id="428"/>
      <w:bookmarkStart w:id="429" w:name="_Toc136707882"/>
      <w:bookmarkEnd w:id="429"/>
      <w:bookmarkStart w:id="430" w:name="_Toc135299585"/>
      <w:bookmarkEnd w:id="430"/>
      <w:bookmarkStart w:id="431" w:name="_Toc136707869"/>
      <w:bookmarkEnd w:id="431"/>
      <w:bookmarkStart w:id="432" w:name="_Toc135188794"/>
      <w:bookmarkEnd w:id="432"/>
      <w:bookmarkStart w:id="433" w:name="_Toc135205578"/>
      <w:bookmarkEnd w:id="433"/>
      <w:bookmarkStart w:id="434" w:name="_Toc136072228"/>
      <w:bookmarkEnd w:id="434"/>
      <w:bookmarkStart w:id="435" w:name="_Toc135299572"/>
      <w:bookmarkEnd w:id="435"/>
      <w:bookmarkStart w:id="436" w:name="_Toc135205508"/>
      <w:bookmarkEnd w:id="436"/>
      <w:bookmarkStart w:id="437" w:name="_Toc136072231"/>
      <w:bookmarkEnd w:id="437"/>
      <w:bookmarkStart w:id="438" w:name="_Toc136707871"/>
      <w:bookmarkEnd w:id="438"/>
      <w:bookmarkStart w:id="439" w:name="_Toc135188792"/>
      <w:bookmarkEnd w:id="439"/>
      <w:bookmarkStart w:id="440" w:name="_Toc135188785"/>
      <w:bookmarkEnd w:id="440"/>
      <w:bookmarkStart w:id="441" w:name="_Toc135205575"/>
      <w:bookmarkEnd w:id="441"/>
      <w:bookmarkStart w:id="442" w:name="_Toc135205572"/>
      <w:bookmarkEnd w:id="442"/>
      <w:bookmarkStart w:id="443" w:name="_Toc135188780"/>
      <w:bookmarkEnd w:id="443"/>
      <w:bookmarkStart w:id="444" w:name="_Toc135188787"/>
      <w:bookmarkEnd w:id="444"/>
      <w:bookmarkStart w:id="445" w:name="_Toc135188809"/>
      <w:bookmarkEnd w:id="445"/>
      <w:bookmarkStart w:id="446" w:name="_Toc135995535"/>
      <w:bookmarkEnd w:id="446"/>
      <w:bookmarkStart w:id="447" w:name="_Toc135205567"/>
      <w:bookmarkEnd w:id="447"/>
      <w:bookmarkStart w:id="448" w:name="_Toc135205564"/>
      <w:bookmarkEnd w:id="448"/>
      <w:bookmarkStart w:id="449" w:name="_Toc135205577"/>
      <w:bookmarkEnd w:id="449"/>
      <w:bookmarkStart w:id="450" w:name="_Toc135205576"/>
      <w:bookmarkEnd w:id="450"/>
      <w:bookmarkStart w:id="451" w:name="_Toc136072242"/>
      <w:bookmarkEnd w:id="451"/>
      <w:bookmarkStart w:id="452" w:name="_Toc135205580"/>
      <w:bookmarkEnd w:id="452"/>
      <w:bookmarkStart w:id="453" w:name="_Toc135188789"/>
      <w:bookmarkEnd w:id="453"/>
      <w:bookmarkStart w:id="454" w:name="_Toc135995520"/>
      <w:bookmarkEnd w:id="454"/>
      <w:bookmarkStart w:id="455" w:name="_Toc135188657"/>
      <w:bookmarkEnd w:id="455"/>
      <w:bookmarkStart w:id="456" w:name="_Toc135188656"/>
      <w:bookmarkEnd w:id="456"/>
      <w:bookmarkStart w:id="457" w:name="_Toc135188737"/>
      <w:bookmarkEnd w:id="457"/>
      <w:bookmarkStart w:id="458" w:name="_Toc135188653"/>
      <w:bookmarkEnd w:id="458"/>
      <w:bookmarkStart w:id="459" w:name="_Toc135188727"/>
      <w:bookmarkEnd w:id="459"/>
      <w:bookmarkStart w:id="460" w:name="_Toc135188655"/>
      <w:bookmarkEnd w:id="460"/>
      <w:bookmarkStart w:id="461" w:name="_Toc510579297"/>
      <w:bookmarkEnd w:id="461"/>
      <w:bookmarkStart w:id="462" w:name="_Toc510579298"/>
      <w:bookmarkEnd w:id="462"/>
      <w:bookmarkStart w:id="463" w:name="_Toc136707845"/>
      <w:bookmarkEnd w:id="463"/>
      <w:bookmarkStart w:id="464" w:name="_Toc135205440"/>
      <w:bookmarkEnd w:id="464"/>
      <w:bookmarkStart w:id="465" w:name="_Toc150681647"/>
      <w:bookmarkEnd w:id="465"/>
      <w:bookmarkStart w:id="466" w:name="_Toc135205521"/>
      <w:bookmarkEnd w:id="466"/>
      <w:bookmarkStart w:id="467" w:name="_Toc135205438"/>
      <w:bookmarkEnd w:id="467"/>
      <w:bookmarkStart w:id="468" w:name="_Toc135188668"/>
      <w:bookmarkEnd w:id="468"/>
      <w:bookmarkStart w:id="469" w:name="_Toc135188666"/>
      <w:bookmarkEnd w:id="469"/>
      <w:bookmarkStart w:id="470" w:name="_Toc150670621"/>
      <w:bookmarkEnd w:id="470"/>
      <w:bookmarkStart w:id="471" w:name="_Toc135205447"/>
      <w:bookmarkEnd w:id="471"/>
      <w:bookmarkStart w:id="472" w:name="_Toc135205443"/>
      <w:bookmarkEnd w:id="472"/>
      <w:bookmarkStart w:id="473" w:name="_Toc135205451"/>
      <w:bookmarkEnd w:id="473"/>
      <w:bookmarkStart w:id="474" w:name="_Toc135205439"/>
      <w:bookmarkEnd w:id="474"/>
      <w:bookmarkStart w:id="475" w:name="_Toc135188658"/>
      <w:bookmarkEnd w:id="475"/>
      <w:bookmarkStart w:id="476" w:name="_Toc150746767"/>
      <w:bookmarkEnd w:id="476"/>
      <w:bookmarkStart w:id="477" w:name="_Toc135205452"/>
      <w:bookmarkEnd w:id="477"/>
      <w:bookmarkStart w:id="478" w:name="_Toc135188661"/>
      <w:bookmarkEnd w:id="478"/>
      <w:bookmarkStart w:id="479" w:name="_Toc135188659"/>
      <w:bookmarkEnd w:id="479"/>
      <w:bookmarkStart w:id="480" w:name="_Toc135188662"/>
      <w:bookmarkEnd w:id="480"/>
      <w:bookmarkStart w:id="481" w:name="_Toc135188667"/>
      <w:bookmarkEnd w:id="481"/>
      <w:bookmarkStart w:id="482" w:name="_Toc136707847"/>
      <w:bookmarkEnd w:id="482"/>
      <w:bookmarkStart w:id="483" w:name="_Toc135188651"/>
      <w:bookmarkEnd w:id="483"/>
      <w:bookmarkStart w:id="484" w:name="_Toc135205454"/>
      <w:bookmarkEnd w:id="484"/>
      <w:bookmarkStart w:id="485" w:name="_Toc136707843"/>
      <w:bookmarkEnd w:id="485"/>
      <w:bookmarkStart w:id="486" w:name="_Toc136707848"/>
      <w:bookmarkEnd w:id="486"/>
      <w:bookmarkStart w:id="487" w:name="_Toc135188672"/>
      <w:bookmarkEnd w:id="487"/>
      <w:bookmarkStart w:id="488" w:name="_Toc135188681"/>
      <w:bookmarkEnd w:id="488"/>
      <w:bookmarkStart w:id="489" w:name="_Toc136707850"/>
      <w:bookmarkEnd w:id="489"/>
      <w:bookmarkStart w:id="490" w:name="_Toc135188654"/>
      <w:bookmarkEnd w:id="490"/>
      <w:bookmarkStart w:id="491" w:name="_Toc136707846"/>
      <w:bookmarkEnd w:id="491"/>
      <w:bookmarkStart w:id="492" w:name="_Toc135205446"/>
      <w:bookmarkEnd w:id="492"/>
      <w:bookmarkStart w:id="493" w:name="_Toc135205450"/>
      <w:bookmarkEnd w:id="493"/>
      <w:bookmarkStart w:id="494" w:name="_Toc135205474"/>
      <w:bookmarkEnd w:id="494"/>
      <w:bookmarkStart w:id="495" w:name="_Toc135205459"/>
      <w:bookmarkEnd w:id="495"/>
      <w:bookmarkStart w:id="496" w:name="_Toc136707849"/>
      <w:bookmarkEnd w:id="496"/>
      <w:bookmarkStart w:id="497" w:name="_Toc136707844"/>
      <w:bookmarkEnd w:id="497"/>
      <w:bookmarkStart w:id="498" w:name="_Toc135188679"/>
      <w:bookmarkEnd w:id="498"/>
      <w:bookmarkStart w:id="499" w:name="_Toc135205461"/>
      <w:bookmarkEnd w:id="499"/>
      <w:bookmarkStart w:id="500" w:name="_Toc135188676"/>
      <w:bookmarkEnd w:id="500"/>
      <w:bookmarkStart w:id="501" w:name="_Toc135205464"/>
      <w:bookmarkEnd w:id="501"/>
      <w:bookmarkStart w:id="502" w:name="_Toc135188664"/>
      <w:bookmarkEnd w:id="502"/>
      <w:bookmarkStart w:id="503" w:name="_Toc135205466"/>
      <w:bookmarkEnd w:id="503"/>
      <w:bookmarkStart w:id="504" w:name="_Toc135205453"/>
      <w:bookmarkEnd w:id="504"/>
      <w:bookmarkStart w:id="505" w:name="_Toc135205444"/>
      <w:bookmarkEnd w:id="505"/>
      <w:bookmarkStart w:id="506" w:name="_Toc135205448"/>
      <w:bookmarkEnd w:id="506"/>
      <w:bookmarkStart w:id="507" w:name="_Toc135188678"/>
      <w:bookmarkEnd w:id="507"/>
      <w:bookmarkStart w:id="508" w:name="_Toc135205445"/>
      <w:bookmarkEnd w:id="508"/>
      <w:bookmarkStart w:id="509" w:name="_Toc136707852"/>
      <w:bookmarkEnd w:id="509"/>
      <w:bookmarkStart w:id="510" w:name="_Toc135188673"/>
      <w:bookmarkEnd w:id="510"/>
      <w:bookmarkStart w:id="511" w:name="_Toc135188675"/>
      <w:bookmarkEnd w:id="511"/>
      <w:bookmarkStart w:id="512" w:name="_Toc135205472"/>
      <w:bookmarkEnd w:id="512"/>
      <w:bookmarkStart w:id="513" w:name="_Toc135188690"/>
      <w:bookmarkEnd w:id="513"/>
      <w:bookmarkStart w:id="514" w:name="_Toc135205458"/>
      <w:bookmarkEnd w:id="514"/>
      <w:bookmarkStart w:id="515" w:name="_Toc135188683"/>
      <w:bookmarkEnd w:id="515"/>
      <w:bookmarkStart w:id="516" w:name="_Toc136707851"/>
      <w:bookmarkEnd w:id="516"/>
      <w:bookmarkStart w:id="517" w:name="_Toc135188660"/>
      <w:bookmarkEnd w:id="517"/>
      <w:bookmarkStart w:id="518" w:name="_Toc135188687"/>
      <w:bookmarkEnd w:id="518"/>
      <w:bookmarkStart w:id="519" w:name="_Toc135188680"/>
      <w:bookmarkEnd w:id="519"/>
      <w:bookmarkStart w:id="520" w:name="_Toc135188685"/>
      <w:bookmarkEnd w:id="520"/>
      <w:bookmarkStart w:id="521" w:name="_Toc135188671"/>
      <w:bookmarkEnd w:id="521"/>
      <w:bookmarkStart w:id="522" w:name="_Toc135205462"/>
      <w:bookmarkEnd w:id="522"/>
      <w:bookmarkStart w:id="523" w:name="_Toc135188665"/>
      <w:bookmarkEnd w:id="523"/>
      <w:bookmarkStart w:id="524" w:name="_Toc135205465"/>
      <w:bookmarkEnd w:id="524"/>
      <w:bookmarkStart w:id="525" w:name="_Toc135205463"/>
      <w:bookmarkEnd w:id="525"/>
      <w:bookmarkStart w:id="526" w:name="_Toc135188677"/>
      <w:bookmarkEnd w:id="526"/>
      <w:bookmarkStart w:id="527" w:name="_Toc135205467"/>
      <w:bookmarkEnd w:id="527"/>
      <w:bookmarkStart w:id="528" w:name="_Toc135188695"/>
      <w:bookmarkEnd w:id="528"/>
      <w:bookmarkStart w:id="529" w:name="_Toc135188694"/>
      <w:bookmarkEnd w:id="529"/>
      <w:bookmarkStart w:id="530" w:name="_Toc135205460"/>
      <w:bookmarkEnd w:id="530"/>
      <w:bookmarkStart w:id="531" w:name="_Toc135205468"/>
      <w:bookmarkEnd w:id="531"/>
      <w:bookmarkStart w:id="532" w:name="_Toc135205457"/>
      <w:bookmarkEnd w:id="532"/>
      <w:bookmarkStart w:id="533" w:name="_Toc135188674"/>
      <w:bookmarkEnd w:id="533"/>
      <w:bookmarkStart w:id="534" w:name="_Toc135205473"/>
      <w:bookmarkEnd w:id="534"/>
      <w:bookmarkStart w:id="535" w:name="_Toc135188684"/>
      <w:bookmarkEnd w:id="535"/>
      <w:bookmarkStart w:id="536" w:name="_Toc135205480"/>
      <w:bookmarkEnd w:id="536"/>
      <w:bookmarkStart w:id="537" w:name="_Toc135205481"/>
      <w:bookmarkEnd w:id="537"/>
      <w:bookmarkStart w:id="538" w:name="_Toc135188783"/>
      <w:bookmarkEnd w:id="538"/>
      <w:bookmarkStart w:id="539" w:name="_Toc135188688"/>
      <w:bookmarkEnd w:id="539"/>
      <w:bookmarkStart w:id="540" w:name="_Toc135299590"/>
      <w:bookmarkEnd w:id="540"/>
      <w:bookmarkStart w:id="541" w:name="_Toc135995536"/>
      <w:bookmarkEnd w:id="541"/>
      <w:bookmarkStart w:id="542" w:name="_Toc136072241"/>
      <w:bookmarkEnd w:id="542"/>
      <w:bookmarkStart w:id="543" w:name="_Toc136072248"/>
      <w:bookmarkEnd w:id="543"/>
      <w:bookmarkStart w:id="544" w:name="_Toc135995542"/>
      <w:bookmarkEnd w:id="544"/>
      <w:bookmarkStart w:id="545" w:name="_Toc136707887"/>
      <w:bookmarkEnd w:id="545"/>
      <w:bookmarkStart w:id="546" w:name="_Toc136072247"/>
      <w:bookmarkEnd w:id="546"/>
      <w:bookmarkStart w:id="547" w:name="_Toc136707880"/>
      <w:bookmarkEnd w:id="547"/>
      <w:bookmarkStart w:id="548" w:name="_Toc135205542"/>
      <w:bookmarkEnd w:id="548"/>
      <w:bookmarkStart w:id="549" w:name="_Toc136707888"/>
      <w:bookmarkEnd w:id="549"/>
      <w:bookmarkStart w:id="550" w:name="_Toc135995537"/>
      <w:bookmarkEnd w:id="550"/>
      <w:bookmarkStart w:id="551" w:name="_Toc136707877"/>
      <w:bookmarkEnd w:id="551"/>
      <w:bookmarkStart w:id="552" w:name="_Toc135995533"/>
      <w:bookmarkEnd w:id="552"/>
      <w:bookmarkStart w:id="553" w:name="_Toc135995538"/>
      <w:bookmarkEnd w:id="553"/>
      <w:bookmarkStart w:id="554" w:name="_Toc135995540"/>
      <w:bookmarkEnd w:id="554"/>
      <w:bookmarkStart w:id="555" w:name="_Toc135995548"/>
      <w:bookmarkEnd w:id="555"/>
      <w:bookmarkStart w:id="556" w:name="_Toc135188756"/>
      <w:bookmarkEnd w:id="556"/>
      <w:bookmarkStart w:id="557" w:name="_Toc136072245"/>
      <w:bookmarkEnd w:id="557"/>
      <w:bookmarkStart w:id="558" w:name="_Toc136072246"/>
      <w:bookmarkEnd w:id="558"/>
      <w:bookmarkStart w:id="559" w:name="_Toc136707884"/>
      <w:bookmarkEnd w:id="559"/>
      <w:bookmarkStart w:id="560" w:name="_Toc136707889"/>
      <w:bookmarkEnd w:id="560"/>
      <w:bookmarkStart w:id="561" w:name="_Toc136707894"/>
      <w:bookmarkEnd w:id="561"/>
      <w:bookmarkStart w:id="562" w:name="_Toc136707885"/>
      <w:bookmarkEnd w:id="562"/>
      <w:bookmarkStart w:id="563" w:name="_Toc135995539"/>
      <w:bookmarkEnd w:id="563"/>
      <w:bookmarkStart w:id="564" w:name="_Toc136072244"/>
      <w:bookmarkEnd w:id="564"/>
      <w:bookmarkStart w:id="565" w:name="_Toc136072243"/>
      <w:bookmarkEnd w:id="565"/>
      <w:bookmarkStart w:id="566" w:name="_Toc136707895"/>
      <w:bookmarkEnd w:id="566"/>
      <w:bookmarkStart w:id="567" w:name="_Toc136707893"/>
      <w:bookmarkEnd w:id="567"/>
      <w:bookmarkStart w:id="568" w:name="_Toc136707891"/>
      <w:bookmarkEnd w:id="568"/>
      <w:bookmarkStart w:id="569" w:name="_Toc135995541"/>
      <w:bookmarkEnd w:id="569"/>
      <w:bookmarkStart w:id="570" w:name="_Toc135995545"/>
      <w:bookmarkEnd w:id="570"/>
      <w:bookmarkStart w:id="571" w:name="_Toc136707890"/>
      <w:bookmarkEnd w:id="571"/>
      <w:bookmarkStart w:id="572" w:name="_Toc135205547"/>
      <w:bookmarkEnd w:id="572"/>
      <w:r>
        <w:rPr>
          <w:sz w:val="24"/>
          <w:szCs w:val="24"/>
        </w:rPr>
        <w:t>第一条</w:t>
      </w:r>
      <w:r>
        <w:rPr>
          <w:rFonts w:hint="eastAsia"/>
          <w:sz w:val="24"/>
          <w:szCs w:val="24"/>
        </w:rPr>
        <w:t>、</w:t>
      </w:r>
      <w:r>
        <w:rPr>
          <w:sz w:val="24"/>
          <w:szCs w:val="24"/>
        </w:rPr>
        <w:t>产品描述</w:t>
      </w:r>
    </w:p>
    <w:p w14:paraId="7AD2816B">
      <w:pPr>
        <w:pStyle w:val="7"/>
        <w:spacing w:before="156" w:beforeLines="50" w:after="156" w:afterLines="50" w:line="480" w:lineRule="exact"/>
        <w:ind w:left="562"/>
        <w:rPr>
          <w:sz w:val="24"/>
          <w:lang w:val="en-GB"/>
        </w:rPr>
      </w:pPr>
      <w:r>
        <w:rPr>
          <w:rFonts w:hint="eastAsia"/>
          <w:sz w:val="24"/>
          <w:lang w:val="en-GB"/>
        </w:rPr>
        <w:t>1、</w:t>
      </w:r>
      <w:r>
        <w:rPr>
          <w:sz w:val="24"/>
          <w:lang w:val="en-GB"/>
        </w:rPr>
        <w:t>产品名称：【_____________________________】</w:t>
      </w:r>
    </w:p>
    <w:p w14:paraId="1FA7B78D">
      <w:pPr>
        <w:pStyle w:val="7"/>
        <w:spacing w:before="156" w:beforeLines="50" w:after="156" w:afterLines="50" w:line="480" w:lineRule="exact"/>
        <w:ind w:left="562"/>
        <w:rPr>
          <w:sz w:val="24"/>
          <w:lang w:val="en-GB"/>
        </w:rPr>
      </w:pPr>
      <w:r>
        <w:rPr>
          <w:rFonts w:hint="eastAsia"/>
          <w:sz w:val="24"/>
          <w:lang w:val="en-GB"/>
        </w:rPr>
        <w:t>2、</w:t>
      </w:r>
      <w:r>
        <w:rPr>
          <w:sz w:val="24"/>
          <w:lang w:val="en-GB"/>
        </w:rPr>
        <w:t>产品用途与性能：【__________________________】</w:t>
      </w:r>
    </w:p>
    <w:p w14:paraId="5E83D408">
      <w:pPr>
        <w:pStyle w:val="7"/>
        <w:spacing w:before="156" w:beforeLines="50" w:after="156" w:afterLines="50" w:line="480" w:lineRule="exact"/>
        <w:ind w:left="562"/>
        <w:rPr>
          <w:sz w:val="24"/>
          <w:lang w:val="en-GB"/>
        </w:rPr>
      </w:pPr>
      <w:r>
        <w:rPr>
          <w:sz w:val="24"/>
          <w:lang w:val="en-GB"/>
        </w:rPr>
        <w:t>3</w:t>
      </w:r>
      <w:r>
        <w:rPr>
          <w:rFonts w:hint="eastAsia"/>
          <w:sz w:val="24"/>
          <w:lang w:val="en-GB"/>
        </w:rPr>
        <w:t>、</w:t>
      </w:r>
      <w:r>
        <w:rPr>
          <w:sz w:val="24"/>
          <w:lang w:val="en-GB"/>
        </w:rPr>
        <w:t>尺寸、规格与主要技术参数：</w:t>
      </w:r>
      <w:bookmarkStart w:id="573" w:name="OLE_LINK10"/>
      <w:bookmarkStart w:id="574" w:name="OLE_LINK11"/>
      <w:r>
        <w:rPr>
          <w:sz w:val="24"/>
          <w:lang w:val="en-GB"/>
        </w:rPr>
        <w:t>【_____________________________】</w:t>
      </w:r>
      <w:bookmarkEnd w:id="573"/>
      <w:bookmarkEnd w:id="574"/>
    </w:p>
    <w:p w14:paraId="4A9A16E2">
      <w:pPr>
        <w:pStyle w:val="7"/>
        <w:spacing w:before="156" w:beforeLines="50" w:after="156" w:afterLines="50" w:line="480" w:lineRule="exact"/>
        <w:ind w:left="562"/>
        <w:rPr>
          <w:sz w:val="24"/>
          <w:lang w:val="en-GB"/>
        </w:rPr>
      </w:pPr>
      <w:r>
        <w:rPr>
          <w:sz w:val="24"/>
          <w:lang w:val="en-GB"/>
        </w:rPr>
        <w:t>4</w:t>
      </w:r>
      <w:r>
        <w:rPr>
          <w:rFonts w:hint="eastAsia"/>
          <w:sz w:val="24"/>
          <w:lang w:val="en-GB"/>
        </w:rPr>
        <w:t>、质量标准：</w:t>
      </w:r>
      <w:r>
        <w:rPr>
          <w:sz w:val="24"/>
          <w:lang w:val="en-GB"/>
        </w:rPr>
        <w:t>【_____________________________】</w:t>
      </w:r>
    </w:p>
    <w:p w14:paraId="060E4684">
      <w:pPr>
        <w:pStyle w:val="7"/>
        <w:spacing w:before="156" w:beforeLines="50" w:after="156" w:afterLines="50" w:line="480" w:lineRule="exact"/>
        <w:ind w:left="562"/>
        <w:rPr>
          <w:sz w:val="24"/>
          <w:lang w:val="en-GB"/>
        </w:rPr>
      </w:pPr>
      <w:r>
        <w:rPr>
          <w:rFonts w:hint="eastAsia"/>
          <w:sz w:val="24"/>
          <w:lang w:val="en-GB"/>
        </w:rPr>
        <w:t>5、</w:t>
      </w:r>
      <w:r>
        <w:rPr>
          <w:sz w:val="24"/>
          <w:lang w:val="en-GB"/>
        </w:rPr>
        <w:t>备注：【】</w:t>
      </w:r>
    </w:p>
    <w:p w14:paraId="439BD82B">
      <w:pPr>
        <w:pStyle w:val="7"/>
        <w:spacing w:before="156" w:beforeLines="50" w:after="156" w:afterLines="50" w:line="480" w:lineRule="exact"/>
        <w:rPr>
          <w:sz w:val="24"/>
          <w:lang w:val="en-GB"/>
        </w:rPr>
      </w:pPr>
      <w:r>
        <w:rPr>
          <w:sz w:val="24"/>
          <w:lang w:val="en-GB"/>
        </w:rPr>
        <w:t>第二条</w:t>
      </w:r>
      <w:r>
        <w:rPr>
          <w:rFonts w:hint="eastAsia"/>
          <w:sz w:val="24"/>
          <w:lang w:val="en-GB"/>
        </w:rPr>
        <w:t>、产品</w:t>
      </w:r>
      <w:r>
        <w:rPr>
          <w:sz w:val="24"/>
          <w:lang w:val="en-GB"/>
        </w:rPr>
        <w:t>价格与付款</w:t>
      </w:r>
    </w:p>
    <w:p w14:paraId="617EB9D3">
      <w:pPr>
        <w:pStyle w:val="8"/>
        <w:spacing w:before="156" w:beforeLines="50" w:after="156" w:afterLines="50" w:line="480" w:lineRule="exact"/>
        <w:ind w:left="432"/>
        <w:rPr>
          <w:color w:val="0000FF"/>
          <w:sz w:val="18"/>
          <w:szCs w:val="18"/>
          <w:lang w:val="en-GB"/>
        </w:rPr>
      </w:pPr>
      <w:r>
        <w:rPr>
          <w:rFonts w:hint="eastAsia"/>
          <w:sz w:val="24"/>
          <w:szCs w:val="24"/>
        </w:rPr>
        <w:t>1、产品</w:t>
      </w:r>
      <w:r>
        <w:rPr>
          <w:sz w:val="24"/>
          <w:szCs w:val="24"/>
        </w:rPr>
        <w:t>价格：（</w:t>
      </w:r>
      <w:r>
        <w:rPr>
          <w:rFonts w:hint="eastAsia"/>
          <w:sz w:val="24"/>
          <w:szCs w:val="24"/>
        </w:rPr>
        <w:t>单位：人民币【元/万元】</w:t>
      </w:r>
      <w:r>
        <w:rPr>
          <w:sz w:val="24"/>
          <w:szCs w:val="24"/>
        </w:rPr>
        <w:t>）</w:t>
      </w:r>
    </w:p>
    <w:tbl>
      <w:tblPr>
        <w:tblStyle w:val="5"/>
        <w:tblW w:w="9739" w:type="dxa"/>
        <w:jc w:val="center"/>
        <w:tblLayout w:type="fixed"/>
        <w:tblCellMar>
          <w:top w:w="0" w:type="dxa"/>
          <w:left w:w="108" w:type="dxa"/>
          <w:bottom w:w="0" w:type="dxa"/>
          <w:right w:w="108" w:type="dxa"/>
        </w:tblCellMar>
      </w:tblPr>
      <w:tblGrid>
        <w:gridCol w:w="4200"/>
        <w:gridCol w:w="779"/>
        <w:gridCol w:w="1145"/>
        <w:gridCol w:w="2151"/>
        <w:gridCol w:w="1464"/>
      </w:tblGrid>
      <w:tr w14:paraId="2ACE7D60">
        <w:tblPrEx>
          <w:tblCellMar>
            <w:top w:w="0" w:type="dxa"/>
            <w:left w:w="108" w:type="dxa"/>
            <w:bottom w:w="0" w:type="dxa"/>
            <w:right w:w="108" w:type="dxa"/>
          </w:tblCellMar>
        </w:tblPrEx>
        <w:trPr>
          <w:jc w:val="center"/>
        </w:trPr>
        <w:tc>
          <w:tcPr>
            <w:tcW w:w="4200" w:type="dxa"/>
            <w:tcBorders>
              <w:top w:val="single" w:color="auto" w:sz="6" w:space="0"/>
              <w:left w:val="single" w:color="auto" w:sz="6" w:space="0"/>
              <w:bottom w:val="single" w:color="auto" w:sz="4" w:space="0"/>
              <w:right w:val="single" w:color="auto" w:sz="6" w:space="0"/>
            </w:tcBorders>
            <w:noWrap w:val="0"/>
            <w:vAlign w:val="top"/>
          </w:tcPr>
          <w:p w14:paraId="7DE7AF56">
            <w:pPr>
              <w:pStyle w:val="8"/>
              <w:spacing w:line="300" w:lineRule="auto"/>
              <w:jc w:val="center"/>
              <w:rPr>
                <w:sz w:val="24"/>
                <w:szCs w:val="24"/>
              </w:rPr>
            </w:pPr>
            <w:bookmarkStart w:id="575" w:name="_Hlk294627486"/>
            <w:r>
              <w:rPr>
                <w:rFonts w:hint="eastAsia"/>
                <w:sz w:val="24"/>
                <w:szCs w:val="24"/>
              </w:rPr>
              <w:t>产品</w:t>
            </w:r>
            <w:r>
              <w:rPr>
                <w:sz w:val="24"/>
                <w:szCs w:val="24"/>
              </w:rPr>
              <w:t>名称</w:t>
            </w:r>
          </w:p>
        </w:tc>
        <w:tc>
          <w:tcPr>
            <w:tcW w:w="779" w:type="dxa"/>
            <w:tcBorders>
              <w:top w:val="single" w:color="auto" w:sz="6" w:space="0"/>
              <w:left w:val="single" w:color="auto" w:sz="6" w:space="0"/>
              <w:bottom w:val="single" w:color="auto" w:sz="6" w:space="0"/>
              <w:right w:val="single" w:color="auto" w:sz="4" w:space="0"/>
            </w:tcBorders>
            <w:noWrap w:val="0"/>
            <w:vAlign w:val="top"/>
          </w:tcPr>
          <w:p w14:paraId="5ED13B58">
            <w:pPr>
              <w:pStyle w:val="8"/>
              <w:numPr>
                <w:ilvl w:val="0"/>
                <w:numId w:val="2"/>
              </w:numPr>
              <w:spacing w:line="300" w:lineRule="auto"/>
              <w:ind w:left="0"/>
              <w:jc w:val="center"/>
              <w:rPr>
                <w:sz w:val="24"/>
                <w:szCs w:val="24"/>
              </w:rPr>
            </w:pPr>
            <w:r>
              <w:rPr>
                <w:sz w:val="24"/>
                <w:szCs w:val="24"/>
              </w:rPr>
              <w:t>单位</w:t>
            </w:r>
          </w:p>
        </w:tc>
        <w:tc>
          <w:tcPr>
            <w:tcW w:w="1145" w:type="dxa"/>
            <w:tcBorders>
              <w:top w:val="single" w:color="auto" w:sz="6" w:space="0"/>
              <w:left w:val="single" w:color="auto" w:sz="4" w:space="0"/>
              <w:bottom w:val="single" w:color="auto" w:sz="6" w:space="0"/>
              <w:right w:val="single" w:color="auto" w:sz="6" w:space="0"/>
            </w:tcBorders>
            <w:noWrap w:val="0"/>
            <w:vAlign w:val="top"/>
          </w:tcPr>
          <w:p w14:paraId="6F98F6B7">
            <w:pPr>
              <w:pStyle w:val="8"/>
              <w:spacing w:line="300" w:lineRule="auto"/>
              <w:jc w:val="center"/>
              <w:rPr>
                <w:sz w:val="24"/>
                <w:szCs w:val="24"/>
              </w:rPr>
            </w:pPr>
            <w:r>
              <w:rPr>
                <w:sz w:val="24"/>
                <w:szCs w:val="24"/>
              </w:rPr>
              <w:t>数量</w:t>
            </w:r>
          </w:p>
        </w:tc>
        <w:tc>
          <w:tcPr>
            <w:tcW w:w="2151" w:type="dxa"/>
            <w:tcBorders>
              <w:top w:val="single" w:color="auto" w:sz="6" w:space="0"/>
              <w:left w:val="single" w:color="auto" w:sz="6" w:space="0"/>
              <w:bottom w:val="single" w:color="auto" w:sz="6" w:space="0"/>
              <w:right w:val="single" w:color="auto" w:sz="6" w:space="0"/>
            </w:tcBorders>
            <w:noWrap w:val="0"/>
            <w:vAlign w:val="top"/>
          </w:tcPr>
          <w:p w14:paraId="1B03DB13">
            <w:pPr>
              <w:pStyle w:val="8"/>
              <w:spacing w:line="300" w:lineRule="auto"/>
              <w:jc w:val="center"/>
              <w:rPr>
                <w:sz w:val="24"/>
                <w:szCs w:val="24"/>
              </w:rPr>
            </w:pPr>
            <w:r>
              <w:rPr>
                <w:sz w:val="24"/>
                <w:szCs w:val="24"/>
              </w:rPr>
              <w:t>含税单价</w:t>
            </w:r>
          </w:p>
        </w:tc>
        <w:tc>
          <w:tcPr>
            <w:tcW w:w="1464" w:type="dxa"/>
            <w:tcBorders>
              <w:top w:val="single" w:color="auto" w:sz="6" w:space="0"/>
              <w:left w:val="single" w:color="auto" w:sz="6" w:space="0"/>
              <w:bottom w:val="single" w:color="auto" w:sz="6" w:space="0"/>
              <w:right w:val="single" w:color="auto" w:sz="6" w:space="0"/>
            </w:tcBorders>
            <w:noWrap w:val="0"/>
            <w:vAlign w:val="top"/>
          </w:tcPr>
          <w:p w14:paraId="1D22AA20">
            <w:pPr>
              <w:pStyle w:val="8"/>
              <w:numPr>
                <w:ilvl w:val="0"/>
                <w:numId w:val="3"/>
              </w:numPr>
              <w:spacing w:line="300" w:lineRule="auto"/>
              <w:ind w:left="0"/>
              <w:jc w:val="center"/>
              <w:rPr>
                <w:sz w:val="24"/>
                <w:szCs w:val="24"/>
              </w:rPr>
            </w:pPr>
            <w:r>
              <w:rPr>
                <w:sz w:val="24"/>
                <w:szCs w:val="24"/>
              </w:rPr>
              <w:t>总价金额</w:t>
            </w:r>
          </w:p>
        </w:tc>
      </w:tr>
      <w:bookmarkEnd w:id="575"/>
      <w:tr w14:paraId="5DF393C7">
        <w:tblPrEx>
          <w:tblCellMar>
            <w:top w:w="0" w:type="dxa"/>
            <w:left w:w="108" w:type="dxa"/>
            <w:bottom w:w="0" w:type="dxa"/>
            <w:right w:w="108" w:type="dxa"/>
          </w:tblCellMar>
        </w:tblPrEx>
        <w:trPr>
          <w:jc w:val="center"/>
        </w:trPr>
        <w:tc>
          <w:tcPr>
            <w:tcW w:w="4200" w:type="dxa"/>
            <w:tcBorders>
              <w:top w:val="single" w:color="auto" w:sz="4" w:space="0"/>
              <w:left w:val="single" w:color="auto" w:sz="6" w:space="0"/>
              <w:bottom w:val="single" w:color="auto" w:sz="4" w:space="0"/>
              <w:right w:val="single" w:color="auto" w:sz="6" w:space="0"/>
            </w:tcBorders>
            <w:noWrap w:val="0"/>
            <w:vAlign w:val="top"/>
          </w:tcPr>
          <w:p w14:paraId="2C224E29">
            <w:pPr>
              <w:pStyle w:val="8"/>
              <w:numPr>
                <w:ilvl w:val="0"/>
                <w:numId w:val="4"/>
              </w:numPr>
              <w:spacing w:line="300" w:lineRule="auto"/>
              <w:jc w:val="center"/>
              <w:rPr>
                <w:sz w:val="24"/>
                <w:szCs w:val="24"/>
              </w:rPr>
            </w:pPr>
          </w:p>
        </w:tc>
        <w:tc>
          <w:tcPr>
            <w:tcW w:w="779" w:type="dxa"/>
            <w:tcBorders>
              <w:top w:val="single" w:color="auto" w:sz="6" w:space="0"/>
              <w:left w:val="single" w:color="auto" w:sz="6" w:space="0"/>
              <w:bottom w:val="single" w:color="auto" w:sz="6" w:space="0"/>
              <w:right w:val="single" w:color="auto" w:sz="4" w:space="0"/>
            </w:tcBorders>
            <w:noWrap w:val="0"/>
            <w:vAlign w:val="top"/>
          </w:tcPr>
          <w:p w14:paraId="50688EEA">
            <w:pPr>
              <w:pStyle w:val="8"/>
              <w:numPr>
                <w:ilvl w:val="0"/>
                <w:numId w:val="5"/>
              </w:numPr>
              <w:spacing w:line="300" w:lineRule="auto"/>
              <w:ind w:left="0" w:firstLine="360"/>
              <w:rPr>
                <w:sz w:val="24"/>
                <w:szCs w:val="24"/>
              </w:rPr>
            </w:pPr>
          </w:p>
        </w:tc>
        <w:tc>
          <w:tcPr>
            <w:tcW w:w="1145" w:type="dxa"/>
            <w:tcBorders>
              <w:top w:val="single" w:color="auto" w:sz="6" w:space="0"/>
              <w:left w:val="single" w:color="auto" w:sz="4" w:space="0"/>
              <w:bottom w:val="single" w:color="auto" w:sz="6" w:space="0"/>
              <w:right w:val="single" w:color="auto" w:sz="6" w:space="0"/>
            </w:tcBorders>
            <w:noWrap w:val="0"/>
            <w:vAlign w:val="top"/>
          </w:tcPr>
          <w:p w14:paraId="680CC18C">
            <w:pPr>
              <w:pStyle w:val="8"/>
              <w:numPr>
                <w:ilvl w:val="0"/>
                <w:numId w:val="5"/>
              </w:numPr>
              <w:spacing w:line="300" w:lineRule="auto"/>
              <w:ind w:left="0" w:firstLine="360"/>
              <w:rPr>
                <w:sz w:val="24"/>
                <w:szCs w:val="24"/>
              </w:rPr>
            </w:pPr>
          </w:p>
        </w:tc>
        <w:tc>
          <w:tcPr>
            <w:tcW w:w="2151" w:type="dxa"/>
            <w:tcBorders>
              <w:top w:val="single" w:color="auto" w:sz="6" w:space="0"/>
              <w:left w:val="single" w:color="auto" w:sz="6" w:space="0"/>
              <w:bottom w:val="single" w:color="auto" w:sz="6" w:space="0"/>
              <w:right w:val="single" w:color="auto" w:sz="6" w:space="0"/>
            </w:tcBorders>
            <w:noWrap w:val="0"/>
            <w:vAlign w:val="top"/>
          </w:tcPr>
          <w:p w14:paraId="395626E1">
            <w:pPr>
              <w:pStyle w:val="8"/>
              <w:numPr>
                <w:ilvl w:val="0"/>
                <w:numId w:val="6"/>
              </w:numPr>
              <w:spacing w:line="300" w:lineRule="auto"/>
              <w:ind w:left="0" w:firstLine="360"/>
              <w:rPr>
                <w:sz w:val="24"/>
                <w:szCs w:val="24"/>
              </w:rPr>
            </w:pPr>
          </w:p>
        </w:tc>
        <w:tc>
          <w:tcPr>
            <w:tcW w:w="1464" w:type="dxa"/>
            <w:tcBorders>
              <w:top w:val="single" w:color="auto" w:sz="6" w:space="0"/>
              <w:left w:val="single" w:color="auto" w:sz="6" w:space="0"/>
              <w:bottom w:val="single" w:color="auto" w:sz="6" w:space="0"/>
              <w:right w:val="single" w:color="auto" w:sz="6" w:space="0"/>
            </w:tcBorders>
            <w:noWrap w:val="0"/>
            <w:vAlign w:val="top"/>
          </w:tcPr>
          <w:p w14:paraId="755E3D5A">
            <w:pPr>
              <w:pStyle w:val="8"/>
              <w:numPr>
                <w:ilvl w:val="0"/>
                <w:numId w:val="7"/>
              </w:numPr>
              <w:spacing w:line="300" w:lineRule="auto"/>
              <w:ind w:left="0" w:firstLine="360"/>
              <w:rPr>
                <w:sz w:val="24"/>
                <w:szCs w:val="24"/>
              </w:rPr>
            </w:pPr>
          </w:p>
        </w:tc>
      </w:tr>
      <w:tr w14:paraId="2F630BF3">
        <w:tblPrEx>
          <w:tblCellMar>
            <w:top w:w="0" w:type="dxa"/>
            <w:left w:w="108" w:type="dxa"/>
            <w:bottom w:w="0" w:type="dxa"/>
            <w:right w:w="108" w:type="dxa"/>
          </w:tblCellMar>
        </w:tblPrEx>
        <w:trPr>
          <w:jc w:val="center"/>
        </w:trPr>
        <w:tc>
          <w:tcPr>
            <w:tcW w:w="4200" w:type="dxa"/>
            <w:tcBorders>
              <w:top w:val="single" w:color="auto" w:sz="4" w:space="0"/>
              <w:left w:val="single" w:color="auto" w:sz="6" w:space="0"/>
              <w:bottom w:val="single" w:color="auto" w:sz="4" w:space="0"/>
              <w:right w:val="single" w:color="auto" w:sz="6" w:space="0"/>
            </w:tcBorders>
            <w:noWrap w:val="0"/>
            <w:vAlign w:val="top"/>
          </w:tcPr>
          <w:p w14:paraId="198D3BA6">
            <w:pPr>
              <w:pStyle w:val="8"/>
              <w:numPr>
                <w:ilvl w:val="0"/>
                <w:numId w:val="4"/>
              </w:numPr>
              <w:spacing w:line="300" w:lineRule="auto"/>
              <w:jc w:val="center"/>
              <w:rPr>
                <w:sz w:val="24"/>
                <w:szCs w:val="24"/>
              </w:rPr>
            </w:pPr>
          </w:p>
        </w:tc>
        <w:tc>
          <w:tcPr>
            <w:tcW w:w="779" w:type="dxa"/>
            <w:tcBorders>
              <w:top w:val="single" w:color="auto" w:sz="6" w:space="0"/>
              <w:left w:val="single" w:color="auto" w:sz="6" w:space="0"/>
              <w:bottom w:val="single" w:color="auto" w:sz="6" w:space="0"/>
              <w:right w:val="single" w:color="auto" w:sz="4" w:space="0"/>
            </w:tcBorders>
            <w:noWrap w:val="0"/>
            <w:vAlign w:val="top"/>
          </w:tcPr>
          <w:p w14:paraId="582A1BC6">
            <w:pPr>
              <w:pStyle w:val="8"/>
              <w:numPr>
                <w:ilvl w:val="0"/>
                <w:numId w:val="8"/>
              </w:numPr>
              <w:spacing w:line="300" w:lineRule="auto"/>
              <w:ind w:left="0" w:firstLine="360"/>
              <w:rPr>
                <w:sz w:val="24"/>
                <w:szCs w:val="24"/>
              </w:rPr>
            </w:pPr>
          </w:p>
        </w:tc>
        <w:tc>
          <w:tcPr>
            <w:tcW w:w="1145" w:type="dxa"/>
            <w:tcBorders>
              <w:top w:val="single" w:color="auto" w:sz="6" w:space="0"/>
              <w:left w:val="single" w:color="auto" w:sz="4" w:space="0"/>
              <w:bottom w:val="single" w:color="auto" w:sz="6" w:space="0"/>
              <w:right w:val="single" w:color="auto" w:sz="6" w:space="0"/>
            </w:tcBorders>
            <w:noWrap w:val="0"/>
            <w:vAlign w:val="top"/>
          </w:tcPr>
          <w:p w14:paraId="1FFCF589">
            <w:pPr>
              <w:pStyle w:val="8"/>
              <w:numPr>
                <w:ilvl w:val="0"/>
                <w:numId w:val="8"/>
              </w:numPr>
              <w:spacing w:line="300" w:lineRule="auto"/>
              <w:ind w:left="0" w:firstLine="360"/>
              <w:rPr>
                <w:sz w:val="24"/>
                <w:szCs w:val="24"/>
              </w:rPr>
            </w:pPr>
          </w:p>
        </w:tc>
        <w:tc>
          <w:tcPr>
            <w:tcW w:w="2151" w:type="dxa"/>
            <w:tcBorders>
              <w:top w:val="single" w:color="auto" w:sz="6" w:space="0"/>
              <w:left w:val="single" w:color="auto" w:sz="6" w:space="0"/>
              <w:bottom w:val="single" w:color="auto" w:sz="6" w:space="0"/>
              <w:right w:val="single" w:color="auto" w:sz="6" w:space="0"/>
            </w:tcBorders>
            <w:noWrap w:val="0"/>
            <w:vAlign w:val="top"/>
          </w:tcPr>
          <w:p w14:paraId="46E42289">
            <w:pPr>
              <w:pStyle w:val="8"/>
              <w:numPr>
                <w:ilvl w:val="0"/>
                <w:numId w:val="9"/>
              </w:numPr>
              <w:spacing w:line="300" w:lineRule="auto"/>
              <w:ind w:left="0" w:firstLine="360"/>
              <w:rPr>
                <w:sz w:val="24"/>
                <w:szCs w:val="24"/>
              </w:rPr>
            </w:pPr>
          </w:p>
        </w:tc>
        <w:tc>
          <w:tcPr>
            <w:tcW w:w="1464" w:type="dxa"/>
            <w:tcBorders>
              <w:top w:val="single" w:color="auto" w:sz="6" w:space="0"/>
              <w:left w:val="single" w:color="auto" w:sz="6" w:space="0"/>
              <w:bottom w:val="single" w:color="auto" w:sz="6" w:space="0"/>
              <w:right w:val="single" w:color="auto" w:sz="6" w:space="0"/>
            </w:tcBorders>
            <w:noWrap w:val="0"/>
            <w:vAlign w:val="top"/>
          </w:tcPr>
          <w:p w14:paraId="5089F547">
            <w:pPr>
              <w:pStyle w:val="8"/>
              <w:numPr>
                <w:ilvl w:val="0"/>
                <w:numId w:val="10"/>
              </w:numPr>
              <w:spacing w:line="300" w:lineRule="auto"/>
              <w:ind w:left="0" w:firstLine="360"/>
              <w:rPr>
                <w:sz w:val="24"/>
                <w:szCs w:val="24"/>
              </w:rPr>
            </w:pPr>
          </w:p>
        </w:tc>
      </w:tr>
      <w:tr w14:paraId="747B63B7">
        <w:tblPrEx>
          <w:tblCellMar>
            <w:top w:w="0" w:type="dxa"/>
            <w:left w:w="108" w:type="dxa"/>
            <w:bottom w:w="0" w:type="dxa"/>
            <w:right w:w="108" w:type="dxa"/>
          </w:tblCellMar>
        </w:tblPrEx>
        <w:trPr>
          <w:trHeight w:val="439" w:hRule="atLeast"/>
          <w:jc w:val="center"/>
        </w:trPr>
        <w:tc>
          <w:tcPr>
            <w:tcW w:w="9739" w:type="dxa"/>
            <w:gridSpan w:val="5"/>
            <w:tcBorders>
              <w:top w:val="single" w:color="auto" w:sz="6" w:space="0"/>
              <w:left w:val="single" w:color="auto" w:sz="6" w:space="0"/>
              <w:bottom w:val="single" w:color="auto" w:sz="4" w:space="0"/>
              <w:right w:val="single" w:color="auto" w:sz="6" w:space="0"/>
            </w:tcBorders>
            <w:noWrap w:val="0"/>
            <w:vAlign w:val="top"/>
          </w:tcPr>
          <w:p w14:paraId="2C8A8801">
            <w:pPr>
              <w:pStyle w:val="8"/>
              <w:numPr>
                <w:ilvl w:val="0"/>
                <w:numId w:val="11"/>
              </w:numPr>
              <w:spacing w:line="300" w:lineRule="auto"/>
              <w:ind w:left="0" w:firstLine="360"/>
              <w:rPr>
                <w:sz w:val="24"/>
                <w:szCs w:val="24"/>
              </w:rPr>
            </w:pPr>
            <w:bookmarkStart w:id="576" w:name="OLE_LINK25"/>
            <w:bookmarkStart w:id="577" w:name="OLE_LINK2"/>
            <w:r>
              <w:rPr>
                <w:sz w:val="24"/>
                <w:szCs w:val="24"/>
              </w:rPr>
              <w:t>合计金额（小写）</w:t>
            </w:r>
            <w:bookmarkEnd w:id="576"/>
            <w:r>
              <w:rPr>
                <w:sz w:val="24"/>
                <w:szCs w:val="24"/>
              </w:rPr>
              <w:t>：</w:t>
            </w:r>
          </w:p>
        </w:tc>
      </w:tr>
      <w:tr w14:paraId="23E4FC71">
        <w:tblPrEx>
          <w:tblCellMar>
            <w:top w:w="0" w:type="dxa"/>
            <w:left w:w="108" w:type="dxa"/>
            <w:bottom w:w="0" w:type="dxa"/>
            <w:right w:w="108" w:type="dxa"/>
          </w:tblCellMar>
        </w:tblPrEx>
        <w:trPr>
          <w:trHeight w:val="509" w:hRule="atLeast"/>
          <w:jc w:val="center"/>
        </w:trPr>
        <w:tc>
          <w:tcPr>
            <w:tcW w:w="9739" w:type="dxa"/>
            <w:gridSpan w:val="5"/>
            <w:tcBorders>
              <w:top w:val="single" w:color="auto" w:sz="4" w:space="0"/>
              <w:left w:val="single" w:color="auto" w:sz="6" w:space="0"/>
              <w:bottom w:val="single" w:color="auto" w:sz="6" w:space="0"/>
              <w:right w:val="single" w:color="auto" w:sz="6" w:space="0"/>
            </w:tcBorders>
            <w:noWrap w:val="0"/>
            <w:vAlign w:val="top"/>
          </w:tcPr>
          <w:p w14:paraId="59D10B90">
            <w:pPr>
              <w:pStyle w:val="8"/>
              <w:numPr>
                <w:ilvl w:val="0"/>
                <w:numId w:val="12"/>
              </w:numPr>
              <w:spacing w:line="300" w:lineRule="auto"/>
              <w:ind w:left="0" w:firstLine="360"/>
              <w:rPr>
                <w:sz w:val="24"/>
                <w:szCs w:val="24"/>
              </w:rPr>
            </w:pPr>
            <w:bookmarkStart w:id="578" w:name="OLE_LINK26"/>
            <w:r>
              <w:rPr>
                <w:sz w:val="24"/>
                <w:szCs w:val="24"/>
              </w:rPr>
              <w:t>合计金额（大写）</w:t>
            </w:r>
            <w:bookmarkEnd w:id="578"/>
            <w:r>
              <w:rPr>
                <w:sz w:val="24"/>
                <w:szCs w:val="24"/>
              </w:rPr>
              <w:t>：</w:t>
            </w:r>
          </w:p>
        </w:tc>
      </w:tr>
      <w:bookmarkEnd w:id="577"/>
    </w:tbl>
    <w:p w14:paraId="3DA414CF">
      <w:pPr>
        <w:pStyle w:val="9"/>
        <w:numPr>
          <w:ilvl w:val="0"/>
          <w:numId w:val="0"/>
        </w:numPr>
        <w:adjustRightInd w:val="0"/>
        <w:snapToGrid w:val="0"/>
        <w:spacing w:before="156" w:beforeLines="50" w:after="156" w:afterLines="50" w:line="480" w:lineRule="exact"/>
        <w:ind w:left="470" w:leftChars="224"/>
        <w:rPr>
          <w:rFonts w:ascii="Times New Roman" w:cs="Times New Roman"/>
          <w:b w:val="0"/>
          <w:bCs w:val="0"/>
          <w:color w:val="FF0000"/>
        </w:rPr>
      </w:pPr>
      <w:r>
        <w:rPr>
          <w:rFonts w:ascii="Times New Roman" w:cs="Times New Roman"/>
        </w:rPr>
        <w:t>注：</w:t>
      </w:r>
      <w:bookmarkStart w:id="579" w:name="OLE_LINK13"/>
      <w:r>
        <w:rPr>
          <w:rFonts w:ascii="Times New Roman" w:cs="Times New Roman"/>
          <w:b w:val="0"/>
          <w:bCs w:val="0"/>
        </w:rPr>
        <w:t>上述价格已经包括</w:t>
      </w:r>
      <w:r>
        <w:rPr>
          <w:rFonts w:hint="eastAsia" w:ascii="Times New Roman" w:cs="Times New Roman"/>
          <w:b w:val="0"/>
          <w:bCs w:val="0"/>
        </w:rPr>
        <w:t>产品</w:t>
      </w:r>
      <w:r>
        <w:rPr>
          <w:rFonts w:ascii="Times New Roman" w:cs="Times New Roman"/>
          <w:b w:val="0"/>
          <w:bCs w:val="0"/>
        </w:rPr>
        <w:t>到达交货地点所发生的与本合同中卖方必须承担的义务和工作有关的所有费用，包括但不限于劳务及材料费、运输费、包装费、保险费及各种相关税费等。</w:t>
      </w:r>
    </w:p>
    <w:bookmarkEnd w:id="579"/>
    <w:p w14:paraId="029DB88C">
      <w:pPr>
        <w:pStyle w:val="8"/>
        <w:spacing w:before="156" w:beforeLines="50" w:after="156" w:afterLines="50" w:line="480" w:lineRule="exact"/>
        <w:ind w:left="432"/>
        <w:rPr>
          <w:sz w:val="24"/>
          <w:szCs w:val="24"/>
        </w:rPr>
      </w:pPr>
      <w:r>
        <w:rPr>
          <w:rFonts w:hint="eastAsia"/>
          <w:sz w:val="24"/>
          <w:szCs w:val="24"/>
        </w:rPr>
        <w:t xml:space="preserve">2、双方同意按照以下第【 </w:t>
      </w:r>
      <w:r>
        <w:rPr>
          <w:sz w:val="24"/>
          <w:szCs w:val="24"/>
        </w:rPr>
        <w:t xml:space="preserve"> </w:t>
      </w:r>
      <w:r>
        <w:rPr>
          <w:rFonts w:hint="eastAsia"/>
          <w:sz w:val="24"/>
          <w:szCs w:val="24"/>
        </w:rPr>
        <w:t>】种方式</w:t>
      </w:r>
      <w:r>
        <w:rPr>
          <w:sz w:val="24"/>
          <w:szCs w:val="24"/>
        </w:rPr>
        <w:t>付款：</w:t>
      </w:r>
    </w:p>
    <w:p w14:paraId="27BD0649">
      <w:pPr>
        <w:pStyle w:val="10"/>
        <w:numPr>
          <w:ilvl w:val="0"/>
          <w:numId w:val="13"/>
        </w:numPr>
        <w:adjustRightInd w:val="0"/>
        <w:snapToGrid w:val="0"/>
        <w:spacing w:before="156" w:beforeLines="50" w:after="156" w:afterLines="50" w:line="480" w:lineRule="exact"/>
        <w:ind w:firstLineChars="0"/>
        <w:rPr>
          <w:rFonts w:ascii="Times New Roman" w:hAnsi="Times New Roman"/>
          <w:bCs/>
          <w:vanish/>
          <w:sz w:val="24"/>
          <w:szCs w:val="20"/>
        </w:rPr>
      </w:pPr>
    </w:p>
    <w:p w14:paraId="43A62960">
      <w:pPr>
        <w:pStyle w:val="10"/>
        <w:numPr>
          <w:ilvl w:val="0"/>
          <w:numId w:val="13"/>
        </w:numPr>
        <w:adjustRightInd w:val="0"/>
        <w:snapToGrid w:val="0"/>
        <w:spacing w:before="156" w:beforeLines="50" w:after="156" w:afterLines="50" w:line="480" w:lineRule="exact"/>
        <w:ind w:firstLineChars="0"/>
        <w:rPr>
          <w:rFonts w:ascii="Times New Roman" w:hAnsi="Times New Roman"/>
          <w:bCs/>
          <w:vanish/>
          <w:sz w:val="24"/>
          <w:szCs w:val="20"/>
        </w:rPr>
      </w:pPr>
    </w:p>
    <w:p w14:paraId="5543E976">
      <w:pPr>
        <w:pStyle w:val="10"/>
        <w:numPr>
          <w:ilvl w:val="1"/>
          <w:numId w:val="13"/>
        </w:numPr>
        <w:adjustRightInd w:val="0"/>
        <w:snapToGrid w:val="0"/>
        <w:spacing w:before="156" w:beforeLines="50" w:after="156" w:afterLines="50" w:line="480" w:lineRule="exact"/>
        <w:ind w:firstLineChars="0"/>
        <w:rPr>
          <w:rFonts w:ascii="Times New Roman" w:hAnsi="Times New Roman"/>
          <w:bCs/>
          <w:vanish/>
          <w:sz w:val="24"/>
          <w:szCs w:val="20"/>
        </w:rPr>
      </w:pPr>
    </w:p>
    <w:p w14:paraId="3BFD4B52">
      <w:pPr>
        <w:pStyle w:val="10"/>
        <w:numPr>
          <w:ilvl w:val="1"/>
          <w:numId w:val="13"/>
        </w:numPr>
        <w:adjustRightInd w:val="0"/>
        <w:snapToGrid w:val="0"/>
        <w:spacing w:before="156" w:beforeLines="50" w:after="156" w:afterLines="50" w:line="480" w:lineRule="exact"/>
        <w:ind w:firstLineChars="0"/>
        <w:rPr>
          <w:rFonts w:ascii="Times New Roman" w:hAnsi="Times New Roman"/>
          <w:bCs/>
          <w:vanish/>
          <w:sz w:val="24"/>
          <w:szCs w:val="20"/>
        </w:rPr>
      </w:pPr>
    </w:p>
    <w:p w14:paraId="211F2426">
      <w:pPr>
        <w:pStyle w:val="9"/>
        <w:numPr>
          <w:ilvl w:val="0"/>
          <w:numId w:val="0"/>
        </w:numPr>
        <w:adjustRightInd w:val="0"/>
        <w:snapToGrid w:val="0"/>
        <w:spacing w:before="156" w:beforeLines="50" w:after="156" w:afterLines="50" w:line="480" w:lineRule="exact"/>
        <w:ind w:left="851"/>
        <w:rPr>
          <w:rFonts w:ascii="Times New Roman" w:cs="Times New Roman"/>
          <w:b w:val="0"/>
        </w:rPr>
      </w:pPr>
      <w:r>
        <w:rPr>
          <w:rFonts w:hint="eastAsia" w:ascii="Times New Roman" w:cs="Times New Roman"/>
          <w:b w:val="0"/>
        </w:rPr>
        <w:t>（1）全部产品交货至买方指定地点，双方共同签署《验收证明》后</w:t>
      </w:r>
      <w:r>
        <w:rPr>
          <w:rFonts w:ascii="Times New Roman" w:cs="Times New Roman"/>
          <w:b w:val="0"/>
        </w:rPr>
        <w:t>【</w:t>
      </w:r>
      <w:r>
        <w:rPr>
          <w:rFonts w:hint="eastAsia" w:ascii="Times New Roman" w:cs="Times New Roman"/>
          <w:b w:val="0"/>
        </w:rPr>
        <w:t xml:space="preserve">   </w:t>
      </w:r>
      <w:r>
        <w:rPr>
          <w:rFonts w:ascii="Times New Roman" w:cs="Times New Roman"/>
          <w:b w:val="0"/>
        </w:rPr>
        <w:t>】</w:t>
      </w:r>
      <w:r>
        <w:rPr>
          <w:rFonts w:hint="eastAsia" w:ascii="Times New Roman" w:cs="Times New Roman"/>
          <w:b w:val="0"/>
        </w:rPr>
        <w:t>个工作日内，买方向卖方一次性支付全部货款。</w:t>
      </w:r>
    </w:p>
    <w:p w14:paraId="157D4DB2">
      <w:pPr>
        <w:pStyle w:val="9"/>
        <w:numPr>
          <w:ilvl w:val="0"/>
          <w:numId w:val="0"/>
        </w:numPr>
        <w:adjustRightInd w:val="0"/>
        <w:snapToGrid w:val="0"/>
        <w:spacing w:before="156" w:beforeLines="50" w:after="156" w:afterLines="50" w:line="480" w:lineRule="exact"/>
        <w:ind w:left="851"/>
        <w:rPr>
          <w:rFonts w:ascii="Times New Roman" w:cs="Times New Roman"/>
          <w:b w:val="0"/>
        </w:rPr>
      </w:pPr>
      <w:r>
        <w:rPr>
          <w:rFonts w:hint="eastAsia" w:ascii="Times New Roman" w:cs="Times New Roman"/>
          <w:b w:val="0"/>
        </w:rPr>
        <w:t>（</w:t>
      </w:r>
      <w:r>
        <w:rPr>
          <w:rFonts w:ascii="Times New Roman" w:cs="Times New Roman"/>
          <w:b w:val="0"/>
        </w:rPr>
        <w:t>2</w:t>
      </w:r>
      <w:r>
        <w:rPr>
          <w:rFonts w:hint="eastAsia" w:ascii="Times New Roman" w:cs="Times New Roman"/>
          <w:b w:val="0"/>
        </w:rPr>
        <w:t>）</w:t>
      </w:r>
      <w:r>
        <w:rPr>
          <w:rFonts w:hint="eastAsia" w:ascii="Times New Roman" w:cs="Times New Roman"/>
          <w:b w:val="0"/>
          <w:sz w:val="21"/>
          <w:szCs w:val="21"/>
        </w:rPr>
        <w:t xml:space="preserve"> </w:t>
      </w:r>
      <w:r>
        <w:rPr>
          <w:rFonts w:ascii="Times New Roman" w:cs="Times New Roman"/>
          <w:b w:val="0"/>
        </w:rPr>
        <w:t>买方应于签订本合同后【   】</w:t>
      </w:r>
      <w:r>
        <w:rPr>
          <w:rFonts w:hint="eastAsia" w:ascii="Times New Roman" w:cs="Times New Roman"/>
          <w:b w:val="0"/>
        </w:rPr>
        <w:t>个工作日</w:t>
      </w:r>
      <w:r>
        <w:rPr>
          <w:rFonts w:ascii="Times New Roman" w:cs="Times New Roman"/>
          <w:b w:val="0"/>
        </w:rPr>
        <w:t>内</w:t>
      </w:r>
      <w:r>
        <w:rPr>
          <w:rFonts w:hint="eastAsia" w:ascii="Times New Roman" w:cs="Times New Roman"/>
          <w:b w:val="0"/>
        </w:rPr>
        <w:t>向卖方支付货款总额的</w:t>
      </w:r>
      <w:r>
        <w:rPr>
          <w:rFonts w:ascii="Times New Roman" w:cs="Times New Roman"/>
          <w:b w:val="0"/>
        </w:rPr>
        <w:t>【    %】</w:t>
      </w:r>
      <w:r>
        <w:rPr>
          <w:rFonts w:hint="eastAsia" w:ascii="Times New Roman" w:cs="Times New Roman"/>
          <w:b w:val="0"/>
        </w:rPr>
        <w:t>（即人民币【】元）作为预付款；全部产品交货至买方指定地点，双方共同签署《验收证明》后</w:t>
      </w:r>
      <w:r>
        <w:rPr>
          <w:rFonts w:ascii="Times New Roman" w:cs="Times New Roman"/>
          <w:b w:val="0"/>
        </w:rPr>
        <w:t>【   】</w:t>
      </w:r>
      <w:r>
        <w:rPr>
          <w:rFonts w:hint="eastAsia" w:ascii="Times New Roman" w:cs="Times New Roman"/>
          <w:b w:val="0"/>
        </w:rPr>
        <w:t>个工作日内，买方</w:t>
      </w:r>
      <w:r>
        <w:rPr>
          <w:rFonts w:hint="eastAsia"/>
          <w:b w:val="0"/>
        </w:rPr>
        <w:t>向</w:t>
      </w:r>
      <w:r>
        <w:rPr>
          <w:rFonts w:hint="eastAsia" w:ascii="Times New Roman" w:cs="Times New Roman"/>
          <w:b w:val="0"/>
        </w:rPr>
        <w:t>卖方支付剩余</w:t>
      </w:r>
      <w:r>
        <w:rPr>
          <w:rFonts w:ascii="Times New Roman" w:cs="Times New Roman"/>
          <w:b w:val="0"/>
        </w:rPr>
        <w:t>【   %】</w:t>
      </w:r>
      <w:r>
        <w:rPr>
          <w:rFonts w:hint="eastAsia" w:ascii="Times New Roman" w:cs="Times New Roman"/>
          <w:b w:val="0"/>
        </w:rPr>
        <w:t>的货款（即人民币【】元）。</w:t>
      </w:r>
    </w:p>
    <w:p w14:paraId="312D481F">
      <w:pPr>
        <w:pStyle w:val="9"/>
        <w:numPr>
          <w:ilvl w:val="0"/>
          <w:numId w:val="0"/>
        </w:numPr>
        <w:tabs>
          <w:tab w:val="left" w:pos="709"/>
        </w:tabs>
        <w:adjustRightInd w:val="0"/>
        <w:snapToGrid w:val="0"/>
        <w:spacing w:before="156" w:beforeLines="50" w:after="156" w:afterLines="50" w:line="480" w:lineRule="exact"/>
        <w:ind w:left="851"/>
        <w:rPr>
          <w:rFonts w:ascii="Times New Roman" w:cs="Times New Roman"/>
          <w:b w:val="0"/>
          <w:sz w:val="21"/>
          <w:szCs w:val="21"/>
        </w:rPr>
      </w:pPr>
      <w:r>
        <w:rPr>
          <w:rFonts w:hint="eastAsia" w:ascii="Times New Roman" w:cs="Times New Roman"/>
          <w:b w:val="0"/>
        </w:rPr>
        <w:t>（</w:t>
      </w:r>
      <w:r>
        <w:rPr>
          <w:rFonts w:ascii="Times New Roman" w:cs="Times New Roman"/>
          <w:b w:val="0"/>
        </w:rPr>
        <w:t>3</w:t>
      </w:r>
      <w:r>
        <w:rPr>
          <w:rFonts w:hint="eastAsia" w:ascii="Times New Roman" w:cs="Times New Roman"/>
          <w:b w:val="0"/>
        </w:rPr>
        <w:t>）</w:t>
      </w:r>
      <w:r>
        <w:rPr>
          <w:rFonts w:hint="eastAsia" w:ascii="Times New Roman" w:cs="Times New Roman"/>
          <w:b w:val="0"/>
          <w:sz w:val="21"/>
          <w:szCs w:val="21"/>
        </w:rPr>
        <w:t xml:space="preserve"> </w:t>
      </w:r>
      <w:r>
        <w:rPr>
          <w:rFonts w:ascii="Times New Roman" w:cs="Times New Roman"/>
          <w:b w:val="0"/>
        </w:rPr>
        <w:t>买方应于本合同</w:t>
      </w:r>
      <w:r>
        <w:rPr>
          <w:rFonts w:hint="eastAsia" w:ascii="Times New Roman" w:cs="Times New Roman"/>
          <w:b w:val="0"/>
        </w:rPr>
        <w:t>生效</w:t>
      </w:r>
      <w:r>
        <w:rPr>
          <w:rFonts w:ascii="Times New Roman" w:cs="Times New Roman"/>
          <w:b w:val="0"/>
        </w:rPr>
        <w:t>后【     】</w:t>
      </w:r>
      <w:r>
        <w:rPr>
          <w:rFonts w:hint="eastAsia" w:ascii="Times New Roman" w:cs="Times New Roman"/>
          <w:b w:val="0"/>
        </w:rPr>
        <w:t>个工作日</w:t>
      </w:r>
      <w:r>
        <w:rPr>
          <w:rFonts w:ascii="Times New Roman" w:cs="Times New Roman"/>
          <w:b w:val="0"/>
        </w:rPr>
        <w:t>内</w:t>
      </w:r>
      <w:r>
        <w:rPr>
          <w:rFonts w:hint="eastAsia" w:ascii="Times New Roman" w:cs="Times New Roman"/>
          <w:b w:val="0"/>
        </w:rPr>
        <w:t>向卖方一次性支付全部货款。</w:t>
      </w:r>
    </w:p>
    <w:p w14:paraId="763588F2">
      <w:pPr>
        <w:pStyle w:val="8"/>
        <w:spacing w:before="156" w:beforeLines="50" w:after="156" w:afterLines="50" w:line="480" w:lineRule="exact"/>
        <w:ind w:left="851"/>
        <w:rPr>
          <w:szCs w:val="24"/>
        </w:rPr>
      </w:pPr>
      <w:r>
        <w:rPr>
          <w:rFonts w:hint="eastAsia"/>
          <w:sz w:val="24"/>
          <w:szCs w:val="24"/>
        </w:rPr>
        <w:t>3、卖方应在买方付款前，先行向买方开具【    】</w:t>
      </w:r>
      <w:r>
        <w:rPr>
          <w:sz w:val="24"/>
          <w:szCs w:val="24"/>
        </w:rPr>
        <w:t>发票</w:t>
      </w:r>
      <w:r>
        <w:rPr>
          <w:rFonts w:hint="eastAsia"/>
          <w:sz w:val="24"/>
          <w:szCs w:val="24"/>
        </w:rPr>
        <w:t>。如因卖方未提供合法有效、金额准确的发票，买方有权延期付款且不承担任何法律责任。</w:t>
      </w:r>
    </w:p>
    <w:p w14:paraId="05A40692">
      <w:pPr>
        <w:pStyle w:val="8"/>
        <w:spacing w:before="156" w:beforeLines="50" w:after="156" w:afterLines="50" w:line="480" w:lineRule="exact"/>
        <w:ind w:left="432"/>
        <w:rPr>
          <w:b/>
          <w:szCs w:val="24"/>
        </w:rPr>
      </w:pPr>
      <w:r>
        <w:rPr>
          <w:rFonts w:hint="eastAsia"/>
          <w:sz w:val="24"/>
          <w:szCs w:val="24"/>
        </w:rPr>
        <w:t>4、具体付款方式：</w:t>
      </w:r>
      <w:r>
        <w:rPr>
          <w:rFonts w:hint="eastAsia" w:ascii="宋体" w:hAnsi="宋体"/>
          <w:sz w:val="24"/>
        </w:rPr>
        <w:t>□支票 □转帐 □现金  □其他方式：</w:t>
      </w:r>
      <w:r>
        <w:rPr>
          <w:rFonts w:hint="eastAsia" w:ascii="宋体" w:hAnsi="宋体"/>
          <w:sz w:val="24"/>
          <w:szCs w:val="24"/>
        </w:rPr>
        <w:t>【     】</w:t>
      </w:r>
    </w:p>
    <w:p w14:paraId="4272E9BE">
      <w:pPr>
        <w:pStyle w:val="8"/>
        <w:spacing w:before="156" w:beforeLines="50" w:after="156" w:afterLines="50" w:line="480" w:lineRule="exact"/>
        <w:ind w:left="851"/>
        <w:rPr>
          <w:sz w:val="24"/>
          <w:szCs w:val="24"/>
        </w:rPr>
      </w:pPr>
      <w:r>
        <w:rPr>
          <w:sz w:val="24"/>
          <w:szCs w:val="24"/>
        </w:rPr>
        <w:t>卖方</w:t>
      </w:r>
      <w:r>
        <w:rPr>
          <w:rFonts w:hint="eastAsia"/>
          <w:sz w:val="24"/>
          <w:szCs w:val="24"/>
        </w:rPr>
        <w:t>收款</w:t>
      </w:r>
      <w:r>
        <w:rPr>
          <w:sz w:val="24"/>
          <w:szCs w:val="24"/>
        </w:rPr>
        <w:t>银行</w:t>
      </w:r>
      <w:r>
        <w:rPr>
          <w:rFonts w:hint="eastAsia"/>
          <w:sz w:val="24"/>
          <w:szCs w:val="24"/>
        </w:rPr>
        <w:t>账户</w:t>
      </w:r>
      <w:r>
        <w:rPr>
          <w:sz w:val="24"/>
          <w:szCs w:val="24"/>
        </w:rPr>
        <w:t>信息</w:t>
      </w:r>
      <w:r>
        <w:rPr>
          <w:rFonts w:hint="eastAsia"/>
          <w:sz w:val="24"/>
          <w:szCs w:val="24"/>
        </w:rPr>
        <w:t>：</w:t>
      </w:r>
    </w:p>
    <w:tbl>
      <w:tblPr>
        <w:tblStyle w:val="5"/>
        <w:tblW w:w="0" w:type="auto"/>
        <w:jc w:val="center"/>
        <w:tblLayout w:type="autofit"/>
        <w:tblCellMar>
          <w:top w:w="0" w:type="dxa"/>
          <w:left w:w="108" w:type="dxa"/>
          <w:bottom w:w="0" w:type="dxa"/>
          <w:right w:w="108" w:type="dxa"/>
        </w:tblCellMar>
      </w:tblPr>
      <w:tblGrid>
        <w:gridCol w:w="1656"/>
        <w:gridCol w:w="5562"/>
      </w:tblGrid>
      <w:tr w14:paraId="4E1EF69A">
        <w:tblPrEx>
          <w:tblCellMar>
            <w:top w:w="0" w:type="dxa"/>
            <w:left w:w="108" w:type="dxa"/>
            <w:bottom w:w="0" w:type="dxa"/>
            <w:right w:w="108" w:type="dxa"/>
          </w:tblCellMar>
        </w:tblPrEx>
        <w:trPr>
          <w:trHeight w:val="54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4AFAF6F8">
            <w:pPr>
              <w:widowControl/>
              <w:rPr>
                <w:kern w:val="0"/>
                <w:sz w:val="24"/>
              </w:rPr>
            </w:pPr>
            <w:r>
              <w:rPr>
                <w:kern w:val="0"/>
                <w:sz w:val="24"/>
              </w:rPr>
              <w:t>开户名</w:t>
            </w:r>
          </w:p>
        </w:tc>
        <w:tc>
          <w:tcPr>
            <w:tcW w:w="5562" w:type="dxa"/>
            <w:tcBorders>
              <w:top w:val="single" w:color="auto" w:sz="4" w:space="0"/>
              <w:left w:val="nil"/>
              <w:right w:val="single" w:color="000000" w:sz="8" w:space="0"/>
            </w:tcBorders>
            <w:noWrap w:val="0"/>
            <w:vAlign w:val="center"/>
          </w:tcPr>
          <w:p w14:paraId="0D2FE8AA">
            <w:pPr>
              <w:widowControl/>
              <w:jc w:val="center"/>
              <w:rPr>
                <w:kern w:val="0"/>
                <w:sz w:val="24"/>
              </w:rPr>
            </w:pPr>
          </w:p>
        </w:tc>
      </w:tr>
      <w:tr w14:paraId="21221414">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noWrap w:val="0"/>
            <w:vAlign w:val="center"/>
          </w:tcPr>
          <w:p w14:paraId="64FC478E">
            <w:pPr>
              <w:widowControl/>
              <w:rPr>
                <w:kern w:val="0"/>
                <w:sz w:val="24"/>
              </w:rPr>
            </w:pPr>
            <w:r>
              <w:rPr>
                <w:rFonts w:hint="eastAsia"/>
                <w:kern w:val="0"/>
                <w:sz w:val="24"/>
              </w:rPr>
              <w:t>账</w:t>
            </w:r>
            <w:r>
              <w:rPr>
                <w:kern w:val="0"/>
                <w:sz w:val="24"/>
              </w:rPr>
              <w:t>号</w:t>
            </w:r>
          </w:p>
        </w:tc>
        <w:tc>
          <w:tcPr>
            <w:tcW w:w="5562" w:type="dxa"/>
            <w:tcBorders>
              <w:top w:val="single" w:color="auto" w:sz="4" w:space="0"/>
              <w:left w:val="nil"/>
              <w:right w:val="single" w:color="000000" w:sz="8" w:space="0"/>
            </w:tcBorders>
            <w:noWrap w:val="0"/>
            <w:vAlign w:val="center"/>
          </w:tcPr>
          <w:p w14:paraId="56A3CCB7">
            <w:pPr>
              <w:widowControl/>
              <w:jc w:val="center"/>
              <w:rPr>
                <w:kern w:val="0"/>
                <w:sz w:val="24"/>
              </w:rPr>
            </w:pPr>
          </w:p>
        </w:tc>
      </w:tr>
      <w:tr w14:paraId="57A7627C">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noWrap w:val="0"/>
            <w:vAlign w:val="center"/>
          </w:tcPr>
          <w:p w14:paraId="60BDBAD3">
            <w:pPr>
              <w:widowControl/>
              <w:rPr>
                <w:kern w:val="0"/>
                <w:sz w:val="24"/>
              </w:rPr>
            </w:pPr>
            <w:r>
              <w:rPr>
                <w:kern w:val="0"/>
                <w:sz w:val="24"/>
              </w:rPr>
              <w:t>开户银行名称</w:t>
            </w:r>
          </w:p>
        </w:tc>
        <w:tc>
          <w:tcPr>
            <w:tcW w:w="5562" w:type="dxa"/>
            <w:tcBorders>
              <w:top w:val="single" w:color="auto" w:sz="4" w:space="0"/>
              <w:left w:val="nil"/>
              <w:right w:val="single" w:color="000000" w:sz="8" w:space="0"/>
            </w:tcBorders>
            <w:noWrap w:val="0"/>
            <w:vAlign w:val="center"/>
          </w:tcPr>
          <w:p w14:paraId="22848B86">
            <w:pPr>
              <w:widowControl/>
              <w:jc w:val="center"/>
              <w:rPr>
                <w:kern w:val="0"/>
                <w:sz w:val="24"/>
              </w:rPr>
            </w:pPr>
          </w:p>
        </w:tc>
      </w:tr>
      <w:tr w14:paraId="015222E1">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noWrap w:val="0"/>
            <w:vAlign w:val="center"/>
          </w:tcPr>
          <w:p w14:paraId="6FCD2ED6">
            <w:pPr>
              <w:widowControl/>
              <w:rPr>
                <w:kern w:val="0"/>
                <w:sz w:val="24"/>
              </w:rPr>
            </w:pPr>
            <w:r>
              <w:rPr>
                <w:kern w:val="0"/>
                <w:sz w:val="24"/>
              </w:rPr>
              <w:t>开户银行地址</w:t>
            </w:r>
          </w:p>
        </w:tc>
        <w:tc>
          <w:tcPr>
            <w:tcW w:w="5562" w:type="dxa"/>
            <w:tcBorders>
              <w:top w:val="single" w:color="auto" w:sz="4" w:space="0"/>
              <w:left w:val="nil"/>
              <w:bottom w:val="single" w:color="auto" w:sz="4" w:space="0"/>
              <w:right w:val="single" w:color="000000" w:sz="8" w:space="0"/>
            </w:tcBorders>
            <w:noWrap w:val="0"/>
            <w:vAlign w:val="center"/>
          </w:tcPr>
          <w:p w14:paraId="2B3B7486">
            <w:pPr>
              <w:widowControl/>
              <w:jc w:val="center"/>
              <w:rPr>
                <w:kern w:val="0"/>
                <w:sz w:val="24"/>
              </w:rPr>
            </w:pPr>
          </w:p>
        </w:tc>
      </w:tr>
    </w:tbl>
    <w:p w14:paraId="3F5163D0">
      <w:pPr>
        <w:pStyle w:val="7"/>
        <w:numPr>
          <w:ilvl w:val="0"/>
          <w:numId w:val="14"/>
        </w:numPr>
        <w:spacing w:before="156" w:beforeLines="50" w:after="156" w:afterLines="50" w:line="480" w:lineRule="exact"/>
        <w:ind w:firstLine="480" w:firstLineChars="200"/>
        <w:rPr>
          <w:rFonts w:hint="eastAsia"/>
          <w:b w:val="0"/>
          <w:bCs/>
          <w:sz w:val="24"/>
          <w:lang w:val="en-US" w:eastAsia="zh-CN"/>
        </w:rPr>
      </w:pPr>
      <w:r>
        <w:rPr>
          <w:rFonts w:hint="eastAsia"/>
          <w:b w:val="0"/>
          <w:bCs/>
          <w:sz w:val="24"/>
          <w:lang w:val="en-US" w:eastAsia="zh-CN"/>
        </w:rPr>
        <w:t>发票约定：</w:t>
      </w:r>
    </w:p>
    <w:p w14:paraId="16166C24">
      <w:pPr>
        <w:pStyle w:val="7"/>
        <w:numPr>
          <w:ilvl w:val="0"/>
          <w:numId w:val="0"/>
        </w:numPr>
        <w:spacing w:before="156" w:beforeLines="50" w:after="156" w:afterLines="50" w:line="480" w:lineRule="exact"/>
        <w:ind w:firstLine="480" w:firstLineChars="200"/>
        <w:rPr>
          <w:rFonts w:hint="default"/>
          <w:b w:val="0"/>
          <w:bCs/>
          <w:color w:val="auto"/>
          <w:sz w:val="24"/>
          <w:highlight w:val="none"/>
          <w:lang w:val="en-US" w:eastAsia="zh-CN"/>
        </w:rPr>
      </w:pPr>
      <w:r>
        <w:rPr>
          <w:rFonts w:hint="eastAsia"/>
          <w:b w:val="0"/>
          <w:bCs/>
          <w:color w:val="auto"/>
          <w:sz w:val="24"/>
          <w:highlight w:val="none"/>
          <w:lang w:val="en-US" w:eastAsia="zh-CN"/>
        </w:rPr>
        <w:t>（1）买</w:t>
      </w:r>
      <w:r>
        <w:rPr>
          <w:rFonts w:hint="default"/>
          <w:b w:val="0"/>
          <w:bCs/>
          <w:color w:val="auto"/>
          <w:sz w:val="24"/>
          <w:highlight w:val="none"/>
          <w:lang w:val="en-US" w:eastAsia="zh-CN"/>
        </w:rPr>
        <w:t>方付款后5日内</w:t>
      </w:r>
      <w:r>
        <w:rPr>
          <w:rFonts w:hint="eastAsia"/>
          <w:b w:val="0"/>
          <w:bCs/>
          <w:color w:val="auto"/>
          <w:sz w:val="24"/>
          <w:highlight w:val="none"/>
          <w:lang w:val="en-US" w:eastAsia="zh-CN"/>
        </w:rPr>
        <w:t>卖</w:t>
      </w:r>
      <w:r>
        <w:rPr>
          <w:rFonts w:hint="default"/>
          <w:b w:val="0"/>
          <w:bCs/>
          <w:color w:val="auto"/>
          <w:sz w:val="24"/>
          <w:highlight w:val="none"/>
          <w:lang w:val="en-US" w:eastAsia="zh-CN"/>
        </w:rPr>
        <w:t>方提供税率13%的增值税专用发票，</w:t>
      </w:r>
      <w:r>
        <w:rPr>
          <w:rFonts w:hint="eastAsia"/>
          <w:b w:val="0"/>
          <w:bCs/>
          <w:color w:val="auto"/>
          <w:sz w:val="24"/>
          <w:highlight w:val="none"/>
          <w:lang w:val="en-US" w:eastAsia="zh-CN"/>
        </w:rPr>
        <w:t>卖</w:t>
      </w:r>
      <w:r>
        <w:rPr>
          <w:rFonts w:hint="default"/>
          <w:b w:val="0"/>
          <w:bCs/>
          <w:color w:val="auto"/>
          <w:sz w:val="24"/>
          <w:highlight w:val="none"/>
          <w:lang w:val="en-US" w:eastAsia="zh-CN"/>
        </w:rPr>
        <w:t>方提供的发票应符合国家税法的有关规定，必须确保发票票面信息全部真实，相关材料品目、价款等内容与本合同相一致，因</w:t>
      </w:r>
      <w:r>
        <w:rPr>
          <w:rFonts w:hint="eastAsia"/>
          <w:b w:val="0"/>
          <w:bCs/>
          <w:color w:val="auto"/>
          <w:sz w:val="24"/>
          <w:highlight w:val="none"/>
          <w:lang w:val="en-US" w:eastAsia="zh-CN"/>
        </w:rPr>
        <w:t>卖</w:t>
      </w:r>
      <w:r>
        <w:rPr>
          <w:rFonts w:hint="default"/>
          <w:b w:val="0"/>
          <w:bCs/>
          <w:color w:val="auto"/>
          <w:sz w:val="24"/>
          <w:highlight w:val="none"/>
          <w:lang w:val="en-US" w:eastAsia="zh-CN"/>
        </w:rPr>
        <w:t>方开具的发票不规范、不合法或涉嫌虚开发票引起的税务问题的，</w:t>
      </w:r>
      <w:r>
        <w:rPr>
          <w:rFonts w:hint="eastAsia"/>
          <w:b w:val="0"/>
          <w:bCs/>
          <w:color w:val="auto"/>
          <w:sz w:val="24"/>
          <w:highlight w:val="none"/>
          <w:lang w:val="en-US" w:eastAsia="zh-CN"/>
        </w:rPr>
        <w:t>卖</w:t>
      </w:r>
      <w:r>
        <w:rPr>
          <w:rFonts w:hint="default"/>
          <w:b w:val="0"/>
          <w:bCs/>
          <w:color w:val="auto"/>
          <w:sz w:val="24"/>
          <w:highlight w:val="none"/>
          <w:lang w:val="en-US" w:eastAsia="zh-CN"/>
        </w:rPr>
        <w:t>方需依法向</w:t>
      </w:r>
      <w:r>
        <w:rPr>
          <w:rFonts w:hint="eastAsia"/>
          <w:b w:val="0"/>
          <w:bCs/>
          <w:color w:val="auto"/>
          <w:sz w:val="24"/>
          <w:highlight w:val="none"/>
          <w:lang w:val="en-US" w:eastAsia="zh-CN"/>
        </w:rPr>
        <w:t>买</w:t>
      </w:r>
      <w:r>
        <w:rPr>
          <w:rFonts w:hint="default"/>
          <w:b w:val="0"/>
          <w:bCs/>
          <w:color w:val="auto"/>
          <w:sz w:val="24"/>
          <w:highlight w:val="none"/>
          <w:lang w:val="en-US" w:eastAsia="zh-CN"/>
        </w:rPr>
        <w:t>方重新开具发票，并向</w:t>
      </w:r>
      <w:r>
        <w:rPr>
          <w:rFonts w:hint="eastAsia"/>
          <w:b w:val="0"/>
          <w:bCs/>
          <w:color w:val="auto"/>
          <w:sz w:val="24"/>
          <w:highlight w:val="none"/>
          <w:lang w:val="en-US" w:eastAsia="zh-CN"/>
        </w:rPr>
        <w:t>买</w:t>
      </w:r>
      <w:r>
        <w:rPr>
          <w:rFonts w:hint="default"/>
          <w:b w:val="0"/>
          <w:bCs/>
          <w:color w:val="auto"/>
          <w:sz w:val="24"/>
          <w:highlight w:val="none"/>
          <w:lang w:val="en-US" w:eastAsia="zh-CN"/>
        </w:rPr>
        <w:t>方承担赔偿责任。</w:t>
      </w:r>
    </w:p>
    <w:p w14:paraId="0E078922">
      <w:pPr>
        <w:pStyle w:val="7"/>
        <w:numPr>
          <w:ilvl w:val="0"/>
          <w:numId w:val="0"/>
        </w:numPr>
        <w:spacing w:before="156" w:beforeLines="50" w:after="156" w:afterLines="50" w:line="480" w:lineRule="exact"/>
        <w:ind w:firstLine="480" w:firstLineChars="200"/>
        <w:rPr>
          <w:rFonts w:hint="default"/>
          <w:b w:val="0"/>
          <w:bCs/>
          <w:color w:val="auto"/>
          <w:sz w:val="24"/>
          <w:highlight w:val="none"/>
          <w:lang w:val="en-US" w:eastAsia="zh-CN"/>
        </w:rPr>
      </w:pPr>
      <w:r>
        <w:rPr>
          <w:rFonts w:hint="eastAsia"/>
          <w:b w:val="0"/>
          <w:bCs/>
          <w:color w:val="auto"/>
          <w:sz w:val="24"/>
          <w:highlight w:val="none"/>
          <w:lang w:val="en-US" w:eastAsia="zh-CN"/>
        </w:rPr>
        <w:t>（2）</w:t>
      </w:r>
      <w:r>
        <w:rPr>
          <w:rFonts w:hint="default"/>
          <w:b w:val="0"/>
          <w:bCs/>
          <w:color w:val="auto"/>
          <w:sz w:val="24"/>
          <w:highlight w:val="none"/>
          <w:lang w:val="en-US" w:eastAsia="zh-CN"/>
        </w:rPr>
        <w:t>合同价款含增值税、个人所得税及其它附加税等等税金，出卖人税金由出卖人自行缴纳，增值税税率按</w:t>
      </w:r>
      <w:r>
        <w:rPr>
          <w:rFonts w:hint="eastAsia"/>
          <w:b w:val="0"/>
          <w:bCs/>
          <w:color w:val="auto"/>
          <w:sz w:val="24"/>
          <w:highlight w:val="none"/>
          <w:u w:val="single"/>
          <w:lang w:val="en-US" w:eastAsia="zh-CN"/>
        </w:rPr>
        <w:t xml:space="preserve">    % </w:t>
      </w:r>
      <w:r>
        <w:rPr>
          <w:rFonts w:hint="default"/>
          <w:b w:val="0"/>
          <w:bCs/>
          <w:color w:val="auto"/>
          <w:sz w:val="24"/>
          <w:highlight w:val="none"/>
          <w:lang w:val="en-US" w:eastAsia="zh-CN"/>
        </w:rPr>
        <w:t>计取。如遇国家政策税率变化，不含税价格不变，税金按调整后的税率计算。若出卖人实际提供的增值税专用发票低于合同约定的增值税税率时，在结算时承包人扣减该部分税差;若出卖人已提供的增值税专用发票税率高于本合同约定的增值税税率，高出部分由出卖人自行承担。</w:t>
      </w:r>
    </w:p>
    <w:p w14:paraId="6A67EB46">
      <w:pPr>
        <w:pStyle w:val="7"/>
        <w:spacing w:before="156" w:beforeLines="50" w:after="156" w:afterLines="50" w:line="480" w:lineRule="exact"/>
        <w:rPr>
          <w:sz w:val="24"/>
          <w:lang w:val="en-GB"/>
        </w:rPr>
      </w:pPr>
      <w:r>
        <w:rPr>
          <w:sz w:val="24"/>
          <w:lang w:val="en-GB"/>
        </w:rPr>
        <w:t>第三条</w:t>
      </w:r>
      <w:r>
        <w:rPr>
          <w:rFonts w:hint="eastAsia"/>
          <w:sz w:val="24"/>
          <w:lang w:val="en-GB"/>
        </w:rPr>
        <w:t>、</w:t>
      </w:r>
      <w:r>
        <w:rPr>
          <w:sz w:val="24"/>
          <w:lang w:val="en-GB"/>
        </w:rPr>
        <w:t>产品交付</w:t>
      </w:r>
    </w:p>
    <w:p w14:paraId="6F42368A">
      <w:pPr>
        <w:pStyle w:val="7"/>
        <w:spacing w:before="156" w:beforeLines="50" w:after="156" w:afterLines="50" w:line="480" w:lineRule="exact"/>
        <w:ind w:firstLine="480" w:firstLineChars="200"/>
        <w:rPr>
          <w:b w:val="0"/>
          <w:sz w:val="24"/>
          <w:lang w:val="en-GB"/>
        </w:rPr>
      </w:pPr>
      <w:bookmarkStart w:id="580" w:name="OLE_LINK62"/>
      <w:r>
        <w:rPr>
          <w:rFonts w:hint="eastAsia"/>
          <w:b w:val="0"/>
          <w:sz w:val="24"/>
          <w:szCs w:val="24"/>
        </w:rPr>
        <w:t>1、</w:t>
      </w:r>
      <w:r>
        <w:rPr>
          <w:b w:val="0"/>
          <w:sz w:val="24"/>
          <w:szCs w:val="24"/>
        </w:rPr>
        <w:t>交货地点：【______________________________________】</w:t>
      </w:r>
      <w:r>
        <w:rPr>
          <w:rFonts w:hint="eastAsia"/>
          <w:b w:val="0"/>
          <w:sz w:val="24"/>
          <w:szCs w:val="24"/>
        </w:rPr>
        <w:t>。</w:t>
      </w:r>
    </w:p>
    <w:p w14:paraId="2CED9657">
      <w:pPr>
        <w:pStyle w:val="7"/>
        <w:spacing w:before="156" w:beforeLines="50" w:after="156" w:afterLines="50" w:line="480" w:lineRule="exact"/>
        <w:ind w:left="851"/>
        <w:rPr>
          <w:b w:val="0"/>
          <w:sz w:val="24"/>
          <w:lang w:val="en-GB"/>
        </w:rPr>
      </w:pPr>
      <w:r>
        <w:rPr>
          <w:rFonts w:hint="eastAsia"/>
          <w:b w:val="0"/>
          <w:sz w:val="24"/>
          <w:szCs w:val="24"/>
        </w:rPr>
        <w:t>卖方负责将产品送货至交货地点并负责卸货。送货所需运输费、保险费、包装费、安装费、劳务及材料费、货到现场的卸车及其他交货前发生的相关费用均由卖方承担。</w:t>
      </w:r>
    </w:p>
    <w:p w14:paraId="66CB4A16">
      <w:pPr>
        <w:pStyle w:val="7"/>
        <w:spacing w:before="156" w:beforeLines="50" w:after="156" w:afterLines="50" w:line="480" w:lineRule="exact"/>
        <w:rPr>
          <w:b w:val="0"/>
          <w:bCs/>
          <w:sz w:val="24"/>
          <w:lang w:val="en-GB"/>
        </w:rPr>
      </w:pPr>
      <w:r>
        <w:rPr>
          <w:rFonts w:hint="eastAsia"/>
          <w:b w:val="0"/>
          <w:bCs/>
          <w:sz w:val="24"/>
          <w:szCs w:val="24"/>
        </w:rPr>
        <w:t>2、</w:t>
      </w:r>
      <w:r>
        <w:rPr>
          <w:b w:val="0"/>
          <w:bCs/>
          <w:sz w:val="24"/>
          <w:szCs w:val="24"/>
        </w:rPr>
        <w:t>交货期：</w:t>
      </w:r>
      <w:r>
        <w:rPr>
          <w:b w:val="0"/>
          <w:sz w:val="24"/>
          <w:szCs w:val="24"/>
        </w:rPr>
        <w:t>【______________________________________】</w:t>
      </w:r>
      <w:r>
        <w:rPr>
          <w:rFonts w:hint="eastAsia"/>
          <w:b w:val="0"/>
          <w:sz w:val="24"/>
          <w:szCs w:val="24"/>
        </w:rPr>
        <w:t>。买方有权推迟交货日期。买方要求变更交货日期，应提前2日以书面或口头形式通知卖方，卖方应按买方通知的日期交货。</w:t>
      </w:r>
    </w:p>
    <w:bookmarkEnd w:id="580"/>
    <w:p w14:paraId="72745E0C">
      <w:pPr>
        <w:pStyle w:val="7"/>
        <w:spacing w:before="156" w:beforeLines="50" w:after="156" w:afterLines="50" w:line="480" w:lineRule="exact"/>
        <w:rPr>
          <w:b w:val="0"/>
          <w:bCs/>
          <w:sz w:val="24"/>
          <w:lang w:val="en-GB"/>
        </w:rPr>
      </w:pPr>
      <w:r>
        <w:rPr>
          <w:rFonts w:hint="eastAsia"/>
          <w:b w:val="0"/>
          <w:bCs/>
          <w:sz w:val="24"/>
          <w:szCs w:val="24"/>
        </w:rPr>
        <w:t>3、</w:t>
      </w:r>
      <w:r>
        <w:rPr>
          <w:b w:val="0"/>
          <w:bCs/>
          <w:sz w:val="24"/>
          <w:szCs w:val="24"/>
        </w:rPr>
        <w:t>包装：卖方应当采用适当的安全的包装，能防潮、防湿、防震、防尘，卖方应对因未采取适当充分的包装保护措施而造成的任何损坏负责。</w:t>
      </w:r>
    </w:p>
    <w:p w14:paraId="3D07B054">
      <w:pPr>
        <w:pStyle w:val="7"/>
        <w:spacing w:before="156" w:beforeLines="50" w:after="156" w:afterLines="50" w:line="480" w:lineRule="exact"/>
        <w:rPr>
          <w:b w:val="0"/>
          <w:bCs/>
          <w:sz w:val="24"/>
          <w:lang w:val="en-GB"/>
        </w:rPr>
      </w:pPr>
      <w:r>
        <w:rPr>
          <w:b w:val="0"/>
          <w:bCs/>
          <w:sz w:val="24"/>
          <w:szCs w:val="24"/>
          <w:lang w:val="en-GB"/>
        </w:rPr>
        <w:t>4</w:t>
      </w:r>
      <w:r>
        <w:rPr>
          <w:rFonts w:hint="eastAsia"/>
          <w:b w:val="0"/>
          <w:bCs/>
          <w:sz w:val="24"/>
          <w:szCs w:val="24"/>
          <w:lang w:val="en-GB"/>
        </w:rPr>
        <w:t>、</w:t>
      </w:r>
      <w:r>
        <w:rPr>
          <w:b w:val="0"/>
          <w:bCs/>
          <w:sz w:val="24"/>
          <w:szCs w:val="24"/>
        </w:rPr>
        <w:t>风险的转移：产品交到买方指定的交货地点且经买方验收合格后发生的灭失和损坏</w:t>
      </w:r>
      <w:r>
        <w:rPr>
          <w:rFonts w:hint="eastAsia"/>
          <w:b w:val="0"/>
          <w:bCs/>
          <w:sz w:val="24"/>
          <w:szCs w:val="24"/>
        </w:rPr>
        <w:t>风险</w:t>
      </w:r>
      <w:r>
        <w:rPr>
          <w:b w:val="0"/>
          <w:bCs/>
          <w:sz w:val="24"/>
          <w:szCs w:val="24"/>
        </w:rPr>
        <w:t>由买方</w:t>
      </w:r>
      <w:r>
        <w:rPr>
          <w:rFonts w:hint="eastAsia"/>
          <w:b w:val="0"/>
          <w:bCs/>
          <w:sz w:val="24"/>
          <w:szCs w:val="24"/>
        </w:rPr>
        <w:t>承担</w:t>
      </w:r>
      <w:r>
        <w:rPr>
          <w:b w:val="0"/>
          <w:bCs/>
          <w:sz w:val="24"/>
          <w:szCs w:val="24"/>
        </w:rPr>
        <w:t>（但卖方应对因其自身原因和产品潜在问题造成的灭失和损毁负责），在此之前的产品灭失与损坏</w:t>
      </w:r>
      <w:r>
        <w:rPr>
          <w:rFonts w:hint="eastAsia"/>
          <w:b w:val="0"/>
          <w:bCs/>
          <w:sz w:val="24"/>
          <w:szCs w:val="24"/>
        </w:rPr>
        <w:t>风险</w:t>
      </w:r>
      <w:r>
        <w:rPr>
          <w:b w:val="0"/>
          <w:bCs/>
          <w:sz w:val="24"/>
          <w:szCs w:val="24"/>
        </w:rPr>
        <w:t>由卖方</w:t>
      </w:r>
      <w:r>
        <w:rPr>
          <w:rFonts w:hint="eastAsia"/>
          <w:b w:val="0"/>
          <w:bCs/>
          <w:sz w:val="24"/>
          <w:szCs w:val="24"/>
        </w:rPr>
        <w:t>承担</w:t>
      </w:r>
      <w:r>
        <w:rPr>
          <w:b w:val="0"/>
          <w:bCs/>
          <w:sz w:val="24"/>
          <w:szCs w:val="24"/>
        </w:rPr>
        <w:t>。</w:t>
      </w:r>
    </w:p>
    <w:p w14:paraId="4D8417A2">
      <w:pPr>
        <w:pStyle w:val="7"/>
        <w:spacing w:before="156" w:beforeLines="50" w:after="156" w:afterLines="50" w:line="480" w:lineRule="exact"/>
        <w:rPr>
          <w:b w:val="0"/>
          <w:bCs/>
          <w:sz w:val="24"/>
          <w:lang w:val="en-GB"/>
        </w:rPr>
      </w:pPr>
      <w:r>
        <w:rPr>
          <w:b w:val="0"/>
          <w:bCs/>
          <w:sz w:val="24"/>
          <w:szCs w:val="24"/>
          <w:lang w:val="en-GB"/>
        </w:rPr>
        <w:t>5</w:t>
      </w:r>
      <w:r>
        <w:rPr>
          <w:rFonts w:hint="eastAsia"/>
          <w:b w:val="0"/>
          <w:bCs/>
          <w:sz w:val="24"/>
          <w:szCs w:val="24"/>
          <w:lang w:val="en-GB"/>
        </w:rPr>
        <w:t>、</w:t>
      </w:r>
      <w:r>
        <w:rPr>
          <w:b w:val="0"/>
          <w:bCs/>
          <w:sz w:val="24"/>
          <w:szCs w:val="24"/>
        </w:rPr>
        <w:t>所有权：产品移交给买方后，买方享有产品所有权。在此之前的所有权归卖方享有。</w:t>
      </w:r>
    </w:p>
    <w:p w14:paraId="373E66D4">
      <w:pPr>
        <w:pStyle w:val="7"/>
        <w:spacing w:before="156" w:beforeLines="50" w:after="156" w:afterLines="50" w:line="480" w:lineRule="exact"/>
        <w:rPr>
          <w:sz w:val="24"/>
          <w:lang w:val="en-GB"/>
        </w:rPr>
      </w:pPr>
      <w:r>
        <w:rPr>
          <w:sz w:val="24"/>
          <w:lang w:val="en-GB"/>
        </w:rPr>
        <w:t>第四条</w:t>
      </w:r>
      <w:r>
        <w:rPr>
          <w:rFonts w:hint="eastAsia"/>
          <w:sz w:val="24"/>
          <w:lang w:val="en-GB"/>
        </w:rPr>
        <w:t>、</w:t>
      </w:r>
      <w:r>
        <w:rPr>
          <w:sz w:val="24"/>
          <w:lang w:val="en-GB"/>
        </w:rPr>
        <w:t>验收</w:t>
      </w:r>
      <w:r>
        <w:rPr>
          <w:rFonts w:hint="eastAsia"/>
          <w:sz w:val="24"/>
          <w:lang w:val="en-GB"/>
        </w:rPr>
        <w:t>与质量保证期</w:t>
      </w:r>
    </w:p>
    <w:p w14:paraId="46936C88">
      <w:pPr>
        <w:pStyle w:val="8"/>
        <w:spacing w:before="50" w:after="50" w:line="480" w:lineRule="exact"/>
        <w:rPr>
          <w:sz w:val="24"/>
          <w:szCs w:val="24"/>
        </w:rPr>
      </w:pPr>
      <w:r>
        <w:rPr>
          <w:sz w:val="24"/>
          <w:szCs w:val="24"/>
          <w:lang w:val="en-GB"/>
        </w:rPr>
        <w:t>1</w:t>
      </w:r>
      <w:r>
        <w:rPr>
          <w:rFonts w:hint="eastAsia"/>
          <w:sz w:val="24"/>
          <w:szCs w:val="24"/>
          <w:lang w:val="en-GB"/>
        </w:rPr>
        <w:t>、</w:t>
      </w:r>
      <w:r>
        <w:rPr>
          <w:sz w:val="24"/>
          <w:szCs w:val="24"/>
        </w:rPr>
        <w:t>产品被送达交货地点后，买方将依照本合同第1条中规定的性能、用途、技术参数</w:t>
      </w:r>
      <w:r>
        <w:rPr>
          <w:rFonts w:hint="eastAsia"/>
          <w:sz w:val="24"/>
          <w:szCs w:val="24"/>
        </w:rPr>
        <w:t>、质量标准</w:t>
      </w:r>
      <w:r>
        <w:rPr>
          <w:sz w:val="24"/>
          <w:szCs w:val="24"/>
        </w:rPr>
        <w:t>等对产品进行验收检验，如果检验结果符合上述规定，则产品合格，予以验收。</w:t>
      </w:r>
      <w:bookmarkStart w:id="581" w:name="OLE_LINK44"/>
      <w:r>
        <w:rPr>
          <w:rFonts w:hint="eastAsia"/>
          <w:sz w:val="24"/>
          <w:szCs w:val="24"/>
        </w:rPr>
        <w:t>买方与卖方共同签署书面《验收证明》，但买方签署的验收证明不能解除卖方承诺其产品符合合同规定的质量及技术标准的义务，卖方仍应当就产品的技术及质量问题承担责任。</w:t>
      </w:r>
    </w:p>
    <w:p w14:paraId="26A36285">
      <w:pPr>
        <w:pStyle w:val="8"/>
        <w:spacing w:before="50" w:after="50" w:line="480" w:lineRule="exact"/>
        <w:ind w:firstLine="480" w:firstLineChars="200"/>
        <w:rPr>
          <w:sz w:val="24"/>
          <w:szCs w:val="24"/>
        </w:rPr>
      </w:pPr>
      <w:r>
        <w:rPr>
          <w:rFonts w:hint="eastAsia"/>
          <w:sz w:val="24"/>
          <w:szCs w:val="24"/>
        </w:rPr>
        <w:t>若产品未能达到本合同约定的验收标准，卖方应在3日内采取合理措施使产品达到验收标准。</w:t>
      </w:r>
      <w:bookmarkStart w:id="582" w:name="OLE_LINK14"/>
      <w:bookmarkStart w:id="583" w:name="OLE_LINK12"/>
      <w:r>
        <w:rPr>
          <w:rFonts w:hint="eastAsia"/>
          <w:sz w:val="24"/>
          <w:szCs w:val="24"/>
        </w:rPr>
        <w:t>如因此造成未按约定时间交货的，卖方应承担交付迟延的违约责任。</w:t>
      </w:r>
      <w:bookmarkEnd w:id="582"/>
      <w:bookmarkEnd w:id="583"/>
    </w:p>
    <w:p w14:paraId="30CDDA8C">
      <w:pPr>
        <w:pStyle w:val="8"/>
        <w:spacing w:before="50" w:after="50" w:line="480" w:lineRule="exact"/>
        <w:ind w:firstLine="480" w:firstLineChars="200"/>
        <w:rPr>
          <w:sz w:val="24"/>
          <w:szCs w:val="24"/>
        </w:rPr>
      </w:pPr>
      <w:r>
        <w:rPr>
          <w:rFonts w:hint="eastAsia"/>
          <w:sz w:val="24"/>
          <w:szCs w:val="24"/>
        </w:rPr>
        <w:t>如产品经卖方上述补正仍不能达到验收标准的，买方有权解除本合同。如买方因此原因解除合同的，一经买方通知，卖方应在3日内全额退还买方已支付的款项，并自费从买方取走已交付的所有产品。</w:t>
      </w:r>
    </w:p>
    <w:p w14:paraId="4A790EB4">
      <w:pPr>
        <w:pStyle w:val="8"/>
        <w:spacing w:before="50" w:after="50" w:line="480" w:lineRule="exact"/>
        <w:rPr>
          <w:sz w:val="24"/>
          <w:szCs w:val="24"/>
        </w:rPr>
      </w:pPr>
      <w:r>
        <w:rPr>
          <w:rFonts w:hint="eastAsia"/>
          <w:sz w:val="24"/>
          <w:szCs w:val="24"/>
        </w:rPr>
        <w:t>2、本合同项下产品的保修期为【</w:t>
      </w:r>
      <w:r>
        <w:rPr>
          <w:sz w:val="24"/>
          <w:szCs w:val="24"/>
        </w:rPr>
        <w:t xml:space="preserve">   </w:t>
      </w:r>
      <w:r>
        <w:rPr>
          <w:rFonts w:hint="eastAsia"/>
          <w:sz w:val="24"/>
          <w:szCs w:val="24"/>
        </w:rPr>
        <w:t>】个月，自双方签署《验收证明》之日起算。在此期间卖方应提供免费的维修、维护及损坏零配件更换服务。对于经过维修或更换的产品，保修期自维修或更换后能够正常使用之日起重新计算。</w:t>
      </w:r>
    </w:p>
    <w:bookmarkEnd w:id="581"/>
    <w:p w14:paraId="3EFECF18">
      <w:pPr>
        <w:pStyle w:val="7"/>
        <w:spacing w:before="156" w:beforeLines="50" w:after="156" w:afterLines="50" w:line="480" w:lineRule="exact"/>
        <w:rPr>
          <w:sz w:val="24"/>
          <w:lang w:val="en-GB"/>
        </w:rPr>
      </w:pPr>
      <w:r>
        <w:rPr>
          <w:sz w:val="24"/>
          <w:lang w:val="en-GB"/>
        </w:rPr>
        <w:t>第五条</w:t>
      </w:r>
      <w:r>
        <w:rPr>
          <w:rFonts w:hint="eastAsia"/>
          <w:sz w:val="24"/>
          <w:lang w:val="en-GB"/>
        </w:rPr>
        <w:t>、</w:t>
      </w:r>
      <w:r>
        <w:rPr>
          <w:sz w:val="24"/>
          <w:lang w:val="en-GB"/>
        </w:rPr>
        <w:t>陈述与保证</w:t>
      </w:r>
    </w:p>
    <w:p w14:paraId="385E59CF">
      <w:pPr>
        <w:pStyle w:val="11"/>
        <w:spacing w:before="50" w:after="50" w:line="480" w:lineRule="exact"/>
        <w:rPr>
          <w:szCs w:val="24"/>
        </w:rPr>
      </w:pPr>
      <w:r>
        <w:rPr>
          <w:rFonts w:hint="eastAsia"/>
          <w:szCs w:val="24"/>
        </w:rPr>
        <w:t xml:space="preserve">    </w:t>
      </w:r>
      <w:r>
        <w:rPr>
          <w:szCs w:val="24"/>
        </w:rPr>
        <w:t>卖方同意作出如下陈述与保证：</w:t>
      </w:r>
    </w:p>
    <w:p w14:paraId="7980FE72">
      <w:pPr>
        <w:pStyle w:val="11"/>
        <w:spacing w:before="50" w:after="50" w:line="480" w:lineRule="exact"/>
        <w:rPr>
          <w:szCs w:val="24"/>
        </w:rPr>
      </w:pPr>
      <w:r>
        <w:rPr>
          <w:rFonts w:hint="eastAsia"/>
          <w:szCs w:val="24"/>
        </w:rPr>
        <w:t>1、</w:t>
      </w:r>
      <w:r>
        <w:rPr>
          <w:szCs w:val="24"/>
        </w:rPr>
        <w:t>卖方有权签订本合同，且其对本合同的履行不会违反对卖方有约束力的任何合同条款、义务、法律、规章或法令；</w:t>
      </w:r>
    </w:p>
    <w:p w14:paraId="36AB457F">
      <w:pPr>
        <w:pStyle w:val="11"/>
        <w:spacing w:before="50" w:after="50" w:line="480" w:lineRule="exact"/>
        <w:rPr>
          <w:szCs w:val="24"/>
        </w:rPr>
      </w:pPr>
      <w:r>
        <w:rPr>
          <w:szCs w:val="24"/>
        </w:rPr>
        <w:t>2</w:t>
      </w:r>
      <w:r>
        <w:rPr>
          <w:rFonts w:hint="eastAsia"/>
          <w:szCs w:val="24"/>
        </w:rPr>
        <w:t>、</w:t>
      </w:r>
      <w:r>
        <w:rPr>
          <w:szCs w:val="24"/>
        </w:rPr>
        <w:t>不存在针对或危及</w:t>
      </w:r>
      <w:r>
        <w:rPr>
          <w:rFonts w:hint="eastAsia"/>
          <w:szCs w:val="24"/>
        </w:rPr>
        <w:t>买</w:t>
      </w:r>
      <w:r>
        <w:rPr>
          <w:szCs w:val="24"/>
        </w:rPr>
        <w:t>方的，将对本合同项下买方权利构成影响的索赔、留置或诉讼；</w:t>
      </w:r>
    </w:p>
    <w:p w14:paraId="381C5214">
      <w:pPr>
        <w:pStyle w:val="11"/>
        <w:spacing w:before="50" w:after="50" w:line="480" w:lineRule="exact"/>
        <w:rPr>
          <w:szCs w:val="24"/>
        </w:rPr>
      </w:pPr>
      <w:r>
        <w:rPr>
          <w:szCs w:val="24"/>
        </w:rPr>
        <w:t>3</w:t>
      </w:r>
      <w:r>
        <w:rPr>
          <w:rFonts w:hint="eastAsia"/>
          <w:szCs w:val="24"/>
        </w:rPr>
        <w:t>、</w:t>
      </w:r>
      <w:r>
        <w:rPr>
          <w:szCs w:val="24"/>
        </w:rPr>
        <w:t>产品没有超过其储存期限；</w:t>
      </w:r>
    </w:p>
    <w:p w14:paraId="5F02775A">
      <w:pPr>
        <w:pStyle w:val="11"/>
        <w:spacing w:before="50" w:after="50" w:line="480" w:lineRule="exact"/>
        <w:rPr>
          <w:szCs w:val="24"/>
        </w:rPr>
      </w:pPr>
      <w:r>
        <w:rPr>
          <w:szCs w:val="24"/>
        </w:rPr>
        <w:t>4</w:t>
      </w:r>
      <w:r>
        <w:rPr>
          <w:rFonts w:hint="eastAsia"/>
          <w:szCs w:val="24"/>
        </w:rPr>
        <w:t>、</w:t>
      </w:r>
      <w:r>
        <w:rPr>
          <w:szCs w:val="24"/>
        </w:rPr>
        <w:t>产品不存在设计上、材料上和制造工艺上的缺陷，并符合本合同的保证、</w:t>
      </w:r>
      <w:r>
        <w:rPr>
          <w:rFonts w:hint="eastAsia"/>
          <w:szCs w:val="24"/>
        </w:rPr>
        <w:t>质量、</w:t>
      </w:r>
      <w:r>
        <w:rPr>
          <w:szCs w:val="24"/>
        </w:rPr>
        <w:t>技术规格和</w:t>
      </w:r>
      <w:r>
        <w:rPr>
          <w:rFonts w:hint="eastAsia"/>
          <w:szCs w:val="24"/>
        </w:rPr>
        <w:t>性能等</w:t>
      </w:r>
      <w:r>
        <w:rPr>
          <w:szCs w:val="24"/>
        </w:rPr>
        <w:t>要求</w:t>
      </w:r>
      <w:r>
        <w:rPr>
          <w:rFonts w:hint="eastAsia"/>
          <w:szCs w:val="24"/>
        </w:rPr>
        <w:t>或标准</w:t>
      </w:r>
      <w:r>
        <w:rPr>
          <w:szCs w:val="24"/>
        </w:rPr>
        <w:t>，且使用产品是安全的；</w:t>
      </w:r>
    </w:p>
    <w:p w14:paraId="7891A832">
      <w:pPr>
        <w:pStyle w:val="11"/>
        <w:spacing w:before="50" w:after="50" w:line="480" w:lineRule="exact"/>
        <w:rPr>
          <w:szCs w:val="24"/>
        </w:rPr>
      </w:pPr>
      <w:r>
        <w:rPr>
          <w:szCs w:val="24"/>
        </w:rPr>
        <w:t>5</w:t>
      </w:r>
      <w:r>
        <w:rPr>
          <w:rFonts w:hint="eastAsia"/>
          <w:szCs w:val="24"/>
        </w:rPr>
        <w:t>、在产品使用寿命期内</w:t>
      </w:r>
      <w:r>
        <w:rPr>
          <w:szCs w:val="24"/>
        </w:rPr>
        <w:t>，</w:t>
      </w:r>
      <w:r>
        <w:rPr>
          <w:rFonts w:hint="eastAsia"/>
          <w:szCs w:val="24"/>
        </w:rPr>
        <w:t>为确保买方正常使用产品之目的，向买方</w:t>
      </w:r>
      <w:r>
        <w:rPr>
          <w:szCs w:val="24"/>
        </w:rPr>
        <w:t>提供</w:t>
      </w:r>
      <w:r>
        <w:rPr>
          <w:rFonts w:hint="eastAsia"/>
          <w:szCs w:val="24"/>
        </w:rPr>
        <w:t>技术指导、技术配合、技术培训等全过程</w:t>
      </w:r>
      <w:r>
        <w:rPr>
          <w:szCs w:val="24"/>
        </w:rPr>
        <w:t>的服务；</w:t>
      </w:r>
    </w:p>
    <w:p w14:paraId="4535858A">
      <w:pPr>
        <w:pStyle w:val="11"/>
        <w:spacing w:before="50" w:after="50" w:line="480" w:lineRule="exact"/>
        <w:rPr>
          <w:szCs w:val="24"/>
        </w:rPr>
      </w:pPr>
      <w:r>
        <w:rPr>
          <w:szCs w:val="24"/>
        </w:rPr>
        <w:t>6</w:t>
      </w:r>
      <w:r>
        <w:rPr>
          <w:rFonts w:hint="eastAsia"/>
          <w:szCs w:val="24"/>
        </w:rPr>
        <w:t>、</w:t>
      </w:r>
      <w:r>
        <w:rPr>
          <w:szCs w:val="24"/>
        </w:rPr>
        <w:t>产品是</w:t>
      </w:r>
      <w:r>
        <w:rPr>
          <w:rFonts w:hint="eastAsia"/>
          <w:szCs w:val="24"/>
        </w:rPr>
        <w:t>全</w:t>
      </w:r>
      <w:r>
        <w:rPr>
          <w:szCs w:val="24"/>
        </w:rPr>
        <w:t>新的且</w:t>
      </w:r>
      <w:r>
        <w:rPr>
          <w:rFonts w:hint="eastAsia"/>
          <w:szCs w:val="24"/>
        </w:rPr>
        <w:t>未被使用过或</w:t>
      </w:r>
      <w:r>
        <w:rPr>
          <w:szCs w:val="24"/>
        </w:rPr>
        <w:t>不包含任何</w:t>
      </w:r>
      <w:r>
        <w:rPr>
          <w:rFonts w:hint="eastAsia"/>
          <w:szCs w:val="24"/>
        </w:rPr>
        <w:t>使</w:t>
      </w:r>
      <w:r>
        <w:rPr>
          <w:szCs w:val="24"/>
        </w:rPr>
        <w:t>用过的零</w:t>
      </w:r>
      <w:r>
        <w:rPr>
          <w:rFonts w:hint="eastAsia"/>
          <w:szCs w:val="24"/>
        </w:rPr>
        <w:t>部</w:t>
      </w:r>
      <w:r>
        <w:rPr>
          <w:szCs w:val="24"/>
        </w:rPr>
        <w:t>件；</w:t>
      </w:r>
    </w:p>
    <w:p w14:paraId="0C57382D">
      <w:pPr>
        <w:pStyle w:val="7"/>
        <w:spacing w:before="156" w:beforeLines="50" w:after="156" w:afterLines="50" w:line="480" w:lineRule="exact"/>
        <w:rPr>
          <w:sz w:val="24"/>
          <w:lang w:val="en-GB"/>
        </w:rPr>
      </w:pPr>
      <w:r>
        <w:rPr>
          <w:sz w:val="24"/>
        </w:rPr>
        <w:t>第六条</w:t>
      </w:r>
      <w:r>
        <w:rPr>
          <w:rFonts w:hint="eastAsia"/>
          <w:sz w:val="24"/>
        </w:rPr>
        <w:t>、</w:t>
      </w:r>
      <w:r>
        <w:rPr>
          <w:sz w:val="24"/>
          <w:lang w:val="en-GB"/>
        </w:rPr>
        <w:t>违约责任</w:t>
      </w:r>
    </w:p>
    <w:p w14:paraId="2EC52650">
      <w:pPr>
        <w:pStyle w:val="8"/>
        <w:spacing w:before="50" w:after="50" w:line="480" w:lineRule="exact"/>
        <w:rPr>
          <w:sz w:val="24"/>
          <w:szCs w:val="24"/>
        </w:rPr>
      </w:pPr>
      <w:r>
        <w:rPr>
          <w:rFonts w:hint="eastAsia"/>
          <w:sz w:val="24"/>
          <w:szCs w:val="24"/>
        </w:rPr>
        <w:t>1、</w:t>
      </w:r>
      <w:r>
        <w:rPr>
          <w:sz w:val="24"/>
          <w:szCs w:val="24"/>
        </w:rPr>
        <w:t>提前交货：产品应</w:t>
      </w:r>
      <w:r>
        <w:rPr>
          <w:rFonts w:hint="eastAsia"/>
          <w:sz w:val="24"/>
          <w:szCs w:val="24"/>
        </w:rPr>
        <w:t>按照本合同</w:t>
      </w:r>
      <w:r>
        <w:rPr>
          <w:sz w:val="24"/>
          <w:szCs w:val="24"/>
        </w:rPr>
        <w:t>的</w:t>
      </w:r>
      <w:r>
        <w:rPr>
          <w:rFonts w:hint="eastAsia"/>
          <w:sz w:val="24"/>
          <w:szCs w:val="24"/>
        </w:rPr>
        <w:t>约定</w:t>
      </w:r>
      <w:r>
        <w:rPr>
          <w:sz w:val="24"/>
          <w:szCs w:val="24"/>
        </w:rPr>
        <w:t>交付。未经买方书面同意，卖方不得提前交货，否则买方有权拒收。</w:t>
      </w:r>
      <w:r>
        <w:rPr>
          <w:rFonts w:hint="eastAsia"/>
          <w:sz w:val="24"/>
          <w:szCs w:val="24"/>
        </w:rPr>
        <w:t>如买方同意提前交货，卖方应承担因此给买方带来的额外费用，包括但不限于仓储费用以及从收货至本合同约定的交货期内买方发生的其他额外费用。</w:t>
      </w:r>
    </w:p>
    <w:p w14:paraId="59F3B6FE">
      <w:pPr>
        <w:pStyle w:val="8"/>
        <w:spacing w:before="50" w:after="50" w:line="480" w:lineRule="exact"/>
        <w:rPr>
          <w:sz w:val="24"/>
          <w:szCs w:val="24"/>
        </w:rPr>
      </w:pPr>
      <w:r>
        <w:rPr>
          <w:sz w:val="24"/>
          <w:szCs w:val="24"/>
        </w:rPr>
        <w:t>2</w:t>
      </w:r>
      <w:r>
        <w:rPr>
          <w:rFonts w:hint="eastAsia"/>
          <w:sz w:val="24"/>
          <w:szCs w:val="24"/>
        </w:rPr>
        <w:t>、卖方违反陈述与保证的补偿：</w:t>
      </w:r>
      <w:r>
        <w:rPr>
          <w:sz w:val="24"/>
          <w:szCs w:val="24"/>
        </w:rPr>
        <w:t>若</w:t>
      </w:r>
      <w:r>
        <w:rPr>
          <w:rFonts w:hint="eastAsia"/>
          <w:sz w:val="24"/>
          <w:szCs w:val="24"/>
        </w:rPr>
        <w:t>卖方提供的</w:t>
      </w:r>
      <w:r>
        <w:rPr>
          <w:sz w:val="24"/>
          <w:szCs w:val="24"/>
        </w:rPr>
        <w:t>产品</w:t>
      </w:r>
      <w:r>
        <w:rPr>
          <w:rFonts w:hint="eastAsia"/>
          <w:sz w:val="24"/>
          <w:szCs w:val="24"/>
        </w:rPr>
        <w:t>与</w:t>
      </w:r>
      <w:r>
        <w:rPr>
          <w:sz w:val="24"/>
          <w:szCs w:val="24"/>
        </w:rPr>
        <w:t>本合同的保证条款不相符，卖方应应买方的要求采取以下一种或几种补救措施：</w:t>
      </w:r>
    </w:p>
    <w:p w14:paraId="50013FEB">
      <w:pPr>
        <w:pStyle w:val="8"/>
        <w:spacing w:before="50" w:after="50" w:line="480" w:lineRule="exact"/>
        <w:rPr>
          <w:sz w:val="24"/>
          <w:szCs w:val="24"/>
        </w:rPr>
      </w:pPr>
      <w:r>
        <w:rPr>
          <w:sz w:val="24"/>
          <w:szCs w:val="24"/>
        </w:rPr>
        <w:t>(1)卖方应接受买方的退货并返还买方就退货部分已经支付的货款。卖方应承担因此给买方造成的所有损失及产生的所有费用。</w:t>
      </w:r>
    </w:p>
    <w:p w14:paraId="1349F442">
      <w:pPr>
        <w:pStyle w:val="8"/>
        <w:spacing w:before="50" w:after="50" w:line="480" w:lineRule="exact"/>
        <w:rPr>
          <w:sz w:val="24"/>
          <w:szCs w:val="24"/>
        </w:rPr>
      </w:pPr>
      <w:r>
        <w:rPr>
          <w:sz w:val="24"/>
          <w:szCs w:val="24"/>
        </w:rPr>
        <w:t>(2)双方协商依照产品的不良程度及买方所受损失对不良品进行降价采购。</w:t>
      </w:r>
    </w:p>
    <w:p w14:paraId="1F881439">
      <w:pPr>
        <w:pStyle w:val="8"/>
        <w:spacing w:before="50" w:after="50" w:line="480" w:lineRule="exact"/>
        <w:rPr>
          <w:sz w:val="24"/>
          <w:szCs w:val="24"/>
        </w:rPr>
      </w:pPr>
      <w:r>
        <w:rPr>
          <w:sz w:val="24"/>
          <w:szCs w:val="24"/>
        </w:rPr>
        <w:t>(3)卖方应及时并免费对产品进行修理或更换，或再次提供服务，卖方应承担因此</w:t>
      </w:r>
      <w:r>
        <w:rPr>
          <w:rFonts w:hint="eastAsia"/>
          <w:sz w:val="24"/>
          <w:szCs w:val="24"/>
        </w:rPr>
        <w:t>而产生的所有费用。</w:t>
      </w:r>
    </w:p>
    <w:p w14:paraId="5F4EB2ED">
      <w:pPr>
        <w:pStyle w:val="8"/>
        <w:spacing w:before="50" w:after="50" w:line="480" w:lineRule="exact"/>
        <w:rPr>
          <w:sz w:val="24"/>
          <w:szCs w:val="24"/>
        </w:rPr>
      </w:pPr>
      <w:r>
        <w:rPr>
          <w:sz w:val="24"/>
          <w:szCs w:val="24"/>
        </w:rPr>
        <w:t>3</w:t>
      </w:r>
      <w:r>
        <w:rPr>
          <w:rFonts w:hint="eastAsia"/>
          <w:sz w:val="24"/>
          <w:szCs w:val="24"/>
        </w:rPr>
        <w:t>、</w:t>
      </w:r>
      <w:r>
        <w:rPr>
          <w:sz w:val="24"/>
          <w:szCs w:val="24"/>
        </w:rPr>
        <w:t>产品质量索赔：卖方承诺，如产品在</w:t>
      </w:r>
      <w:r>
        <w:rPr>
          <w:rFonts w:hint="eastAsia"/>
          <w:sz w:val="24"/>
          <w:szCs w:val="24"/>
        </w:rPr>
        <w:t>保修期</w:t>
      </w:r>
      <w:r>
        <w:rPr>
          <w:sz w:val="24"/>
          <w:szCs w:val="24"/>
        </w:rPr>
        <w:t>内</w:t>
      </w:r>
      <w:r>
        <w:rPr>
          <w:rFonts w:hint="eastAsia"/>
          <w:sz w:val="24"/>
          <w:szCs w:val="24"/>
        </w:rPr>
        <w:t>出现</w:t>
      </w:r>
      <w:r>
        <w:rPr>
          <w:sz w:val="24"/>
          <w:szCs w:val="24"/>
        </w:rPr>
        <w:t>质量问题，</w:t>
      </w:r>
      <w:r>
        <w:rPr>
          <w:rFonts w:hint="eastAsia"/>
          <w:sz w:val="24"/>
          <w:szCs w:val="24"/>
        </w:rPr>
        <w:t>卖方应免费修理、更换或退货，卖方应在收到买方提出的要求后1日内做出响应。</w:t>
      </w:r>
    </w:p>
    <w:p w14:paraId="3636ECDC">
      <w:pPr>
        <w:pStyle w:val="8"/>
        <w:spacing w:before="50" w:after="50" w:line="480" w:lineRule="exact"/>
        <w:ind w:firstLine="480" w:firstLineChars="200"/>
        <w:rPr>
          <w:sz w:val="24"/>
          <w:szCs w:val="24"/>
        </w:rPr>
      </w:pPr>
      <w:r>
        <w:rPr>
          <w:rFonts w:hint="eastAsia"/>
          <w:sz w:val="24"/>
          <w:szCs w:val="24"/>
        </w:rPr>
        <w:t>如买方要求修理、更换的，卖方应在接到买方发出的通知后2</w:t>
      </w:r>
      <w:r>
        <w:rPr>
          <w:sz w:val="24"/>
          <w:szCs w:val="24"/>
        </w:rPr>
        <w:t>4</w:t>
      </w:r>
      <w:r>
        <w:rPr>
          <w:rFonts w:hint="eastAsia"/>
          <w:sz w:val="24"/>
          <w:szCs w:val="24"/>
        </w:rPr>
        <w:t>个小时内抵达现场进行免费维修或更换</w:t>
      </w:r>
      <w:r>
        <w:rPr>
          <w:sz w:val="24"/>
          <w:szCs w:val="24"/>
        </w:rPr>
        <w:t>，</w:t>
      </w:r>
      <w:r>
        <w:rPr>
          <w:rFonts w:hint="eastAsia"/>
          <w:sz w:val="24"/>
          <w:szCs w:val="24"/>
        </w:rPr>
        <w:t>若超时未到，且经买方催告后在买方规定的合理期限内仍未提供服务的，买方可委托第三方维修，维修、更换的费用买方可先行垫付，卖方应全额补偿买方因此支付的所有相关费用。若出现质量问题的产品经维修仍不能达到正常使用标准且卖方不能在3日内提供令买方满意的替换产品的，</w:t>
      </w:r>
      <w:r>
        <w:rPr>
          <w:sz w:val="24"/>
          <w:szCs w:val="24"/>
        </w:rPr>
        <w:t>卖方应</w:t>
      </w:r>
      <w:r>
        <w:rPr>
          <w:rFonts w:hint="eastAsia"/>
          <w:sz w:val="24"/>
          <w:szCs w:val="24"/>
        </w:rPr>
        <w:t>即</w:t>
      </w:r>
      <w:r>
        <w:rPr>
          <w:sz w:val="24"/>
          <w:szCs w:val="24"/>
        </w:rPr>
        <w:t>退还</w:t>
      </w:r>
      <w:r>
        <w:rPr>
          <w:rFonts w:hint="eastAsia"/>
          <w:sz w:val="24"/>
          <w:szCs w:val="24"/>
        </w:rPr>
        <w:t>对应产品的</w:t>
      </w:r>
      <w:r>
        <w:rPr>
          <w:sz w:val="24"/>
          <w:szCs w:val="24"/>
        </w:rPr>
        <w:t>货款，并应赔偿因产品质量问题给买方造成的所有损失。</w:t>
      </w:r>
    </w:p>
    <w:p w14:paraId="0C8A517A">
      <w:pPr>
        <w:pStyle w:val="8"/>
        <w:spacing w:before="50" w:after="50" w:line="480" w:lineRule="exact"/>
        <w:rPr>
          <w:sz w:val="24"/>
          <w:szCs w:val="24"/>
        </w:rPr>
      </w:pPr>
      <w:r>
        <w:rPr>
          <w:rFonts w:hint="eastAsia"/>
          <w:sz w:val="24"/>
          <w:szCs w:val="24"/>
        </w:rPr>
        <w:t>4、除前述约定外，如卖方违反本合同任一条款的，卖方应向买方支付合同总额10%违约金，违约金不足以赔偿买方损失的，卖方应承担继续赔偿责任。</w:t>
      </w:r>
    </w:p>
    <w:p w14:paraId="55506F37">
      <w:pPr>
        <w:pStyle w:val="7"/>
        <w:spacing w:before="156" w:beforeLines="50" w:after="156" w:afterLines="50" w:line="480" w:lineRule="exact"/>
        <w:rPr>
          <w:sz w:val="24"/>
          <w:lang w:val="en-GB"/>
        </w:rPr>
      </w:pPr>
      <w:r>
        <w:rPr>
          <w:sz w:val="24"/>
          <w:lang w:val="en-GB"/>
        </w:rPr>
        <w:t>第七条</w:t>
      </w:r>
      <w:r>
        <w:rPr>
          <w:rFonts w:hint="eastAsia"/>
          <w:sz w:val="24"/>
          <w:lang w:val="en-GB"/>
        </w:rPr>
        <w:t>、</w:t>
      </w:r>
      <w:r>
        <w:rPr>
          <w:sz w:val="24"/>
          <w:lang w:val="en-GB"/>
        </w:rPr>
        <w:t xml:space="preserve">争议解决 </w:t>
      </w:r>
    </w:p>
    <w:p w14:paraId="3DB55C12">
      <w:pPr>
        <w:pStyle w:val="7"/>
        <w:spacing w:before="156" w:beforeLines="50" w:after="156" w:afterLines="50" w:line="480" w:lineRule="exact"/>
        <w:rPr>
          <w:b w:val="0"/>
          <w:bCs/>
          <w:sz w:val="24"/>
        </w:rPr>
      </w:pPr>
      <w:r>
        <w:rPr>
          <w:b w:val="0"/>
          <w:bCs/>
          <w:sz w:val="24"/>
        </w:rPr>
        <w:t>与本合同有关的任何争议，由双方通过友好协商解决，协商不成，双方同意</w:t>
      </w:r>
      <w:bookmarkStart w:id="584" w:name="OLE_LINK88"/>
      <w:r>
        <w:rPr>
          <w:b w:val="0"/>
          <w:bCs/>
          <w:sz w:val="24"/>
        </w:rPr>
        <w:t>任何一方可以将争议提交买方所在地人民法院提起诉讼</w:t>
      </w:r>
      <w:bookmarkEnd w:id="584"/>
      <w:r>
        <w:rPr>
          <w:b w:val="0"/>
          <w:bCs/>
          <w:sz w:val="24"/>
        </w:rPr>
        <w:t>。</w:t>
      </w:r>
    </w:p>
    <w:p w14:paraId="658277D2">
      <w:pPr>
        <w:pStyle w:val="7"/>
        <w:spacing w:before="156" w:beforeLines="50" w:after="156" w:afterLines="50" w:line="480" w:lineRule="exact"/>
        <w:rPr>
          <w:b w:val="0"/>
          <w:bCs/>
          <w:sz w:val="24"/>
        </w:rPr>
      </w:pPr>
      <w:r>
        <w:rPr>
          <w:sz w:val="24"/>
          <w:lang w:val="en-GB"/>
        </w:rPr>
        <w:t>第</w:t>
      </w:r>
      <w:r>
        <w:rPr>
          <w:rFonts w:hint="eastAsia"/>
          <w:sz w:val="24"/>
          <w:lang w:val="en-GB"/>
        </w:rPr>
        <w:t>八</w:t>
      </w:r>
      <w:r>
        <w:rPr>
          <w:sz w:val="24"/>
          <w:lang w:val="en-GB"/>
        </w:rPr>
        <w:t>条</w:t>
      </w:r>
      <w:r>
        <w:rPr>
          <w:rFonts w:hint="eastAsia"/>
          <w:sz w:val="24"/>
          <w:lang w:val="en-GB"/>
        </w:rPr>
        <w:t>、其他</w:t>
      </w:r>
    </w:p>
    <w:p w14:paraId="3A5064E5">
      <w:pPr>
        <w:spacing w:line="470" w:lineRule="exact"/>
        <w:rPr>
          <w:rFonts w:ascii="宋体" w:hAnsi="宋体" w:cs="宋体"/>
          <w:sz w:val="24"/>
        </w:rPr>
      </w:pPr>
      <w:r>
        <w:rPr>
          <w:rFonts w:hint="eastAsia"/>
          <w:sz w:val="24"/>
        </w:rPr>
        <w:t>1、</w:t>
      </w:r>
      <w:r>
        <w:rPr>
          <w:rFonts w:hint="eastAsia" w:ascii="宋体" w:hAnsi="宋体" w:cs="宋体"/>
          <w:sz w:val="24"/>
        </w:rPr>
        <w:t>本合同双方联系方式如下。</w:t>
      </w:r>
      <w:r>
        <w:rPr>
          <w:rFonts w:hint="eastAsia" w:ascii="宋体" w:hAnsi="宋体"/>
          <w:sz w:val="24"/>
        </w:rPr>
        <w:t>除非另行书面通知，以下</w:t>
      </w:r>
      <w:r>
        <w:rPr>
          <w:rFonts w:hint="eastAsia" w:ascii="宋体" w:hAnsi="宋体" w:cs="宋体"/>
          <w:sz w:val="24"/>
        </w:rPr>
        <w:t>双方</w:t>
      </w:r>
      <w:r>
        <w:rPr>
          <w:rFonts w:hint="eastAsia" w:ascii="宋体" w:hAnsi="宋体"/>
          <w:sz w:val="24"/>
        </w:rPr>
        <w:t>邮寄地址视为有效送达地址，且该地址可以作为双方发生争议时接受诉讼案件材料及法律文书的有效地址。如联系方式发生变更，各方应在3日内通知对方，否则以下述联系方式为准。</w:t>
      </w:r>
    </w:p>
    <w:p w14:paraId="7E62738A">
      <w:pPr>
        <w:spacing w:line="470" w:lineRule="exact"/>
        <w:ind w:firstLine="480" w:firstLineChars="200"/>
        <w:rPr>
          <w:rFonts w:ascii="宋体" w:hAnsi="宋体" w:cs="宋体"/>
          <w:sz w:val="24"/>
        </w:rPr>
      </w:pPr>
      <w:r>
        <w:rPr>
          <w:rFonts w:hint="eastAsia" w:ascii="宋体" w:hAnsi="宋体" w:cs="宋体"/>
          <w:sz w:val="24"/>
        </w:rPr>
        <w:t>（1）买方联系方式如下：</w:t>
      </w:r>
    </w:p>
    <w:p w14:paraId="4395CD08">
      <w:pPr>
        <w:spacing w:line="470" w:lineRule="exact"/>
        <w:ind w:firstLine="480" w:firstLineChars="200"/>
        <w:rPr>
          <w:rFonts w:ascii="宋体" w:hAnsi="宋体" w:cs="宋体"/>
          <w:sz w:val="24"/>
        </w:rPr>
      </w:pPr>
      <w:r>
        <w:rPr>
          <w:rFonts w:hint="eastAsia" w:ascii="宋体" w:hAnsi="宋体"/>
          <w:sz w:val="24"/>
        </w:rPr>
        <w:t>联络人</w:t>
      </w:r>
      <w:r>
        <w:rPr>
          <w:rFonts w:hint="eastAsia" w:ascii="宋体" w:hAnsi="宋体" w:cs="宋体"/>
          <w:sz w:val="24"/>
        </w:rPr>
        <w:t>：___________________________</w:t>
      </w:r>
    </w:p>
    <w:p w14:paraId="124F224E">
      <w:pPr>
        <w:spacing w:line="470" w:lineRule="exact"/>
        <w:ind w:firstLine="480" w:firstLineChars="200"/>
        <w:rPr>
          <w:rFonts w:ascii="宋体" w:hAnsi="宋体" w:cs="宋体"/>
          <w:sz w:val="24"/>
        </w:rPr>
      </w:pPr>
      <w:r>
        <w:rPr>
          <w:rFonts w:ascii="宋体" w:hAnsi="宋体" w:cs="宋体"/>
          <w:sz w:val="24"/>
        </w:rPr>
        <w:t>邮寄地址</w:t>
      </w:r>
      <w:r>
        <w:rPr>
          <w:rFonts w:hint="eastAsia" w:ascii="宋体" w:hAnsi="宋体" w:cs="宋体"/>
          <w:sz w:val="24"/>
        </w:rPr>
        <w:t>：___________________________</w:t>
      </w:r>
    </w:p>
    <w:p w14:paraId="3D01D779">
      <w:pPr>
        <w:spacing w:line="470" w:lineRule="exact"/>
        <w:ind w:firstLine="480" w:firstLineChars="200"/>
        <w:rPr>
          <w:rFonts w:ascii="宋体" w:hAnsi="宋体" w:cs="宋体"/>
          <w:sz w:val="24"/>
        </w:rPr>
      </w:pPr>
      <w:r>
        <w:rPr>
          <w:rFonts w:ascii="宋体" w:hAnsi="宋体" w:cs="宋体"/>
          <w:sz w:val="24"/>
        </w:rPr>
        <w:t>电子邮箱</w:t>
      </w:r>
      <w:r>
        <w:rPr>
          <w:rFonts w:hint="eastAsia" w:ascii="宋体" w:hAnsi="宋体" w:cs="宋体"/>
          <w:sz w:val="24"/>
        </w:rPr>
        <w:t>：___________________________</w:t>
      </w:r>
    </w:p>
    <w:p w14:paraId="52D299A7">
      <w:pPr>
        <w:spacing w:line="470" w:lineRule="exact"/>
        <w:ind w:firstLine="480" w:firstLineChars="200"/>
        <w:rPr>
          <w:rFonts w:ascii="宋体" w:hAnsi="宋体" w:cs="宋体"/>
          <w:sz w:val="24"/>
        </w:rPr>
      </w:pPr>
      <w:r>
        <w:rPr>
          <w:rFonts w:ascii="宋体" w:hAnsi="宋体" w:cs="宋体"/>
          <w:sz w:val="24"/>
        </w:rPr>
        <w:t>手机</w:t>
      </w:r>
      <w:r>
        <w:rPr>
          <w:rFonts w:hint="eastAsia" w:ascii="宋体" w:hAnsi="宋体" w:cs="宋体"/>
          <w:sz w:val="24"/>
        </w:rPr>
        <w:t>：___________________________</w:t>
      </w:r>
    </w:p>
    <w:p w14:paraId="493D31B9">
      <w:pPr>
        <w:spacing w:line="470" w:lineRule="exact"/>
        <w:ind w:firstLine="480" w:firstLineChars="200"/>
        <w:rPr>
          <w:rFonts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）卖方联系方式如下：</w:t>
      </w:r>
    </w:p>
    <w:p w14:paraId="40F9A5CD">
      <w:pPr>
        <w:spacing w:line="470" w:lineRule="exact"/>
        <w:ind w:firstLine="480" w:firstLineChars="200"/>
        <w:rPr>
          <w:rFonts w:ascii="宋体" w:hAnsi="宋体" w:cs="宋体"/>
          <w:sz w:val="24"/>
        </w:rPr>
      </w:pPr>
      <w:r>
        <w:rPr>
          <w:rFonts w:hint="eastAsia" w:ascii="宋体" w:hAnsi="宋体"/>
          <w:sz w:val="24"/>
        </w:rPr>
        <w:t>联络人</w:t>
      </w:r>
      <w:r>
        <w:rPr>
          <w:rFonts w:hint="eastAsia" w:ascii="宋体" w:hAnsi="宋体" w:cs="宋体"/>
          <w:sz w:val="24"/>
        </w:rPr>
        <w:t>：___________________________</w:t>
      </w:r>
    </w:p>
    <w:p w14:paraId="4A6C3D8C">
      <w:pPr>
        <w:spacing w:line="470" w:lineRule="exact"/>
        <w:ind w:firstLine="480" w:firstLineChars="200"/>
        <w:rPr>
          <w:rFonts w:ascii="宋体" w:hAnsi="宋体" w:cs="宋体"/>
          <w:sz w:val="24"/>
        </w:rPr>
      </w:pPr>
      <w:r>
        <w:rPr>
          <w:rFonts w:ascii="宋体" w:hAnsi="宋体" w:cs="宋体"/>
          <w:sz w:val="24"/>
        </w:rPr>
        <w:t>邮寄地址</w:t>
      </w:r>
      <w:r>
        <w:rPr>
          <w:rFonts w:hint="eastAsia" w:ascii="宋体" w:hAnsi="宋体" w:cs="宋体"/>
          <w:sz w:val="24"/>
        </w:rPr>
        <w:t>：___________________________</w:t>
      </w:r>
    </w:p>
    <w:p w14:paraId="3254EB1F">
      <w:pPr>
        <w:spacing w:line="470" w:lineRule="exact"/>
        <w:ind w:firstLine="480" w:firstLineChars="200"/>
        <w:rPr>
          <w:rFonts w:ascii="宋体" w:hAnsi="宋体" w:cs="宋体"/>
          <w:sz w:val="24"/>
        </w:rPr>
      </w:pPr>
      <w:r>
        <w:rPr>
          <w:rFonts w:ascii="宋体" w:hAnsi="宋体" w:cs="宋体"/>
          <w:sz w:val="24"/>
        </w:rPr>
        <w:t>电子邮箱</w:t>
      </w:r>
      <w:r>
        <w:rPr>
          <w:rFonts w:hint="eastAsia" w:ascii="宋体" w:hAnsi="宋体" w:cs="宋体"/>
          <w:sz w:val="24"/>
        </w:rPr>
        <w:t>：___________________________</w:t>
      </w:r>
    </w:p>
    <w:p w14:paraId="1AA9FBED">
      <w:pPr>
        <w:pStyle w:val="8"/>
        <w:spacing w:before="50" w:after="50" w:line="480" w:lineRule="exact"/>
        <w:ind w:firstLine="480" w:firstLineChars="200"/>
        <w:rPr>
          <w:sz w:val="24"/>
        </w:rPr>
      </w:pPr>
      <w:r>
        <w:rPr>
          <w:rFonts w:ascii="宋体" w:hAnsi="宋体" w:cs="宋体"/>
          <w:sz w:val="24"/>
        </w:rPr>
        <w:t>手机</w:t>
      </w:r>
      <w:r>
        <w:rPr>
          <w:rFonts w:hint="eastAsia" w:ascii="宋体" w:hAnsi="宋体" w:cs="宋体"/>
          <w:sz w:val="24"/>
        </w:rPr>
        <w:t>：___________________________</w:t>
      </w:r>
    </w:p>
    <w:p w14:paraId="3045652A">
      <w:pPr>
        <w:pStyle w:val="8"/>
        <w:spacing w:before="50" w:after="50" w:line="480" w:lineRule="exact"/>
        <w:rPr>
          <w:sz w:val="24"/>
        </w:rPr>
      </w:pPr>
      <w:r>
        <w:rPr>
          <w:sz w:val="24"/>
        </w:rPr>
        <w:t>2</w:t>
      </w:r>
      <w:r>
        <w:rPr>
          <w:rFonts w:hint="eastAsia"/>
          <w:sz w:val="24"/>
        </w:rPr>
        <w:t>、</w:t>
      </w:r>
      <w:r>
        <w:rPr>
          <w:sz w:val="24"/>
        </w:rPr>
        <w:t>本合同的任何修改必须以书面的形式作出，并且由双方的授权代表签字并加盖公章后方可</w:t>
      </w:r>
      <w:r>
        <w:rPr>
          <w:rFonts w:hint="eastAsia"/>
          <w:sz w:val="24"/>
        </w:rPr>
        <w:t>生</w:t>
      </w:r>
      <w:r>
        <w:rPr>
          <w:sz w:val="24"/>
        </w:rPr>
        <w:t>效。</w:t>
      </w:r>
    </w:p>
    <w:p w14:paraId="46A055CA">
      <w:pPr>
        <w:pStyle w:val="8"/>
        <w:spacing w:before="50" w:after="50" w:line="480" w:lineRule="exact"/>
        <w:rPr>
          <w:sz w:val="24"/>
        </w:rPr>
      </w:pPr>
      <w:r>
        <w:rPr>
          <w:sz w:val="24"/>
        </w:rPr>
        <w:t>3</w:t>
      </w:r>
      <w:r>
        <w:rPr>
          <w:rFonts w:hint="eastAsia"/>
          <w:sz w:val="24"/>
        </w:rPr>
        <w:t>、卖方承诺其提供给买方的产品不侵犯任何第三方的知识产权、肖像权、姓名权等权利。如因产品侵权导致买方被索赔，卖方应在买方发出通知后2日内赔偿甲方的全部损失，包括但不限于律师费、诉讼费、差旅费、维权费用、鉴定费、公证费，且买方有权要求卖方退款退货。</w:t>
      </w:r>
    </w:p>
    <w:p w14:paraId="71C007C2">
      <w:pPr>
        <w:pStyle w:val="11"/>
        <w:tabs>
          <w:tab w:val="left" w:pos="993"/>
        </w:tabs>
        <w:spacing w:before="50" w:after="50" w:line="480" w:lineRule="exact"/>
      </w:pPr>
      <w:r>
        <w:t>4</w:t>
      </w:r>
      <w:r>
        <w:rPr>
          <w:rFonts w:hint="eastAsia"/>
        </w:rPr>
        <w:t>、买方有权提前2日通知乙方解除本合同，但应按照经买方书面验收的产品支付相关费用。</w:t>
      </w:r>
    </w:p>
    <w:p w14:paraId="33FD2766">
      <w:pPr>
        <w:pStyle w:val="7"/>
        <w:spacing w:before="156" w:beforeLines="50" w:after="156" w:afterLines="50" w:line="480" w:lineRule="exact"/>
        <w:rPr>
          <w:b w:val="0"/>
          <w:sz w:val="24"/>
        </w:rPr>
      </w:pPr>
      <w:r>
        <w:rPr>
          <w:b w:val="0"/>
          <w:bCs/>
          <w:sz w:val="24"/>
        </w:rPr>
        <w:t>5</w:t>
      </w:r>
      <w:r>
        <w:rPr>
          <w:rFonts w:hint="eastAsia"/>
          <w:b w:val="0"/>
          <w:bCs/>
          <w:sz w:val="24"/>
        </w:rPr>
        <w:t>、</w:t>
      </w:r>
      <w:r>
        <w:rPr>
          <w:rFonts w:hint="eastAsia"/>
          <w:b w:val="0"/>
          <w:sz w:val="24"/>
        </w:rPr>
        <w:t>本合同经双方签字、盖章后，自文首所列签订日期起生效。</w:t>
      </w:r>
      <w:r>
        <w:rPr>
          <w:b w:val="0"/>
          <w:sz w:val="24"/>
        </w:rPr>
        <w:t>本合</w:t>
      </w:r>
      <w:r>
        <w:rPr>
          <w:rFonts w:hint="eastAsia"/>
          <w:b w:val="0"/>
          <w:sz w:val="24"/>
        </w:rPr>
        <w:t>同</w:t>
      </w:r>
      <w:r>
        <w:rPr>
          <w:b w:val="0"/>
          <w:sz w:val="24"/>
        </w:rPr>
        <w:t>一式</w:t>
      </w:r>
      <w:r>
        <w:rPr>
          <w:rFonts w:hint="eastAsia"/>
          <w:b w:val="0"/>
          <w:sz w:val="24"/>
        </w:rPr>
        <w:t>肆</w:t>
      </w:r>
      <w:r>
        <w:rPr>
          <w:b w:val="0"/>
          <w:sz w:val="24"/>
        </w:rPr>
        <w:t>份，买</w:t>
      </w:r>
      <w:r>
        <w:rPr>
          <w:rFonts w:hint="eastAsia"/>
          <w:b w:val="0"/>
          <w:sz w:val="24"/>
          <w:lang w:val="en-US" w:eastAsia="zh-CN"/>
        </w:rPr>
        <w:t>方</w:t>
      </w:r>
      <w:r>
        <w:rPr>
          <w:rFonts w:hint="eastAsia"/>
          <w:b w:val="0"/>
          <w:sz w:val="24"/>
        </w:rPr>
        <w:t>执</w:t>
      </w:r>
      <w:r>
        <w:rPr>
          <w:rFonts w:hint="eastAsia"/>
          <w:b w:val="0"/>
          <w:sz w:val="24"/>
          <w:lang w:val="en-US" w:eastAsia="zh-CN"/>
        </w:rPr>
        <w:t>叁</w:t>
      </w:r>
      <w:r>
        <w:rPr>
          <w:b w:val="0"/>
          <w:sz w:val="24"/>
        </w:rPr>
        <w:t>份，</w:t>
      </w:r>
      <w:r>
        <w:rPr>
          <w:rFonts w:hint="eastAsia"/>
          <w:b w:val="0"/>
          <w:sz w:val="24"/>
          <w:lang w:val="en-US" w:eastAsia="zh-CN"/>
        </w:rPr>
        <w:t>卖方执壹份，</w:t>
      </w:r>
      <w:r>
        <w:rPr>
          <w:b w:val="0"/>
          <w:sz w:val="24"/>
        </w:rPr>
        <w:t>每份具有同等法律效力。</w:t>
      </w:r>
    </w:p>
    <w:p w14:paraId="620D92E8">
      <w:pPr>
        <w:pStyle w:val="8"/>
        <w:spacing w:before="50" w:after="50" w:line="480" w:lineRule="exact"/>
        <w:rPr>
          <w:sz w:val="24"/>
          <w:szCs w:val="24"/>
        </w:rPr>
      </w:pPr>
      <w:r>
        <w:rPr>
          <w:sz w:val="24"/>
          <w:szCs w:val="24"/>
        </w:rPr>
        <w:t>（以下无正文）</w:t>
      </w:r>
    </w:p>
    <w:p w14:paraId="02AE2685">
      <w:pPr>
        <w:pStyle w:val="8"/>
        <w:spacing w:before="50" w:after="50" w:line="480" w:lineRule="exact"/>
        <w:rPr>
          <w:sz w:val="24"/>
          <w:szCs w:val="24"/>
        </w:rPr>
      </w:pPr>
    </w:p>
    <w:p w14:paraId="31168C2E">
      <w:pPr>
        <w:pStyle w:val="2"/>
        <w:tabs>
          <w:tab w:val="left" w:pos="5387"/>
        </w:tabs>
        <w:spacing w:line="300" w:lineRule="auto"/>
        <w:rPr>
          <w:rFonts w:hint="default" w:ascii="Times New Roman" w:hAnsi="Times New Roman"/>
          <w:b/>
          <w:bCs/>
          <w:sz w:val="24"/>
          <w:szCs w:val="24"/>
        </w:rPr>
      </w:pPr>
      <w:r>
        <w:rPr>
          <w:rFonts w:hint="default" w:ascii="Times New Roman" w:hAnsi="Times New Roman"/>
          <w:b/>
          <w:bCs/>
          <w:sz w:val="24"/>
          <w:szCs w:val="24"/>
        </w:rPr>
        <w:t>买方：</w:t>
      </w:r>
      <w:r>
        <w:rPr>
          <w:rFonts w:ascii="Times New Roman" w:hAnsi="宋体"/>
          <w:sz w:val="24"/>
          <w:szCs w:val="24"/>
        </w:rPr>
        <w:t>【智信达或其关联公司】</w:t>
      </w:r>
      <w:r>
        <w:rPr>
          <w:rFonts w:hAnsi="宋体"/>
          <w:b/>
          <w:sz w:val="24"/>
          <w:szCs w:val="24"/>
        </w:rPr>
        <w:t xml:space="preserve"> </w:t>
      </w:r>
      <w:r>
        <w:rPr>
          <w:rFonts w:hint="default" w:ascii="Times New Roman" w:hAnsi="Times New Roman"/>
          <w:b/>
          <w:bCs/>
          <w:sz w:val="24"/>
          <w:szCs w:val="24"/>
        </w:rPr>
        <w:t xml:space="preserve">                 卖方：</w:t>
      </w:r>
    </w:p>
    <w:p w14:paraId="73F249B0">
      <w:pPr>
        <w:pStyle w:val="2"/>
        <w:tabs>
          <w:tab w:val="left" w:pos="5387"/>
        </w:tabs>
        <w:spacing w:line="300" w:lineRule="auto"/>
        <w:outlineLvl w:val="0"/>
        <w:rPr>
          <w:rFonts w:hint="default" w:ascii="Times New Roman" w:hAnsi="Times New Roman"/>
          <w:b/>
          <w:bCs/>
          <w:sz w:val="24"/>
          <w:szCs w:val="24"/>
        </w:rPr>
      </w:pPr>
    </w:p>
    <w:p w14:paraId="4FB9751E">
      <w:pPr>
        <w:pStyle w:val="2"/>
        <w:tabs>
          <w:tab w:val="left" w:pos="5387"/>
        </w:tabs>
        <w:spacing w:line="300" w:lineRule="auto"/>
        <w:outlineLvl w:val="0"/>
        <w:rPr>
          <w:rFonts w:hint="default" w:ascii="Times New Roman" w:hAnsi="Times New Roman"/>
          <w:b/>
          <w:bCs/>
          <w:sz w:val="24"/>
          <w:szCs w:val="24"/>
        </w:rPr>
      </w:pPr>
      <w:r>
        <w:rPr>
          <w:rFonts w:ascii="Times New Roman" w:hAnsi="Times New Roman"/>
          <w:b/>
          <w:bCs/>
          <w:sz w:val="24"/>
          <w:szCs w:val="24"/>
        </w:rPr>
        <w:t>有权</w:t>
      </w:r>
      <w:r>
        <w:rPr>
          <w:rFonts w:hint="default" w:ascii="Times New Roman" w:hAnsi="Times New Roman"/>
          <w:b/>
          <w:bCs/>
          <w:sz w:val="24"/>
          <w:szCs w:val="24"/>
        </w:rPr>
        <w:t xml:space="preserve">代表：                            </w:t>
      </w:r>
      <w:r>
        <w:rPr>
          <w:rFonts w:hint="default" w:ascii="Times New Roman" w:hAnsi="Times New Roman"/>
          <w:b/>
          <w:bCs/>
          <w:sz w:val="24"/>
          <w:szCs w:val="24"/>
        </w:rPr>
        <w:tab/>
      </w:r>
      <w:r>
        <w:rPr>
          <w:rFonts w:ascii="Times New Roman" w:hAnsi="Times New Roman"/>
          <w:b/>
          <w:bCs/>
          <w:sz w:val="24"/>
          <w:szCs w:val="24"/>
        </w:rPr>
        <w:t>有权</w:t>
      </w:r>
      <w:r>
        <w:rPr>
          <w:rFonts w:hint="default" w:ascii="Times New Roman" w:hAnsi="Times New Roman"/>
          <w:b/>
          <w:bCs/>
          <w:sz w:val="24"/>
          <w:szCs w:val="24"/>
        </w:rPr>
        <w:t>代表：</w:t>
      </w:r>
    </w:p>
    <w:p w14:paraId="7E4BF8B5">
      <w:pPr>
        <w:pStyle w:val="2"/>
        <w:tabs>
          <w:tab w:val="left" w:pos="5387"/>
        </w:tabs>
        <w:spacing w:line="300" w:lineRule="auto"/>
        <w:outlineLvl w:val="0"/>
        <w:rPr>
          <w:rFonts w:hint="default" w:ascii="Times New Roman" w:hAnsi="Times New Roman"/>
          <w:b/>
          <w:bCs/>
          <w:sz w:val="24"/>
          <w:szCs w:val="24"/>
        </w:rPr>
      </w:pPr>
    </w:p>
    <w:p w14:paraId="11594AD0">
      <w:pPr>
        <w:pStyle w:val="2"/>
        <w:tabs>
          <w:tab w:val="left" w:pos="5387"/>
        </w:tabs>
        <w:spacing w:line="300" w:lineRule="auto"/>
        <w:rPr>
          <w:rFonts w:hint="default" w:ascii="Times New Roman" w:hAnsi="Times New Roman"/>
          <w:b/>
          <w:bCs/>
          <w:sz w:val="24"/>
          <w:szCs w:val="24"/>
        </w:rPr>
      </w:pPr>
      <w:r>
        <w:rPr>
          <w:rFonts w:hint="default" w:ascii="Times New Roman" w:hAnsi="Times New Roman"/>
          <w:b/>
          <w:bCs/>
          <w:sz w:val="24"/>
          <w:szCs w:val="24"/>
        </w:rPr>
        <w:t xml:space="preserve">签字：                                  </w:t>
      </w:r>
      <w:r>
        <w:rPr>
          <w:rFonts w:hint="default" w:ascii="Times New Roman" w:hAnsi="Times New Roman"/>
          <w:b/>
          <w:bCs/>
          <w:sz w:val="24"/>
          <w:szCs w:val="24"/>
        </w:rPr>
        <w:tab/>
      </w:r>
      <w:r>
        <w:rPr>
          <w:rFonts w:hint="default" w:ascii="Times New Roman" w:hAnsi="Times New Roman"/>
          <w:b/>
          <w:bCs/>
          <w:sz w:val="24"/>
          <w:szCs w:val="24"/>
        </w:rPr>
        <w:t>签字：</w:t>
      </w:r>
    </w:p>
    <w:p w14:paraId="0F06D31C">
      <w:pPr>
        <w:pStyle w:val="2"/>
        <w:tabs>
          <w:tab w:val="left" w:pos="5387"/>
        </w:tabs>
        <w:spacing w:line="300" w:lineRule="auto"/>
        <w:rPr>
          <w:rFonts w:hint="default" w:ascii="Times New Roman" w:hAnsi="Times New Roman"/>
          <w:b/>
          <w:bCs/>
          <w:sz w:val="24"/>
          <w:szCs w:val="24"/>
        </w:rPr>
      </w:pPr>
    </w:p>
    <w:p w14:paraId="67AEC5EB">
      <w:pPr>
        <w:pStyle w:val="2"/>
        <w:tabs>
          <w:tab w:val="left" w:pos="5387"/>
        </w:tabs>
        <w:spacing w:line="300" w:lineRule="auto"/>
        <w:rPr>
          <w:rFonts w:hint="default" w:ascii="Times New Roman" w:hAnsi="Times New Roman"/>
          <w:b/>
          <w:bCs/>
          <w:sz w:val="24"/>
          <w:szCs w:val="24"/>
        </w:rPr>
      </w:pPr>
      <w:r>
        <w:rPr>
          <w:rFonts w:hint="default" w:ascii="Times New Roman" w:hAnsi="Times New Roman"/>
          <w:b/>
          <w:bCs/>
          <w:sz w:val="24"/>
          <w:szCs w:val="24"/>
        </w:rPr>
        <w:t>签署日期</w:t>
      </w:r>
      <w:r>
        <w:rPr>
          <w:rFonts w:ascii="Times New Roman" w:hAnsi="Times New Roman"/>
          <w:b/>
          <w:bCs/>
          <w:sz w:val="24"/>
          <w:szCs w:val="24"/>
        </w:rPr>
        <w:t xml:space="preserve">：【   </w:t>
      </w:r>
      <w:r>
        <w:rPr>
          <w:rFonts w:hint="default" w:ascii="Times New Roman" w:hAnsi="Times New Roman"/>
          <w:b/>
          <w:bCs/>
          <w:sz w:val="24"/>
          <w:szCs w:val="24"/>
        </w:rPr>
        <w:t xml:space="preserve">  </w:t>
      </w:r>
      <w:r>
        <w:rPr>
          <w:rFonts w:ascii="Times New Roman" w:hAnsi="Times New Roman"/>
          <w:b/>
          <w:bCs/>
          <w:sz w:val="24"/>
          <w:szCs w:val="24"/>
        </w:rPr>
        <w:t>】年【  】月【  】日</w:t>
      </w:r>
    </w:p>
    <w:p w14:paraId="7A63753E">
      <w:pPr>
        <w:pStyle w:val="2"/>
        <w:tabs>
          <w:tab w:val="left" w:pos="5387"/>
        </w:tabs>
        <w:spacing w:line="300" w:lineRule="auto"/>
        <w:rPr>
          <w:rFonts w:hint="default"/>
          <w:sz w:val="24"/>
          <w:szCs w:val="24"/>
        </w:rPr>
      </w:pPr>
      <w:r>
        <w:rPr>
          <w:rFonts w:hint="default" w:ascii="Times New Roman" w:hAnsi="Times New Roman"/>
          <w:b/>
          <w:bCs/>
          <w:sz w:val="24"/>
          <w:szCs w:val="24"/>
        </w:rPr>
        <w:t>附件</w:t>
      </w:r>
      <w:r>
        <w:rPr>
          <w:rFonts w:ascii="Times New Roman" w:hAnsi="Times New Roman"/>
          <w:b/>
          <w:bCs/>
          <w:sz w:val="24"/>
          <w:szCs w:val="24"/>
        </w:rPr>
        <w:t xml:space="preserve">：  </w:t>
      </w:r>
      <w:r>
        <w:rPr>
          <w:sz w:val="24"/>
          <w:szCs w:val="24"/>
        </w:rPr>
        <w:t>《验收证明》</w:t>
      </w:r>
    </w:p>
    <w:p w14:paraId="3849F094">
      <w:pPr>
        <w:pStyle w:val="2"/>
        <w:tabs>
          <w:tab w:val="left" w:pos="5387"/>
        </w:tabs>
        <w:spacing w:line="300" w:lineRule="auto"/>
        <w:rPr>
          <w:rFonts w:hint="default"/>
          <w:sz w:val="24"/>
          <w:szCs w:val="24"/>
        </w:rPr>
      </w:pPr>
    </w:p>
    <w:tbl>
      <w:tblPr>
        <w:tblStyle w:val="5"/>
        <w:tblW w:w="8785" w:type="dxa"/>
        <w:jc w:val="center"/>
        <w:tblLayout w:type="fixed"/>
        <w:tblCellMar>
          <w:top w:w="0" w:type="dxa"/>
          <w:left w:w="108" w:type="dxa"/>
          <w:bottom w:w="0" w:type="dxa"/>
          <w:right w:w="108" w:type="dxa"/>
        </w:tblCellMar>
      </w:tblPr>
      <w:tblGrid>
        <w:gridCol w:w="2141"/>
        <w:gridCol w:w="1843"/>
        <w:gridCol w:w="1657"/>
        <w:gridCol w:w="3144"/>
      </w:tblGrid>
      <w:tr w14:paraId="54013DC7">
        <w:tblPrEx>
          <w:tblCellMar>
            <w:top w:w="0" w:type="dxa"/>
            <w:left w:w="108" w:type="dxa"/>
            <w:bottom w:w="0" w:type="dxa"/>
            <w:right w:w="108" w:type="dxa"/>
          </w:tblCellMar>
        </w:tblPrEx>
        <w:trPr>
          <w:jc w:val="center"/>
        </w:trPr>
        <w:tc>
          <w:tcPr>
            <w:tcW w:w="2141" w:type="dxa"/>
            <w:tcBorders>
              <w:top w:val="single" w:color="auto" w:sz="6" w:space="0"/>
              <w:left w:val="single" w:color="auto" w:sz="6" w:space="0"/>
              <w:bottom w:val="single" w:color="auto" w:sz="4" w:space="0"/>
              <w:right w:val="single" w:color="auto" w:sz="6" w:space="0"/>
            </w:tcBorders>
            <w:noWrap w:val="0"/>
            <w:vAlign w:val="top"/>
          </w:tcPr>
          <w:p w14:paraId="658B0A44">
            <w:pPr>
              <w:pStyle w:val="8"/>
              <w:spacing w:line="300" w:lineRule="auto"/>
              <w:jc w:val="center"/>
              <w:rPr>
                <w:sz w:val="24"/>
                <w:szCs w:val="24"/>
              </w:rPr>
            </w:pPr>
            <w:r>
              <w:rPr>
                <w:rFonts w:hint="eastAsia"/>
                <w:sz w:val="24"/>
                <w:szCs w:val="24"/>
              </w:rPr>
              <w:t>产品</w:t>
            </w:r>
            <w:r>
              <w:rPr>
                <w:sz w:val="24"/>
                <w:szCs w:val="24"/>
              </w:rPr>
              <w:t>名称及型号</w:t>
            </w:r>
          </w:p>
        </w:tc>
        <w:tc>
          <w:tcPr>
            <w:tcW w:w="1843" w:type="dxa"/>
            <w:tcBorders>
              <w:top w:val="single" w:color="auto" w:sz="6" w:space="0"/>
              <w:left w:val="single" w:color="auto" w:sz="6" w:space="0"/>
              <w:bottom w:val="single" w:color="auto" w:sz="6" w:space="0"/>
              <w:right w:val="single" w:color="auto" w:sz="4" w:space="0"/>
            </w:tcBorders>
            <w:noWrap w:val="0"/>
            <w:vAlign w:val="top"/>
          </w:tcPr>
          <w:p w14:paraId="490199A6">
            <w:pPr>
              <w:pStyle w:val="8"/>
              <w:numPr>
                <w:ilvl w:val="0"/>
                <w:numId w:val="2"/>
              </w:numPr>
              <w:spacing w:line="300" w:lineRule="auto"/>
              <w:ind w:left="0"/>
              <w:jc w:val="center"/>
              <w:rPr>
                <w:sz w:val="24"/>
                <w:szCs w:val="24"/>
              </w:rPr>
            </w:pPr>
            <w:r>
              <w:rPr>
                <w:sz w:val="24"/>
                <w:szCs w:val="24"/>
              </w:rPr>
              <w:t>单位</w:t>
            </w:r>
          </w:p>
        </w:tc>
        <w:tc>
          <w:tcPr>
            <w:tcW w:w="1657" w:type="dxa"/>
            <w:tcBorders>
              <w:top w:val="single" w:color="auto" w:sz="6" w:space="0"/>
              <w:left w:val="single" w:color="auto" w:sz="4" w:space="0"/>
              <w:bottom w:val="single" w:color="auto" w:sz="6" w:space="0"/>
              <w:right w:val="single" w:color="auto" w:sz="6" w:space="0"/>
            </w:tcBorders>
            <w:noWrap w:val="0"/>
            <w:vAlign w:val="top"/>
          </w:tcPr>
          <w:p w14:paraId="5ECD80FC">
            <w:pPr>
              <w:pStyle w:val="8"/>
              <w:spacing w:line="300" w:lineRule="auto"/>
              <w:jc w:val="center"/>
              <w:rPr>
                <w:sz w:val="24"/>
                <w:szCs w:val="24"/>
              </w:rPr>
            </w:pPr>
            <w:r>
              <w:rPr>
                <w:sz w:val="24"/>
                <w:szCs w:val="24"/>
              </w:rPr>
              <w:t>数量</w:t>
            </w:r>
          </w:p>
        </w:tc>
        <w:tc>
          <w:tcPr>
            <w:tcW w:w="3144" w:type="dxa"/>
            <w:tcBorders>
              <w:top w:val="single" w:color="auto" w:sz="6" w:space="0"/>
              <w:left w:val="single" w:color="auto" w:sz="6" w:space="0"/>
              <w:bottom w:val="single" w:color="auto" w:sz="6" w:space="0"/>
              <w:right w:val="single" w:color="auto" w:sz="6" w:space="0"/>
            </w:tcBorders>
            <w:noWrap w:val="0"/>
            <w:vAlign w:val="top"/>
          </w:tcPr>
          <w:p w14:paraId="2BC165CE">
            <w:pPr>
              <w:pStyle w:val="8"/>
              <w:spacing w:line="300" w:lineRule="auto"/>
              <w:jc w:val="center"/>
              <w:rPr>
                <w:sz w:val="24"/>
                <w:szCs w:val="24"/>
              </w:rPr>
            </w:pPr>
            <w:r>
              <w:rPr>
                <w:rFonts w:hint="eastAsia" w:ascii="宋体" w:hAnsi="宋体" w:cs="宋体"/>
                <w:color w:val="000000"/>
                <w:sz w:val="22"/>
              </w:rPr>
              <w:t>差异问题</w:t>
            </w:r>
          </w:p>
        </w:tc>
      </w:tr>
      <w:tr w14:paraId="3D7B0102">
        <w:tblPrEx>
          <w:tblCellMar>
            <w:top w:w="0" w:type="dxa"/>
            <w:left w:w="108" w:type="dxa"/>
            <w:bottom w:w="0" w:type="dxa"/>
            <w:right w:w="108" w:type="dxa"/>
          </w:tblCellMar>
        </w:tblPrEx>
        <w:trPr>
          <w:jc w:val="center"/>
        </w:trPr>
        <w:tc>
          <w:tcPr>
            <w:tcW w:w="2141" w:type="dxa"/>
            <w:tcBorders>
              <w:top w:val="single" w:color="auto" w:sz="4" w:space="0"/>
              <w:left w:val="single" w:color="auto" w:sz="6" w:space="0"/>
              <w:bottom w:val="single" w:color="auto" w:sz="4" w:space="0"/>
              <w:right w:val="single" w:color="auto" w:sz="6" w:space="0"/>
            </w:tcBorders>
            <w:noWrap w:val="0"/>
            <w:vAlign w:val="top"/>
          </w:tcPr>
          <w:p w14:paraId="183ACE80">
            <w:pPr>
              <w:pStyle w:val="8"/>
              <w:numPr>
                <w:ilvl w:val="0"/>
                <w:numId w:val="4"/>
              </w:numPr>
              <w:spacing w:line="300" w:lineRule="auto"/>
              <w:jc w:val="center"/>
              <w:rPr>
                <w:sz w:val="24"/>
                <w:szCs w:val="24"/>
              </w:rPr>
            </w:pPr>
          </w:p>
        </w:tc>
        <w:tc>
          <w:tcPr>
            <w:tcW w:w="1843" w:type="dxa"/>
            <w:tcBorders>
              <w:top w:val="single" w:color="auto" w:sz="6" w:space="0"/>
              <w:left w:val="single" w:color="auto" w:sz="6" w:space="0"/>
              <w:bottom w:val="single" w:color="auto" w:sz="6" w:space="0"/>
              <w:right w:val="single" w:color="auto" w:sz="4" w:space="0"/>
            </w:tcBorders>
            <w:noWrap w:val="0"/>
            <w:vAlign w:val="top"/>
          </w:tcPr>
          <w:p w14:paraId="4BA7244D">
            <w:pPr>
              <w:pStyle w:val="8"/>
              <w:numPr>
                <w:ilvl w:val="0"/>
                <w:numId w:val="5"/>
              </w:numPr>
              <w:spacing w:line="300" w:lineRule="auto"/>
              <w:ind w:left="0" w:firstLine="360"/>
              <w:rPr>
                <w:sz w:val="24"/>
                <w:szCs w:val="24"/>
              </w:rPr>
            </w:pPr>
          </w:p>
        </w:tc>
        <w:tc>
          <w:tcPr>
            <w:tcW w:w="1657" w:type="dxa"/>
            <w:tcBorders>
              <w:top w:val="single" w:color="auto" w:sz="6" w:space="0"/>
              <w:left w:val="single" w:color="auto" w:sz="4" w:space="0"/>
              <w:bottom w:val="single" w:color="auto" w:sz="6" w:space="0"/>
              <w:right w:val="single" w:color="auto" w:sz="6" w:space="0"/>
            </w:tcBorders>
            <w:noWrap w:val="0"/>
            <w:vAlign w:val="top"/>
          </w:tcPr>
          <w:p w14:paraId="63E29F1D">
            <w:pPr>
              <w:pStyle w:val="8"/>
              <w:numPr>
                <w:ilvl w:val="0"/>
                <w:numId w:val="5"/>
              </w:numPr>
              <w:spacing w:line="300" w:lineRule="auto"/>
              <w:ind w:left="0" w:firstLine="360"/>
              <w:rPr>
                <w:sz w:val="24"/>
                <w:szCs w:val="24"/>
              </w:rPr>
            </w:pPr>
          </w:p>
        </w:tc>
        <w:tc>
          <w:tcPr>
            <w:tcW w:w="3144" w:type="dxa"/>
            <w:tcBorders>
              <w:top w:val="single" w:color="auto" w:sz="6" w:space="0"/>
              <w:left w:val="single" w:color="auto" w:sz="6" w:space="0"/>
              <w:bottom w:val="single" w:color="auto" w:sz="6" w:space="0"/>
              <w:right w:val="single" w:color="auto" w:sz="6" w:space="0"/>
            </w:tcBorders>
            <w:noWrap w:val="0"/>
            <w:vAlign w:val="top"/>
          </w:tcPr>
          <w:p w14:paraId="20619330">
            <w:pPr>
              <w:pStyle w:val="8"/>
              <w:numPr>
                <w:ilvl w:val="0"/>
                <w:numId w:val="6"/>
              </w:numPr>
              <w:spacing w:line="300" w:lineRule="auto"/>
              <w:ind w:left="0" w:firstLine="360"/>
              <w:rPr>
                <w:sz w:val="24"/>
                <w:szCs w:val="24"/>
              </w:rPr>
            </w:pPr>
          </w:p>
        </w:tc>
      </w:tr>
      <w:tr w14:paraId="18556EDB">
        <w:tblPrEx>
          <w:tblCellMar>
            <w:top w:w="0" w:type="dxa"/>
            <w:left w:w="108" w:type="dxa"/>
            <w:bottom w:w="0" w:type="dxa"/>
            <w:right w:w="108" w:type="dxa"/>
          </w:tblCellMar>
        </w:tblPrEx>
        <w:trPr>
          <w:jc w:val="center"/>
        </w:trPr>
        <w:tc>
          <w:tcPr>
            <w:tcW w:w="2141" w:type="dxa"/>
            <w:tcBorders>
              <w:top w:val="single" w:color="auto" w:sz="4" w:space="0"/>
              <w:left w:val="single" w:color="auto" w:sz="6" w:space="0"/>
              <w:bottom w:val="single" w:color="auto" w:sz="4" w:space="0"/>
              <w:right w:val="single" w:color="auto" w:sz="6" w:space="0"/>
            </w:tcBorders>
            <w:noWrap w:val="0"/>
            <w:vAlign w:val="top"/>
          </w:tcPr>
          <w:p w14:paraId="7951E147">
            <w:pPr>
              <w:pStyle w:val="8"/>
              <w:numPr>
                <w:ilvl w:val="0"/>
                <w:numId w:val="4"/>
              </w:numPr>
              <w:spacing w:line="300" w:lineRule="auto"/>
              <w:jc w:val="center"/>
              <w:rPr>
                <w:sz w:val="24"/>
                <w:szCs w:val="24"/>
              </w:rPr>
            </w:pPr>
          </w:p>
        </w:tc>
        <w:tc>
          <w:tcPr>
            <w:tcW w:w="1843" w:type="dxa"/>
            <w:tcBorders>
              <w:top w:val="single" w:color="auto" w:sz="6" w:space="0"/>
              <w:left w:val="single" w:color="auto" w:sz="6" w:space="0"/>
              <w:bottom w:val="single" w:color="auto" w:sz="6" w:space="0"/>
              <w:right w:val="single" w:color="auto" w:sz="4" w:space="0"/>
            </w:tcBorders>
            <w:noWrap w:val="0"/>
            <w:vAlign w:val="top"/>
          </w:tcPr>
          <w:p w14:paraId="256A8D58">
            <w:pPr>
              <w:pStyle w:val="8"/>
              <w:numPr>
                <w:ilvl w:val="0"/>
                <w:numId w:val="5"/>
              </w:numPr>
              <w:spacing w:line="300" w:lineRule="auto"/>
              <w:ind w:left="0" w:firstLine="360"/>
              <w:rPr>
                <w:sz w:val="24"/>
                <w:szCs w:val="24"/>
              </w:rPr>
            </w:pPr>
          </w:p>
        </w:tc>
        <w:tc>
          <w:tcPr>
            <w:tcW w:w="1657" w:type="dxa"/>
            <w:tcBorders>
              <w:top w:val="single" w:color="auto" w:sz="6" w:space="0"/>
              <w:left w:val="single" w:color="auto" w:sz="4" w:space="0"/>
              <w:bottom w:val="single" w:color="auto" w:sz="6" w:space="0"/>
              <w:right w:val="single" w:color="auto" w:sz="6" w:space="0"/>
            </w:tcBorders>
            <w:noWrap w:val="0"/>
            <w:vAlign w:val="top"/>
          </w:tcPr>
          <w:p w14:paraId="5D32A78E">
            <w:pPr>
              <w:pStyle w:val="8"/>
              <w:numPr>
                <w:ilvl w:val="0"/>
                <w:numId w:val="5"/>
              </w:numPr>
              <w:spacing w:line="300" w:lineRule="auto"/>
              <w:ind w:left="0" w:firstLine="360"/>
              <w:rPr>
                <w:sz w:val="24"/>
                <w:szCs w:val="24"/>
              </w:rPr>
            </w:pPr>
          </w:p>
        </w:tc>
        <w:tc>
          <w:tcPr>
            <w:tcW w:w="3144" w:type="dxa"/>
            <w:tcBorders>
              <w:top w:val="single" w:color="auto" w:sz="6" w:space="0"/>
              <w:left w:val="single" w:color="auto" w:sz="6" w:space="0"/>
              <w:bottom w:val="single" w:color="auto" w:sz="6" w:space="0"/>
              <w:right w:val="single" w:color="auto" w:sz="6" w:space="0"/>
            </w:tcBorders>
            <w:noWrap w:val="0"/>
            <w:vAlign w:val="top"/>
          </w:tcPr>
          <w:p w14:paraId="612F7327">
            <w:pPr>
              <w:pStyle w:val="8"/>
              <w:numPr>
                <w:ilvl w:val="0"/>
                <w:numId w:val="6"/>
              </w:numPr>
              <w:spacing w:line="300" w:lineRule="auto"/>
              <w:ind w:left="0" w:firstLine="360"/>
              <w:rPr>
                <w:sz w:val="24"/>
                <w:szCs w:val="24"/>
              </w:rPr>
            </w:pPr>
          </w:p>
        </w:tc>
      </w:tr>
      <w:tr w14:paraId="65A97C47">
        <w:tblPrEx>
          <w:tblCellMar>
            <w:top w:w="0" w:type="dxa"/>
            <w:left w:w="108" w:type="dxa"/>
            <w:bottom w:w="0" w:type="dxa"/>
            <w:right w:w="108" w:type="dxa"/>
          </w:tblCellMar>
        </w:tblPrEx>
        <w:trPr>
          <w:jc w:val="center"/>
        </w:trPr>
        <w:tc>
          <w:tcPr>
            <w:tcW w:w="2141" w:type="dxa"/>
            <w:tcBorders>
              <w:top w:val="single" w:color="auto" w:sz="4" w:space="0"/>
              <w:left w:val="single" w:color="auto" w:sz="6" w:space="0"/>
              <w:bottom w:val="single" w:color="auto" w:sz="4" w:space="0"/>
              <w:right w:val="single" w:color="auto" w:sz="6" w:space="0"/>
            </w:tcBorders>
            <w:noWrap w:val="0"/>
            <w:vAlign w:val="top"/>
          </w:tcPr>
          <w:p w14:paraId="58F1AA72">
            <w:pPr>
              <w:pStyle w:val="8"/>
              <w:numPr>
                <w:ilvl w:val="0"/>
                <w:numId w:val="4"/>
              </w:numPr>
              <w:spacing w:line="300" w:lineRule="auto"/>
              <w:jc w:val="center"/>
              <w:rPr>
                <w:sz w:val="24"/>
                <w:szCs w:val="24"/>
              </w:rPr>
            </w:pPr>
          </w:p>
        </w:tc>
        <w:tc>
          <w:tcPr>
            <w:tcW w:w="1843" w:type="dxa"/>
            <w:tcBorders>
              <w:top w:val="single" w:color="auto" w:sz="6" w:space="0"/>
              <w:left w:val="single" w:color="auto" w:sz="6" w:space="0"/>
              <w:bottom w:val="single" w:color="auto" w:sz="6" w:space="0"/>
              <w:right w:val="single" w:color="auto" w:sz="4" w:space="0"/>
            </w:tcBorders>
            <w:noWrap w:val="0"/>
            <w:vAlign w:val="top"/>
          </w:tcPr>
          <w:p w14:paraId="12FD2A7F">
            <w:pPr>
              <w:pStyle w:val="8"/>
              <w:numPr>
                <w:ilvl w:val="0"/>
                <w:numId w:val="5"/>
              </w:numPr>
              <w:spacing w:line="300" w:lineRule="auto"/>
              <w:ind w:left="0" w:firstLine="360"/>
              <w:rPr>
                <w:sz w:val="24"/>
                <w:szCs w:val="24"/>
              </w:rPr>
            </w:pPr>
          </w:p>
        </w:tc>
        <w:tc>
          <w:tcPr>
            <w:tcW w:w="1657" w:type="dxa"/>
            <w:tcBorders>
              <w:top w:val="single" w:color="auto" w:sz="6" w:space="0"/>
              <w:left w:val="single" w:color="auto" w:sz="4" w:space="0"/>
              <w:bottom w:val="single" w:color="auto" w:sz="6" w:space="0"/>
              <w:right w:val="single" w:color="auto" w:sz="6" w:space="0"/>
            </w:tcBorders>
            <w:noWrap w:val="0"/>
            <w:vAlign w:val="top"/>
          </w:tcPr>
          <w:p w14:paraId="13D81A39">
            <w:pPr>
              <w:pStyle w:val="8"/>
              <w:numPr>
                <w:ilvl w:val="0"/>
                <w:numId w:val="5"/>
              </w:numPr>
              <w:spacing w:line="300" w:lineRule="auto"/>
              <w:ind w:left="0" w:firstLine="360"/>
              <w:rPr>
                <w:sz w:val="24"/>
                <w:szCs w:val="24"/>
              </w:rPr>
            </w:pPr>
          </w:p>
        </w:tc>
        <w:tc>
          <w:tcPr>
            <w:tcW w:w="3144" w:type="dxa"/>
            <w:tcBorders>
              <w:top w:val="single" w:color="auto" w:sz="6" w:space="0"/>
              <w:left w:val="single" w:color="auto" w:sz="6" w:space="0"/>
              <w:bottom w:val="single" w:color="auto" w:sz="6" w:space="0"/>
              <w:right w:val="single" w:color="auto" w:sz="6" w:space="0"/>
            </w:tcBorders>
            <w:noWrap w:val="0"/>
            <w:vAlign w:val="top"/>
          </w:tcPr>
          <w:p w14:paraId="3BD7DFB1">
            <w:pPr>
              <w:pStyle w:val="8"/>
              <w:numPr>
                <w:ilvl w:val="0"/>
                <w:numId w:val="6"/>
              </w:numPr>
              <w:spacing w:line="300" w:lineRule="auto"/>
              <w:ind w:left="0" w:firstLine="360"/>
              <w:rPr>
                <w:sz w:val="24"/>
                <w:szCs w:val="24"/>
              </w:rPr>
            </w:pPr>
          </w:p>
        </w:tc>
      </w:tr>
      <w:tr w14:paraId="2B384EA6">
        <w:tblPrEx>
          <w:tblCellMar>
            <w:top w:w="0" w:type="dxa"/>
            <w:left w:w="108" w:type="dxa"/>
            <w:bottom w:w="0" w:type="dxa"/>
            <w:right w:w="108" w:type="dxa"/>
          </w:tblCellMar>
        </w:tblPrEx>
        <w:trPr>
          <w:jc w:val="center"/>
        </w:trPr>
        <w:tc>
          <w:tcPr>
            <w:tcW w:w="2141" w:type="dxa"/>
            <w:tcBorders>
              <w:top w:val="single" w:color="auto" w:sz="4" w:space="0"/>
              <w:left w:val="single" w:color="auto" w:sz="6" w:space="0"/>
              <w:bottom w:val="single" w:color="auto" w:sz="4" w:space="0"/>
              <w:right w:val="single" w:color="auto" w:sz="6" w:space="0"/>
            </w:tcBorders>
            <w:noWrap w:val="0"/>
            <w:vAlign w:val="top"/>
          </w:tcPr>
          <w:p w14:paraId="0FAAD069">
            <w:pPr>
              <w:pStyle w:val="8"/>
              <w:numPr>
                <w:ilvl w:val="0"/>
                <w:numId w:val="4"/>
              </w:numPr>
              <w:spacing w:line="300" w:lineRule="auto"/>
              <w:jc w:val="center"/>
              <w:rPr>
                <w:sz w:val="24"/>
                <w:szCs w:val="24"/>
              </w:rPr>
            </w:pPr>
          </w:p>
        </w:tc>
        <w:tc>
          <w:tcPr>
            <w:tcW w:w="1843" w:type="dxa"/>
            <w:tcBorders>
              <w:top w:val="single" w:color="auto" w:sz="6" w:space="0"/>
              <w:left w:val="single" w:color="auto" w:sz="6" w:space="0"/>
              <w:bottom w:val="single" w:color="auto" w:sz="6" w:space="0"/>
              <w:right w:val="single" w:color="auto" w:sz="4" w:space="0"/>
            </w:tcBorders>
            <w:noWrap w:val="0"/>
            <w:vAlign w:val="top"/>
          </w:tcPr>
          <w:p w14:paraId="139176D3">
            <w:pPr>
              <w:pStyle w:val="8"/>
              <w:numPr>
                <w:ilvl w:val="0"/>
                <w:numId w:val="5"/>
              </w:numPr>
              <w:spacing w:line="300" w:lineRule="auto"/>
              <w:ind w:left="0" w:firstLine="360"/>
              <w:rPr>
                <w:sz w:val="24"/>
                <w:szCs w:val="24"/>
              </w:rPr>
            </w:pPr>
          </w:p>
        </w:tc>
        <w:tc>
          <w:tcPr>
            <w:tcW w:w="1657" w:type="dxa"/>
            <w:tcBorders>
              <w:top w:val="single" w:color="auto" w:sz="6" w:space="0"/>
              <w:left w:val="single" w:color="auto" w:sz="4" w:space="0"/>
              <w:bottom w:val="single" w:color="auto" w:sz="6" w:space="0"/>
              <w:right w:val="single" w:color="auto" w:sz="6" w:space="0"/>
            </w:tcBorders>
            <w:noWrap w:val="0"/>
            <w:vAlign w:val="top"/>
          </w:tcPr>
          <w:p w14:paraId="7A2CFED1">
            <w:pPr>
              <w:pStyle w:val="8"/>
              <w:numPr>
                <w:ilvl w:val="0"/>
                <w:numId w:val="5"/>
              </w:numPr>
              <w:spacing w:line="300" w:lineRule="auto"/>
              <w:ind w:left="0" w:firstLine="360"/>
              <w:rPr>
                <w:sz w:val="24"/>
                <w:szCs w:val="24"/>
              </w:rPr>
            </w:pPr>
          </w:p>
        </w:tc>
        <w:tc>
          <w:tcPr>
            <w:tcW w:w="3144" w:type="dxa"/>
            <w:tcBorders>
              <w:top w:val="single" w:color="auto" w:sz="6" w:space="0"/>
              <w:left w:val="single" w:color="auto" w:sz="6" w:space="0"/>
              <w:bottom w:val="single" w:color="auto" w:sz="6" w:space="0"/>
              <w:right w:val="single" w:color="auto" w:sz="6" w:space="0"/>
            </w:tcBorders>
            <w:noWrap w:val="0"/>
            <w:vAlign w:val="top"/>
          </w:tcPr>
          <w:p w14:paraId="56FAB2F4">
            <w:pPr>
              <w:pStyle w:val="8"/>
              <w:numPr>
                <w:ilvl w:val="0"/>
                <w:numId w:val="6"/>
              </w:numPr>
              <w:spacing w:line="300" w:lineRule="auto"/>
              <w:ind w:left="0" w:firstLine="360"/>
              <w:rPr>
                <w:sz w:val="24"/>
                <w:szCs w:val="24"/>
              </w:rPr>
            </w:pPr>
          </w:p>
        </w:tc>
      </w:tr>
      <w:tr w14:paraId="78CBB8FF">
        <w:tblPrEx>
          <w:tblCellMar>
            <w:top w:w="0" w:type="dxa"/>
            <w:left w:w="108" w:type="dxa"/>
            <w:bottom w:w="0" w:type="dxa"/>
            <w:right w:w="108" w:type="dxa"/>
          </w:tblCellMar>
        </w:tblPrEx>
        <w:trPr>
          <w:jc w:val="center"/>
        </w:trPr>
        <w:tc>
          <w:tcPr>
            <w:tcW w:w="2141" w:type="dxa"/>
            <w:tcBorders>
              <w:top w:val="single" w:color="auto" w:sz="4" w:space="0"/>
              <w:left w:val="single" w:color="auto" w:sz="6" w:space="0"/>
              <w:bottom w:val="single" w:color="auto" w:sz="4" w:space="0"/>
              <w:right w:val="single" w:color="auto" w:sz="6" w:space="0"/>
            </w:tcBorders>
            <w:noWrap w:val="0"/>
            <w:vAlign w:val="top"/>
          </w:tcPr>
          <w:p w14:paraId="2BF2EEC1">
            <w:pPr>
              <w:pStyle w:val="8"/>
              <w:numPr>
                <w:ilvl w:val="0"/>
                <w:numId w:val="4"/>
              </w:numPr>
              <w:spacing w:line="300" w:lineRule="auto"/>
              <w:jc w:val="center"/>
              <w:rPr>
                <w:sz w:val="24"/>
                <w:szCs w:val="24"/>
              </w:rPr>
            </w:pPr>
          </w:p>
        </w:tc>
        <w:tc>
          <w:tcPr>
            <w:tcW w:w="1843" w:type="dxa"/>
            <w:tcBorders>
              <w:top w:val="single" w:color="auto" w:sz="6" w:space="0"/>
              <w:left w:val="single" w:color="auto" w:sz="6" w:space="0"/>
              <w:bottom w:val="single" w:color="auto" w:sz="6" w:space="0"/>
              <w:right w:val="single" w:color="auto" w:sz="4" w:space="0"/>
            </w:tcBorders>
            <w:noWrap w:val="0"/>
            <w:vAlign w:val="top"/>
          </w:tcPr>
          <w:p w14:paraId="70B4AE09">
            <w:pPr>
              <w:pStyle w:val="8"/>
              <w:numPr>
                <w:ilvl w:val="0"/>
                <w:numId w:val="5"/>
              </w:numPr>
              <w:spacing w:line="300" w:lineRule="auto"/>
              <w:ind w:left="0" w:firstLine="360"/>
              <w:rPr>
                <w:sz w:val="24"/>
                <w:szCs w:val="24"/>
              </w:rPr>
            </w:pPr>
          </w:p>
        </w:tc>
        <w:tc>
          <w:tcPr>
            <w:tcW w:w="1657" w:type="dxa"/>
            <w:tcBorders>
              <w:top w:val="single" w:color="auto" w:sz="6" w:space="0"/>
              <w:left w:val="single" w:color="auto" w:sz="4" w:space="0"/>
              <w:bottom w:val="single" w:color="auto" w:sz="6" w:space="0"/>
              <w:right w:val="single" w:color="auto" w:sz="6" w:space="0"/>
            </w:tcBorders>
            <w:noWrap w:val="0"/>
            <w:vAlign w:val="top"/>
          </w:tcPr>
          <w:p w14:paraId="306BAEDA">
            <w:pPr>
              <w:pStyle w:val="8"/>
              <w:numPr>
                <w:ilvl w:val="0"/>
                <w:numId w:val="5"/>
              </w:numPr>
              <w:spacing w:line="300" w:lineRule="auto"/>
              <w:ind w:left="0" w:firstLine="360"/>
              <w:rPr>
                <w:sz w:val="24"/>
                <w:szCs w:val="24"/>
              </w:rPr>
            </w:pPr>
          </w:p>
        </w:tc>
        <w:tc>
          <w:tcPr>
            <w:tcW w:w="3144" w:type="dxa"/>
            <w:tcBorders>
              <w:top w:val="single" w:color="auto" w:sz="6" w:space="0"/>
              <w:left w:val="single" w:color="auto" w:sz="6" w:space="0"/>
              <w:bottom w:val="single" w:color="auto" w:sz="6" w:space="0"/>
              <w:right w:val="single" w:color="auto" w:sz="6" w:space="0"/>
            </w:tcBorders>
            <w:noWrap w:val="0"/>
            <w:vAlign w:val="top"/>
          </w:tcPr>
          <w:p w14:paraId="7CA34413">
            <w:pPr>
              <w:pStyle w:val="8"/>
              <w:numPr>
                <w:ilvl w:val="0"/>
                <w:numId w:val="6"/>
              </w:numPr>
              <w:spacing w:line="300" w:lineRule="auto"/>
              <w:ind w:left="0" w:firstLine="360"/>
              <w:rPr>
                <w:sz w:val="24"/>
                <w:szCs w:val="24"/>
              </w:rPr>
            </w:pPr>
          </w:p>
        </w:tc>
      </w:tr>
      <w:tr w14:paraId="0904A2BA">
        <w:tblPrEx>
          <w:tblCellMar>
            <w:top w:w="0" w:type="dxa"/>
            <w:left w:w="108" w:type="dxa"/>
            <w:bottom w:w="0" w:type="dxa"/>
            <w:right w:w="108" w:type="dxa"/>
          </w:tblCellMar>
        </w:tblPrEx>
        <w:trPr>
          <w:jc w:val="center"/>
        </w:trPr>
        <w:tc>
          <w:tcPr>
            <w:tcW w:w="2141" w:type="dxa"/>
            <w:tcBorders>
              <w:top w:val="single" w:color="auto" w:sz="4" w:space="0"/>
              <w:left w:val="single" w:color="auto" w:sz="6" w:space="0"/>
              <w:bottom w:val="single" w:color="auto" w:sz="4" w:space="0"/>
              <w:right w:val="single" w:color="auto" w:sz="6" w:space="0"/>
            </w:tcBorders>
            <w:noWrap w:val="0"/>
            <w:vAlign w:val="top"/>
          </w:tcPr>
          <w:p w14:paraId="1BD19341">
            <w:pPr>
              <w:pStyle w:val="8"/>
              <w:numPr>
                <w:ilvl w:val="0"/>
                <w:numId w:val="4"/>
              </w:numPr>
              <w:spacing w:line="300" w:lineRule="auto"/>
              <w:jc w:val="center"/>
              <w:rPr>
                <w:sz w:val="24"/>
                <w:szCs w:val="24"/>
              </w:rPr>
            </w:pPr>
          </w:p>
        </w:tc>
        <w:tc>
          <w:tcPr>
            <w:tcW w:w="1843" w:type="dxa"/>
            <w:tcBorders>
              <w:top w:val="single" w:color="auto" w:sz="6" w:space="0"/>
              <w:left w:val="single" w:color="auto" w:sz="6" w:space="0"/>
              <w:bottom w:val="single" w:color="auto" w:sz="6" w:space="0"/>
              <w:right w:val="single" w:color="auto" w:sz="4" w:space="0"/>
            </w:tcBorders>
            <w:noWrap w:val="0"/>
            <w:vAlign w:val="top"/>
          </w:tcPr>
          <w:p w14:paraId="424FC03F">
            <w:pPr>
              <w:pStyle w:val="8"/>
              <w:numPr>
                <w:ilvl w:val="0"/>
                <w:numId w:val="8"/>
              </w:numPr>
              <w:spacing w:line="300" w:lineRule="auto"/>
              <w:ind w:left="0" w:firstLine="360"/>
              <w:rPr>
                <w:sz w:val="24"/>
                <w:szCs w:val="24"/>
              </w:rPr>
            </w:pPr>
          </w:p>
        </w:tc>
        <w:tc>
          <w:tcPr>
            <w:tcW w:w="1657" w:type="dxa"/>
            <w:tcBorders>
              <w:top w:val="single" w:color="auto" w:sz="6" w:space="0"/>
              <w:left w:val="single" w:color="auto" w:sz="4" w:space="0"/>
              <w:bottom w:val="single" w:color="auto" w:sz="6" w:space="0"/>
              <w:right w:val="single" w:color="auto" w:sz="6" w:space="0"/>
            </w:tcBorders>
            <w:noWrap w:val="0"/>
            <w:vAlign w:val="top"/>
          </w:tcPr>
          <w:p w14:paraId="5278463F">
            <w:pPr>
              <w:pStyle w:val="8"/>
              <w:numPr>
                <w:ilvl w:val="0"/>
                <w:numId w:val="8"/>
              </w:numPr>
              <w:spacing w:line="300" w:lineRule="auto"/>
              <w:ind w:left="0" w:firstLine="360"/>
              <w:rPr>
                <w:sz w:val="24"/>
                <w:szCs w:val="24"/>
              </w:rPr>
            </w:pPr>
          </w:p>
        </w:tc>
        <w:tc>
          <w:tcPr>
            <w:tcW w:w="3144" w:type="dxa"/>
            <w:tcBorders>
              <w:top w:val="single" w:color="auto" w:sz="6" w:space="0"/>
              <w:left w:val="single" w:color="auto" w:sz="6" w:space="0"/>
              <w:bottom w:val="single" w:color="auto" w:sz="6" w:space="0"/>
              <w:right w:val="single" w:color="auto" w:sz="6" w:space="0"/>
            </w:tcBorders>
            <w:noWrap w:val="0"/>
            <w:vAlign w:val="top"/>
          </w:tcPr>
          <w:p w14:paraId="1482EBEA">
            <w:pPr>
              <w:pStyle w:val="8"/>
              <w:numPr>
                <w:ilvl w:val="0"/>
                <w:numId w:val="9"/>
              </w:numPr>
              <w:spacing w:line="300" w:lineRule="auto"/>
              <w:ind w:left="0" w:firstLine="360"/>
              <w:rPr>
                <w:sz w:val="24"/>
                <w:szCs w:val="24"/>
              </w:rPr>
            </w:pPr>
          </w:p>
        </w:tc>
      </w:tr>
    </w:tbl>
    <w:p w14:paraId="43DBCDE4">
      <w:pPr>
        <w:pStyle w:val="2"/>
        <w:tabs>
          <w:tab w:val="left" w:pos="5387"/>
        </w:tabs>
        <w:spacing w:line="300" w:lineRule="auto"/>
        <w:rPr>
          <w:rFonts w:hint="default"/>
          <w:sz w:val="24"/>
          <w:szCs w:val="24"/>
        </w:rPr>
      </w:pPr>
    </w:p>
    <w:p w14:paraId="383D6A86">
      <w:pPr>
        <w:pStyle w:val="2"/>
        <w:tabs>
          <w:tab w:val="left" w:pos="5387"/>
        </w:tabs>
        <w:spacing w:line="300" w:lineRule="auto"/>
        <w:rPr>
          <w:rFonts w:hint="default"/>
          <w:sz w:val="24"/>
          <w:szCs w:val="24"/>
        </w:rPr>
      </w:pPr>
    </w:p>
    <w:p w14:paraId="4B41E016">
      <w:pPr>
        <w:pStyle w:val="2"/>
        <w:tabs>
          <w:tab w:val="left" w:pos="5387"/>
        </w:tabs>
        <w:spacing w:line="300" w:lineRule="auto"/>
        <w:rPr>
          <w:rFonts w:hint="default"/>
          <w:sz w:val="24"/>
          <w:szCs w:val="24"/>
        </w:rPr>
      </w:pPr>
    </w:p>
    <w:p w14:paraId="7E3A9A01">
      <w:pPr>
        <w:pStyle w:val="2"/>
        <w:tabs>
          <w:tab w:val="left" w:pos="5387"/>
        </w:tabs>
        <w:spacing w:line="300" w:lineRule="auto"/>
        <w:rPr>
          <w:rFonts w:hint="default"/>
          <w:sz w:val="24"/>
          <w:szCs w:val="24"/>
        </w:rPr>
      </w:pPr>
    </w:p>
    <w:p w14:paraId="2F1AFFC3">
      <w:pPr>
        <w:pStyle w:val="2"/>
        <w:tabs>
          <w:tab w:val="left" w:pos="5387"/>
        </w:tabs>
        <w:spacing w:line="300" w:lineRule="auto"/>
        <w:rPr>
          <w:rFonts w:hint="default"/>
          <w:sz w:val="24"/>
          <w:szCs w:val="24"/>
        </w:rPr>
      </w:pPr>
    </w:p>
    <w:p w14:paraId="115B3441">
      <w:pPr>
        <w:pStyle w:val="2"/>
        <w:tabs>
          <w:tab w:val="left" w:pos="5387"/>
        </w:tabs>
        <w:spacing w:line="300" w:lineRule="auto"/>
        <w:rPr>
          <w:rFonts w:hint="default" w:ascii="Times New Roman" w:hAnsi="Times New Roman"/>
          <w:b/>
          <w:bCs/>
          <w:sz w:val="24"/>
          <w:szCs w:val="24"/>
        </w:rPr>
      </w:pPr>
      <w:r>
        <w:rPr>
          <w:rFonts w:hint="default" w:ascii="Times New Roman" w:hAnsi="Times New Roman"/>
          <w:b/>
          <w:bCs/>
          <w:sz w:val="24"/>
          <w:szCs w:val="24"/>
        </w:rPr>
        <w:t>买方：</w:t>
      </w:r>
      <w:r>
        <w:rPr>
          <w:rFonts w:hAnsi="宋体"/>
          <w:b/>
          <w:sz w:val="24"/>
          <w:szCs w:val="24"/>
        </w:rPr>
        <w:t xml:space="preserve"> </w:t>
      </w:r>
      <w:r>
        <w:rPr>
          <w:rFonts w:ascii="Times New Roman" w:hAnsi="宋体"/>
          <w:sz w:val="24"/>
          <w:szCs w:val="24"/>
        </w:rPr>
        <w:t>【</w:t>
      </w:r>
      <w:r>
        <w:rPr>
          <w:rFonts w:hint="eastAsia" w:ascii="Times New Roman" w:hAnsi="宋体"/>
          <w:sz w:val="24"/>
          <w:szCs w:val="24"/>
          <w:lang w:val="en-US" w:eastAsia="zh-CN"/>
        </w:rPr>
        <w:t xml:space="preserve">   </w:t>
      </w:r>
      <w:r>
        <w:rPr>
          <w:rFonts w:ascii="Times New Roman" w:hAnsi="宋体"/>
          <w:sz w:val="24"/>
          <w:szCs w:val="24"/>
        </w:rPr>
        <w:t>】</w:t>
      </w:r>
      <w:r>
        <w:rPr>
          <w:rFonts w:hAnsi="宋体"/>
          <w:b/>
          <w:sz w:val="24"/>
          <w:szCs w:val="24"/>
        </w:rPr>
        <w:t xml:space="preserve">   </w:t>
      </w:r>
      <w:r>
        <w:rPr>
          <w:rFonts w:hint="default" w:ascii="Times New Roman" w:hAnsi="Times New Roman"/>
          <w:b/>
          <w:bCs/>
          <w:sz w:val="24"/>
          <w:szCs w:val="24"/>
        </w:rPr>
        <w:t xml:space="preserve">            </w:t>
      </w:r>
      <w:r>
        <w:rPr>
          <w:rFonts w:hint="eastAsia" w:ascii="Times New Roman" w:hAnsi="Times New Roman"/>
          <w:b/>
          <w:bCs/>
          <w:sz w:val="24"/>
          <w:szCs w:val="24"/>
          <w:lang w:val="en-US" w:eastAsia="zh-CN"/>
        </w:rPr>
        <w:t xml:space="preserve">              </w:t>
      </w:r>
      <w:r>
        <w:rPr>
          <w:rFonts w:hint="default" w:ascii="Times New Roman" w:hAnsi="Times New Roman"/>
          <w:b/>
          <w:bCs/>
          <w:sz w:val="24"/>
          <w:szCs w:val="24"/>
        </w:rPr>
        <w:t xml:space="preserve"> 卖方：</w:t>
      </w:r>
    </w:p>
    <w:p w14:paraId="62E73953">
      <w:pPr>
        <w:pStyle w:val="2"/>
        <w:tabs>
          <w:tab w:val="left" w:pos="5387"/>
        </w:tabs>
        <w:spacing w:line="300" w:lineRule="auto"/>
        <w:outlineLvl w:val="0"/>
        <w:rPr>
          <w:rFonts w:hint="default" w:ascii="Times New Roman" w:hAnsi="Times New Roman"/>
          <w:b/>
          <w:bCs/>
          <w:sz w:val="24"/>
          <w:szCs w:val="24"/>
        </w:rPr>
      </w:pPr>
    </w:p>
    <w:p w14:paraId="63280923">
      <w:pPr>
        <w:pStyle w:val="2"/>
        <w:tabs>
          <w:tab w:val="left" w:pos="5387"/>
        </w:tabs>
        <w:spacing w:line="300" w:lineRule="auto"/>
        <w:outlineLvl w:val="0"/>
        <w:rPr>
          <w:rFonts w:hint="default" w:ascii="Times New Roman" w:hAnsi="Times New Roman"/>
          <w:b/>
          <w:bCs/>
          <w:sz w:val="24"/>
          <w:szCs w:val="24"/>
        </w:rPr>
      </w:pPr>
      <w:r>
        <w:rPr>
          <w:rFonts w:ascii="Times New Roman" w:hAnsi="Times New Roman"/>
          <w:b/>
          <w:bCs/>
          <w:sz w:val="24"/>
          <w:szCs w:val="24"/>
        </w:rPr>
        <w:t>有权</w:t>
      </w:r>
      <w:r>
        <w:rPr>
          <w:rFonts w:hint="default" w:ascii="Times New Roman" w:hAnsi="Times New Roman"/>
          <w:b/>
          <w:bCs/>
          <w:sz w:val="24"/>
          <w:szCs w:val="24"/>
        </w:rPr>
        <w:t xml:space="preserve">代表：                            </w:t>
      </w:r>
      <w:r>
        <w:rPr>
          <w:rFonts w:hint="default" w:ascii="Times New Roman" w:hAnsi="Times New Roman"/>
          <w:b/>
          <w:bCs/>
          <w:sz w:val="24"/>
          <w:szCs w:val="24"/>
        </w:rPr>
        <w:tab/>
      </w:r>
      <w:r>
        <w:rPr>
          <w:rFonts w:ascii="Times New Roman" w:hAnsi="Times New Roman"/>
          <w:b/>
          <w:bCs/>
          <w:sz w:val="24"/>
          <w:szCs w:val="24"/>
        </w:rPr>
        <w:t>有权</w:t>
      </w:r>
      <w:r>
        <w:rPr>
          <w:rFonts w:hint="default" w:ascii="Times New Roman" w:hAnsi="Times New Roman"/>
          <w:b/>
          <w:bCs/>
          <w:sz w:val="24"/>
          <w:szCs w:val="24"/>
        </w:rPr>
        <w:t>代表：</w:t>
      </w:r>
    </w:p>
    <w:p w14:paraId="40E124BB">
      <w:pPr>
        <w:pStyle w:val="2"/>
        <w:tabs>
          <w:tab w:val="left" w:pos="5387"/>
        </w:tabs>
        <w:spacing w:line="300" w:lineRule="auto"/>
        <w:outlineLvl w:val="0"/>
        <w:rPr>
          <w:rFonts w:hint="default" w:ascii="Times New Roman" w:hAnsi="Times New Roman"/>
          <w:b/>
          <w:bCs/>
          <w:sz w:val="24"/>
          <w:szCs w:val="24"/>
        </w:rPr>
      </w:pPr>
    </w:p>
    <w:p w14:paraId="64A9A9D8">
      <w:pPr>
        <w:pStyle w:val="2"/>
        <w:tabs>
          <w:tab w:val="left" w:pos="5387"/>
        </w:tabs>
        <w:spacing w:line="300" w:lineRule="auto"/>
        <w:rPr>
          <w:rFonts w:hint="default" w:ascii="Times New Roman" w:hAnsi="Times New Roman"/>
          <w:b/>
          <w:bCs/>
          <w:sz w:val="24"/>
          <w:szCs w:val="24"/>
        </w:rPr>
      </w:pPr>
      <w:r>
        <w:rPr>
          <w:rFonts w:hint="default" w:ascii="Times New Roman" w:hAnsi="Times New Roman"/>
          <w:b/>
          <w:bCs/>
          <w:sz w:val="24"/>
          <w:szCs w:val="24"/>
        </w:rPr>
        <w:t xml:space="preserve">签字：                                  </w:t>
      </w:r>
      <w:r>
        <w:rPr>
          <w:rFonts w:hint="default" w:ascii="Times New Roman" w:hAnsi="Times New Roman"/>
          <w:b/>
          <w:bCs/>
          <w:sz w:val="24"/>
          <w:szCs w:val="24"/>
        </w:rPr>
        <w:tab/>
      </w:r>
      <w:r>
        <w:rPr>
          <w:rFonts w:hint="default" w:ascii="Times New Roman" w:hAnsi="Times New Roman"/>
          <w:b/>
          <w:bCs/>
          <w:sz w:val="24"/>
          <w:szCs w:val="24"/>
        </w:rPr>
        <w:t>签字：</w:t>
      </w:r>
    </w:p>
    <w:p w14:paraId="09671120">
      <w:pPr>
        <w:pStyle w:val="2"/>
        <w:tabs>
          <w:tab w:val="left" w:pos="5387"/>
        </w:tabs>
        <w:spacing w:line="300" w:lineRule="auto"/>
        <w:rPr>
          <w:rFonts w:hint="default" w:ascii="Times New Roman" w:hAnsi="Times New Roman"/>
          <w:b/>
          <w:bCs/>
          <w:sz w:val="24"/>
          <w:szCs w:val="24"/>
        </w:rPr>
      </w:pPr>
    </w:p>
    <w:p w14:paraId="3EA90FF1">
      <w:pPr>
        <w:pStyle w:val="2"/>
        <w:tabs>
          <w:tab w:val="left" w:pos="5387"/>
        </w:tabs>
        <w:spacing w:line="300" w:lineRule="auto"/>
        <w:rPr>
          <w:rFonts w:hint="default" w:ascii="Times New Roman" w:hAnsi="Times New Roman"/>
          <w:b/>
          <w:bCs/>
          <w:sz w:val="24"/>
          <w:szCs w:val="24"/>
        </w:rPr>
      </w:pPr>
    </w:p>
    <w:p w14:paraId="15DBB244">
      <w:pPr>
        <w:pStyle w:val="2"/>
        <w:tabs>
          <w:tab w:val="left" w:pos="5387"/>
        </w:tabs>
        <w:spacing w:line="300" w:lineRule="auto"/>
        <w:rPr>
          <w:rFonts w:hint="default" w:ascii="Times New Roman" w:hAnsi="Times New Roman"/>
          <w:b/>
          <w:bCs/>
          <w:sz w:val="24"/>
          <w:szCs w:val="24"/>
        </w:rPr>
      </w:pPr>
      <w:r>
        <w:rPr>
          <w:rFonts w:hint="default" w:ascii="Times New Roman" w:hAnsi="Times New Roman"/>
          <w:b/>
          <w:bCs/>
          <w:sz w:val="24"/>
          <w:szCs w:val="24"/>
        </w:rPr>
        <w:t>签署日期</w:t>
      </w:r>
      <w:r>
        <w:rPr>
          <w:rFonts w:ascii="Times New Roman" w:hAnsi="Times New Roman"/>
          <w:b/>
          <w:bCs/>
          <w:sz w:val="24"/>
          <w:szCs w:val="24"/>
        </w:rPr>
        <w:t xml:space="preserve">：【   </w:t>
      </w:r>
      <w:r>
        <w:rPr>
          <w:rFonts w:hint="default" w:ascii="Times New Roman" w:hAnsi="Times New Roman"/>
          <w:b/>
          <w:bCs/>
          <w:sz w:val="24"/>
          <w:szCs w:val="24"/>
        </w:rPr>
        <w:t xml:space="preserve">  </w:t>
      </w:r>
      <w:r>
        <w:rPr>
          <w:rFonts w:ascii="Times New Roman" w:hAnsi="Times New Roman"/>
          <w:b/>
          <w:bCs/>
          <w:sz w:val="24"/>
          <w:szCs w:val="24"/>
        </w:rPr>
        <w:t>】年【  】月【  】日</w:t>
      </w:r>
    </w:p>
    <w:p w14:paraId="25B46C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35AB7A"/>
    <w:multiLevelType w:val="singleLevel"/>
    <w:tmpl w:val="A635AB7A"/>
    <w:lvl w:ilvl="0" w:tentative="0">
      <w:start w:val="5"/>
      <w:numFmt w:val="decimal"/>
      <w:suff w:val="nothing"/>
      <w:lvlText w:val="%1、"/>
      <w:lvlJc w:val="left"/>
    </w:lvl>
  </w:abstractNum>
  <w:abstractNum w:abstractNumId="1">
    <w:nsid w:val="01A241B9"/>
    <w:multiLevelType w:val="singleLevel"/>
    <w:tmpl w:val="01A241B9"/>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2">
    <w:nsid w:val="02AC2040"/>
    <w:multiLevelType w:val="singleLevel"/>
    <w:tmpl w:val="02AC2040"/>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3">
    <w:nsid w:val="05FD7295"/>
    <w:multiLevelType w:val="singleLevel"/>
    <w:tmpl w:val="05FD7295"/>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4">
    <w:nsid w:val="14552901"/>
    <w:multiLevelType w:val="multilevel"/>
    <w:tmpl w:val="14552901"/>
    <w:lvl w:ilvl="0" w:tentative="0">
      <w:start w:val="1"/>
      <w:numFmt w:val="decimal"/>
      <w:pStyle w:val="9"/>
      <w:lvlText w:val="%1"/>
      <w:lvlJc w:val="left"/>
      <w:pPr>
        <w:tabs>
          <w:tab w:val="left" w:pos="425"/>
        </w:tabs>
        <w:ind w:left="425" w:hanging="425"/>
      </w:pPr>
      <w:rPr>
        <w:rFonts w:hint="eastAsia" w:cs="Times New Roman"/>
      </w:rPr>
    </w:lvl>
    <w:lvl w:ilvl="1" w:tentative="0">
      <w:start w:val="1"/>
      <w:numFmt w:val="decimal"/>
      <w:lvlRestart w:val="0"/>
      <w:isLg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361"/>
        </w:tabs>
        <w:ind w:left="1361" w:hanging="794"/>
      </w:pPr>
      <w:rPr>
        <w:rFonts w:hint="eastAsia" w:cs="Times New Roman"/>
      </w:rPr>
    </w:lvl>
    <w:lvl w:ilvl="3" w:tentative="0">
      <w:start w:val="1"/>
      <w:numFmt w:val="decimal"/>
      <w:lvlText w:val="%1.%2.%3.%4"/>
      <w:lvlJc w:val="left"/>
      <w:pPr>
        <w:tabs>
          <w:tab w:val="left" w:pos="2356"/>
        </w:tabs>
        <w:ind w:left="1984" w:hanging="708"/>
      </w:pPr>
      <w:rPr>
        <w:rFonts w:hint="eastAsia" w:cs="Times New Roman"/>
      </w:rPr>
    </w:lvl>
    <w:lvl w:ilvl="4" w:tentative="0">
      <w:start w:val="1"/>
      <w:numFmt w:val="decimal"/>
      <w:lvlText w:val="%1.%2.%3.%4.%5"/>
      <w:lvlJc w:val="left"/>
      <w:pPr>
        <w:tabs>
          <w:tab w:val="left" w:pos="3141"/>
        </w:tabs>
        <w:ind w:left="2551" w:hanging="850"/>
      </w:pPr>
      <w:rPr>
        <w:rFonts w:hint="eastAsia" w:cs="Times New Roman"/>
      </w:rPr>
    </w:lvl>
    <w:lvl w:ilvl="5" w:tentative="0">
      <w:start w:val="1"/>
      <w:numFmt w:val="decimal"/>
      <w:lvlText w:val="%1.%2.%3.%4.%5.%6"/>
      <w:lvlJc w:val="left"/>
      <w:pPr>
        <w:tabs>
          <w:tab w:val="left" w:pos="3926"/>
        </w:tabs>
        <w:ind w:left="3260" w:hanging="1134"/>
      </w:pPr>
      <w:rPr>
        <w:rFonts w:hint="eastAsia" w:cs="Times New Roman"/>
      </w:rPr>
    </w:lvl>
    <w:lvl w:ilvl="6" w:tentative="0">
      <w:start w:val="1"/>
      <w:numFmt w:val="decimal"/>
      <w:lvlText w:val="%1.%2.%3.%4.%5.%6.%7"/>
      <w:lvlJc w:val="left"/>
      <w:pPr>
        <w:tabs>
          <w:tab w:val="left" w:pos="4711"/>
        </w:tabs>
        <w:ind w:left="3827" w:hanging="1276"/>
      </w:pPr>
      <w:rPr>
        <w:rFonts w:hint="eastAsia" w:cs="Times New Roman"/>
      </w:rPr>
    </w:lvl>
    <w:lvl w:ilvl="7" w:tentative="0">
      <w:start w:val="1"/>
      <w:numFmt w:val="decimal"/>
      <w:lvlText w:val="%1.%2.%3.%4.%5.%6.%7.%8"/>
      <w:lvlJc w:val="left"/>
      <w:pPr>
        <w:tabs>
          <w:tab w:val="left" w:pos="5496"/>
        </w:tabs>
        <w:ind w:left="4394" w:hanging="1418"/>
      </w:pPr>
      <w:rPr>
        <w:rFonts w:hint="eastAsia" w:cs="Times New Roman"/>
      </w:rPr>
    </w:lvl>
    <w:lvl w:ilvl="8" w:tentative="0">
      <w:start w:val="1"/>
      <w:numFmt w:val="decimal"/>
      <w:lvlText w:val="%1.%2.%3.%4.%5.%6.%7.%8.%9"/>
      <w:lvlJc w:val="left"/>
      <w:pPr>
        <w:tabs>
          <w:tab w:val="left" w:pos="6282"/>
        </w:tabs>
        <w:ind w:left="5102" w:hanging="1700"/>
      </w:pPr>
      <w:rPr>
        <w:rFonts w:hint="eastAsia" w:cs="Times New Roman"/>
      </w:rPr>
    </w:lvl>
  </w:abstractNum>
  <w:abstractNum w:abstractNumId="5">
    <w:nsid w:val="166D0FF9"/>
    <w:multiLevelType w:val="singleLevel"/>
    <w:tmpl w:val="166D0FF9"/>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6">
    <w:nsid w:val="1A1A1633"/>
    <w:multiLevelType w:val="multilevel"/>
    <w:tmpl w:val="1A1A16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567"/>
        </w:tabs>
        <w:ind w:left="56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24714CDA"/>
    <w:multiLevelType w:val="singleLevel"/>
    <w:tmpl w:val="24714CDA"/>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8">
    <w:nsid w:val="25043640"/>
    <w:multiLevelType w:val="singleLevel"/>
    <w:tmpl w:val="25043640"/>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9">
    <w:nsid w:val="41830675"/>
    <w:multiLevelType w:val="singleLevel"/>
    <w:tmpl w:val="41830675"/>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10">
    <w:nsid w:val="45731F2D"/>
    <w:multiLevelType w:val="singleLevel"/>
    <w:tmpl w:val="45731F2D"/>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11">
    <w:nsid w:val="60492E63"/>
    <w:multiLevelType w:val="singleLevel"/>
    <w:tmpl w:val="60492E63"/>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12">
    <w:nsid w:val="700E27C2"/>
    <w:multiLevelType w:val="singleLevel"/>
    <w:tmpl w:val="700E27C2"/>
    <w:lvl w:ilvl="0" w:tentative="0">
      <w:start w:val="0"/>
      <w:numFmt w:val="none"/>
      <w:lvlText w:val=""/>
      <w:legacy w:legacy="1" w:legacySpace="0" w:legacyIndent="0"/>
      <w:lvlJc w:val="left"/>
      <w:pPr>
        <w:ind w:left="360" w:firstLine="0"/>
      </w:pPr>
      <w:rPr>
        <w:rFonts w:hint="default" w:ascii="Times New Roman" w:hAnsi="Times New Roman" w:cs="Times New Roman"/>
      </w:rPr>
    </w:lvl>
  </w:abstractNum>
  <w:abstractNum w:abstractNumId="13">
    <w:nsid w:val="73F2679B"/>
    <w:multiLevelType w:val="singleLevel"/>
    <w:tmpl w:val="73F2679B"/>
    <w:lvl w:ilvl="0" w:tentative="0">
      <w:start w:val="0"/>
      <w:numFmt w:val="none"/>
      <w:lvlText w:val=""/>
      <w:legacy w:legacy="1" w:legacySpace="0" w:legacyIndent="0"/>
      <w:lvlJc w:val="left"/>
      <w:pPr>
        <w:ind w:left="0" w:firstLine="0"/>
      </w:pPr>
      <w:rPr>
        <w:rFonts w:hint="default" w:ascii="Times New Roman" w:hAnsi="Times New Roman" w:cs="Times New Roman"/>
      </w:rPr>
    </w:lvl>
  </w:abstractNum>
  <w:num w:numId="1">
    <w:abstractNumId w:val="4"/>
  </w:num>
  <w:num w:numId="2">
    <w:abstractNumId w:val="5"/>
  </w:num>
  <w:num w:numId="3">
    <w:abstractNumId w:val="2"/>
  </w:num>
  <w:num w:numId="4">
    <w:abstractNumId w:val="13"/>
  </w:num>
  <w:num w:numId="5">
    <w:abstractNumId w:val="3"/>
  </w:num>
  <w:num w:numId="6">
    <w:abstractNumId w:val="8"/>
  </w:num>
  <w:num w:numId="7">
    <w:abstractNumId w:val="1"/>
  </w:num>
  <w:num w:numId="8">
    <w:abstractNumId w:val="9"/>
  </w:num>
  <w:num w:numId="9">
    <w:abstractNumId w:val="7"/>
  </w:num>
  <w:num w:numId="10">
    <w:abstractNumId w:val="11"/>
  </w:num>
  <w:num w:numId="11">
    <w:abstractNumId w:val="10"/>
  </w:num>
  <w:num w:numId="12">
    <w:abstractNumId w:val="12"/>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F0E37"/>
    <w:rsid w:val="774F0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iPriority w:val="0"/>
    <w:rPr>
      <w:rFonts w:ascii="宋体" w:hAnsi="Courier New"/>
      <w:szCs w:val="21"/>
    </w:rPr>
  </w:style>
  <w:style w:type="paragraph" w:styleId="3">
    <w:name w:val="footer"/>
    <w:basedOn w:val="1"/>
    <w:uiPriority w:val="99"/>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7">
    <w:name w:val="Level 1"/>
    <w:basedOn w:val="1"/>
    <w:qFormat/>
    <w:uiPriority w:val="0"/>
    <w:pPr>
      <w:autoSpaceDE w:val="0"/>
      <w:autoSpaceDN w:val="0"/>
      <w:adjustRightInd w:val="0"/>
      <w:jc w:val="left"/>
    </w:pPr>
    <w:rPr>
      <w:b/>
      <w:kern w:val="0"/>
      <w:sz w:val="20"/>
      <w:szCs w:val="20"/>
    </w:rPr>
  </w:style>
  <w:style w:type="paragraph" w:customStyle="1" w:styleId="8">
    <w:name w:val="Default Text"/>
    <w:basedOn w:val="1"/>
    <w:qFormat/>
    <w:uiPriority w:val="0"/>
    <w:pPr>
      <w:autoSpaceDE w:val="0"/>
      <w:autoSpaceDN w:val="0"/>
      <w:adjustRightInd w:val="0"/>
      <w:jc w:val="left"/>
    </w:pPr>
    <w:rPr>
      <w:kern w:val="0"/>
      <w:sz w:val="20"/>
      <w:szCs w:val="20"/>
    </w:rPr>
  </w:style>
  <w:style w:type="paragraph" w:customStyle="1" w:styleId="9">
    <w:name w:val="样式 (西文) Tahoma 小四 加粗 行距: 1.5 倍行距"/>
    <w:basedOn w:val="1"/>
    <w:qFormat/>
    <w:uiPriority w:val="0"/>
    <w:pPr>
      <w:numPr>
        <w:ilvl w:val="0"/>
        <w:numId w:val="1"/>
      </w:numPr>
      <w:spacing w:line="360" w:lineRule="auto"/>
    </w:pPr>
    <w:rPr>
      <w:rFonts w:ascii="Tahoma" w:cs="宋体"/>
      <w:b/>
      <w:bCs/>
      <w:sz w:val="24"/>
      <w:szCs w:val="20"/>
    </w:rPr>
  </w:style>
  <w:style w:type="paragraph" w:styleId="10">
    <w:name w:val="List Paragraph"/>
    <w:basedOn w:val="1"/>
    <w:qFormat/>
    <w:uiPriority w:val="34"/>
    <w:pPr>
      <w:ind w:firstLine="420" w:firstLineChars="200"/>
    </w:pPr>
  </w:style>
  <w:style w:type="paragraph" w:customStyle="1" w:styleId="11">
    <w:name w:val="缺省文本"/>
    <w:basedOn w:val="1"/>
    <w:qFormat/>
    <w:uiPriority w:val="0"/>
    <w:pPr>
      <w:autoSpaceDE w:val="0"/>
      <w:autoSpaceDN w:val="0"/>
      <w:adjustRightInd w:val="0"/>
      <w:jc w:val="left"/>
    </w:pPr>
    <w:rPr>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2026-03-16T07:40:00Z</dcterms:created>
  <dc:creator>C.</dc:creator>
  <cp:lastModifiedBy>C.</cp:lastModifiedBy>
  <dcterms:modified xsi:type="dcterms:W3CDTF">2026-03-16T07:41:24Z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02A6D7DBEB484272948D3CC3C713052C_11</vt:lpwstr>
  </property>
  <property fmtid="{D5CDD505-2E9C-101B-9397-08002B2CF9AE}" pid="4" name="KSOTemplateDocerSaveRecord">
    <vt:lpwstr>eyJoZGlkIjoiZTM1MWMxYTY5MGU5MDRlN2IyN2VlOTIyM2U0ZDNiMTQiLCJ1c2VySWQiOiIyNTM0MDIyNDIifQ==</vt:lpwstr>
  </property>
</Properties>
</file>