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E556">
      <w:pPr>
        <w:pStyle w:val="3"/>
        <w:bidi w:val="0"/>
        <w:spacing w:before="0" w:after="0"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全自动血液细胞分析仪</w:t>
      </w:r>
    </w:p>
    <w:p w14:paraId="11507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一、设备应用场景</w:t>
      </w:r>
    </w:p>
    <w:p w14:paraId="1DE3D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1.高效承接门诊、住院患者的批量血常规 + CRP 联合检测，支持急诊样本快速插入优先处理，适配日均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500份以上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样本量的检验负荷，满足医疗机构日常及高峰时段的检测效率要求；</w:t>
      </w:r>
    </w:p>
    <w:p w14:paraId="15785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2.适配儿科、老年患者及采血困难人群的微量采血检测场景，减少患者采血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痛苦与样本损耗，提升就医体验；</w:t>
      </w:r>
    </w:p>
    <w:p w14:paraId="5D43C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3.有完善的体液检测能力，支持胸腹水、脑脊液、浆膜腔积液等体液样本的常规细胞计数及白细胞分类，为感染性疾病、浆膜腔积液等相关病症的辅助诊断提供可靠依据；</w:t>
      </w:r>
    </w:p>
    <w:p w14:paraId="3C10D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4.具备良好的系统兼容性与扩展性，既可独立运行，也可接入检验流水线系统，支持区域化质控管理与 LIS 系统数据无缝对接，适配医疗机构的检验信息化建设与发展需求：</w:t>
      </w:r>
    </w:p>
    <w:p w14:paraId="15AA1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二、功能要求</w:t>
      </w:r>
    </w:p>
    <w:p w14:paraId="74BEC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1.一体化检测功能：设备需为血常规五分类、网织红细胞（RET）与CRP一体化联检系统，实现单管样本一次完成多项检测，简化操作流程、缩短样本周转时间。</w:t>
      </w:r>
    </w:p>
    <w:p w14:paraId="181F5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2.样本适配功能：支持静脉全血与末梢全血样本，内置预稀释检测模式，并针对末梢血样本配备专属混匀系统，保障微量样本检测的准确性与一致性。</w:t>
      </w:r>
    </w:p>
    <w:p w14:paraId="3532B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3.体液检测功能：具备全自动体液样本分析能力，可对胸水、腹水、脑脊液、浆膜液等体液样本进行细胞计数与白细胞分类，提供体液专用三维散点图，辅助临床进行异常细胞识别与疾病判断。</w:t>
      </w:r>
    </w:p>
    <w:p w14:paraId="69D79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4.异常样本处理功能：内置低值血小板优化检测算法，自动提升低值标本计数颗粒数量，确保检测精度；支持急诊样本随时插入并优先检测，满足急诊患者快速诊断需求。</w:t>
      </w:r>
    </w:p>
    <w:p w14:paraId="04EB0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5.智能质控与审核功能：搭载在线实时质控系统，可无缝接入区域室间质评平台，实现室内外质控一体化管理；支持用户自定义自动复检规则与报告自动审核规则，减少人工干预，提升报告发放效率。</w:t>
      </w:r>
    </w:p>
    <w:p w14:paraId="79799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6.兼容功能：预留模块化扩展接口，后续可对接糖化血红蛋白检测模块、原厂推片染色机、全自动形态学分析仪等，支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持构建一体化智慧检验流水线，满足医疗机构检验能力持续升级的需求。</w:t>
      </w:r>
    </w:p>
    <w:p w14:paraId="78214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三、关键技术参数数值</w:t>
      </w:r>
    </w:p>
    <w:p w14:paraId="31D08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检测原理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采用半导体激光流式细胞技术结合核酸荧光染色法和鞘流阻抗法, CRP、SAA 检测采用胶乳增强免疫散射比浊法。 </w:t>
      </w:r>
    </w:p>
    <w:p w14:paraId="2EF1B8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报告参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血液分析报告参数（含 RET、NRBC）≥28 项</w:t>
      </w:r>
    </w:p>
    <w:p w14:paraId="21C78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报告辅</w:t>
      </w:r>
      <w:r>
        <w:rPr>
          <w:rFonts w:hint="default"/>
          <w:lang w:val="en-US"/>
        </w:rPr>
        <w:t>助</w:t>
      </w:r>
      <w:r>
        <w:rPr>
          <w:rFonts w:hint="eastAsia"/>
        </w:rPr>
        <w:t>三维散点图数量≥2 个</w:t>
      </w:r>
    </w:p>
    <w:p w14:paraId="6ABB1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体液检测体液分析报告参数≥7 项</w:t>
      </w:r>
    </w:p>
    <w:p w14:paraId="7289E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检测速度CBC＋DIFF 检测速率</w:t>
      </w:r>
      <w:r>
        <w:rPr>
          <w:rFonts w:hint="eastAsia"/>
        </w:rPr>
        <w:tab/>
      </w:r>
      <w:r>
        <w:rPr>
          <w:rFonts w:hint="eastAsia"/>
        </w:rPr>
        <w:t>≥110 个样本 / 小时</w:t>
      </w:r>
    </w:p>
    <w:p w14:paraId="35FBA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样本混匀混匀系统配置静脉血、末梢血各配备独立混匀系统</w:t>
      </w:r>
    </w:p>
    <w:p w14:paraId="6324E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用血量末梢全血 CBC+CRP 检测用量≤40μL</w:t>
      </w:r>
    </w:p>
    <w:p w14:paraId="55ECB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用血量末梢血预稀释模式（含 WBC 五分类、NRBC、RET、CRP）</w:t>
      </w:r>
      <w:r>
        <w:rPr>
          <w:rFonts w:hint="eastAsia"/>
        </w:rPr>
        <w:tab/>
      </w:r>
      <w:r>
        <w:rPr>
          <w:rFonts w:hint="eastAsia"/>
        </w:rPr>
        <w:t>≤20μL</w:t>
      </w:r>
    </w:p>
    <w:p w14:paraId="01C26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线性范围白细胞（WBC）检测线性范围</w:t>
      </w:r>
      <w:r>
        <w:rPr>
          <w:rFonts w:hint="eastAsia"/>
        </w:rPr>
        <w:tab/>
      </w:r>
      <w:r>
        <w:rPr>
          <w:rFonts w:hint="eastAsia"/>
        </w:rPr>
        <w:t>(0～500)×10⁹/L</w:t>
      </w:r>
    </w:p>
    <w:p w14:paraId="2DD00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线性范围红细胞（RBC）检测线性范围</w:t>
      </w:r>
      <w:r>
        <w:rPr>
          <w:rFonts w:hint="eastAsia"/>
        </w:rPr>
        <w:tab/>
      </w:r>
      <w:r>
        <w:rPr>
          <w:rFonts w:hint="eastAsia"/>
        </w:rPr>
        <w:t>(0～8.6)×10¹²/L</w:t>
      </w:r>
    </w:p>
    <w:p w14:paraId="1F140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线性范围血小板（PLT）检测线性范围</w:t>
      </w:r>
      <w:r>
        <w:rPr>
          <w:rFonts w:hint="eastAsia"/>
        </w:rPr>
        <w:tab/>
      </w:r>
      <w:r>
        <w:rPr>
          <w:rFonts w:hint="eastAsia"/>
        </w:rPr>
        <w:t>(0～5000)×10⁹/L</w:t>
      </w:r>
    </w:p>
    <w:p w14:paraId="551DC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人机交互主机显示配置自带大屏幕彩色液晶触摸屏</w:t>
      </w:r>
    </w:p>
    <w:p w14:paraId="5CCBF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t>校准配套RET校准品要求提供原厂RET专用校准品，附注册证及溯源报告</w:t>
      </w:r>
    </w:p>
    <w:p w14:paraId="13297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14.生产厂家具有获得国家 CNAS 认证的血液标准化实验室。 (提供相应的证明文件)</w:t>
      </w:r>
    </w:p>
    <w:p w14:paraId="25CD3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15.配备标准化工作站，</w:t>
      </w:r>
    </w:p>
    <w:p w14:paraId="1F84B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16.</w:t>
      </w:r>
      <w:r>
        <w:rPr>
          <w:rFonts w:hint="eastAsia"/>
          <w:highlight w:val="none"/>
          <w:lang w:val="en-US" w:eastAsia="zh-CN"/>
        </w:rPr>
        <w:t xml:space="preserve">配备彩色激光打印机； </w:t>
      </w:r>
    </w:p>
    <w:p w14:paraId="089DF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17.不间断电源 1 套。续航时间不低于2.0h 的 UPS  </w:t>
      </w:r>
    </w:p>
    <w:p w14:paraId="7389C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18.提供工作站及打印机配套办公桌椅一套 </w:t>
      </w:r>
    </w:p>
    <w:p w14:paraId="21F12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highlight w:val="none"/>
          <w:lang w:val="en-US" w:eastAsia="zh-CN"/>
        </w:rPr>
        <w:t>19.免费对接对接医院 LIS 系统。若</w:t>
      </w:r>
      <w:r>
        <w:rPr>
          <w:rFonts w:hint="eastAsia"/>
          <w:lang w:val="en-US" w:eastAsia="zh-CN"/>
        </w:rPr>
        <w:t xml:space="preserve">遇到医院LIS系统升级，确保设备与新系统正常对接使用。 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5A2E"/>
    <w:rsid w:val="06A04C39"/>
    <w:rsid w:val="09B00782"/>
    <w:rsid w:val="0A371BE1"/>
    <w:rsid w:val="26381B79"/>
    <w:rsid w:val="3FAF57C0"/>
    <w:rsid w:val="5EBD7373"/>
    <w:rsid w:val="633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1360</Characters>
  <Paragraphs>43</Paragraphs>
  <TotalTime>5</TotalTime>
  <ScaleCrop>false</ScaleCrop>
  <LinksUpToDate>false</LinksUpToDate>
  <CharactersWithSpaces>1399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2026-06-02T11:54:00Z</dcterms:created>
  <dc:creator>50227211</dc:creator>
  <cp:lastModifiedBy>投标函编辑</cp:lastModifiedBy>
  <dcterms:modified xsi:type="dcterms:W3CDTF">2026-06-11T08:12:45Z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eyJoZGlkIjoiNjIzMjY3NGNiM2U1OTVkOWIxYWYzYWFiNWUxYjg2MjAiLCJ1c2VySWQiOiI0MjkyODgzOTIifQ==</vt:lpwstr>
  </property>
  <property fmtid="{D5CDD505-2E9C-101B-9397-08002B2CF9AE}" pid="4" name="ICV">
    <vt:lpwstr>3E8D84195EAD4F32A9502C88E53156B5_12</vt:lpwstr>
  </property>
</Properties>
</file>