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01AE3">
      <w:pPr>
        <w:pStyle w:val="2"/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44"/>
          <w:lang w:val="en-US" w:eastAsia="zh-CN"/>
        </w:rPr>
        <w:t>酒泉市肃州区第二污水厂扩建及污水资源化利用项目工程检测</w:t>
      </w:r>
      <w:r>
        <w:rPr>
          <w:rFonts w:hint="eastAsia" w:ascii="宋体" w:hAnsi="宋体" w:cs="宋体"/>
          <w:color w:val="auto"/>
          <w:sz w:val="44"/>
          <w:lang w:eastAsia="zh-CN"/>
        </w:rPr>
        <w:t>询价</w:t>
      </w:r>
      <w:r>
        <w:rPr>
          <w:rFonts w:hint="eastAsia" w:ascii="宋体" w:hAnsi="宋体" w:cs="宋体"/>
          <w:color w:val="auto"/>
          <w:sz w:val="44"/>
          <w:lang w:val="en-US" w:eastAsia="zh-CN"/>
        </w:rPr>
        <w:t>公告</w:t>
      </w:r>
    </w:p>
    <w:p w14:paraId="302A9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甘肃迎易咨询服务有限公司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受肃州区供排水服务中心的委托，对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酒泉市肃州区第二污水厂扩建及污水资源化利用项目工程检测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询价邀请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式进行采购，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欢迎符合条件的供应商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参与本项目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询价活动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05F6A5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项目编号：GSYY(2026)010号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 xml:space="preserve"> </w:t>
      </w:r>
    </w:p>
    <w:p w14:paraId="4E7F7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服务内容：</w:t>
      </w:r>
    </w:p>
    <w:p w14:paraId="2DD87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完成本项目范围内的建筑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材料与构配件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检测、市政工程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材料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检测、地基基础构检测、建筑节能检测等相关试验检测工作，并出具符合国家及行业标准的检测报告。</w:t>
      </w:r>
    </w:p>
    <w:p w14:paraId="5B4ECF99">
      <w:pPr>
        <w:pageBreakBefore w:val="0"/>
        <w:numPr>
          <w:ilvl w:val="0"/>
          <w:numId w:val="1"/>
        </w:numPr>
        <w:wordWrap/>
        <w:spacing w:before="160" w:after="0"/>
        <w:ind w:left="2168" w:leftChars="0" w:right="0" w:rightChars="0" w:hanging="2168" w:hangingChars="90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合同履行期限：</w:t>
      </w:r>
    </w:p>
    <w:p w14:paraId="1EBD1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自合同签订之日起至本项目全部检测工作完成、所有合格检测报告出具完毕为止，服从项目整体施工进度安排。</w:t>
      </w:r>
    </w:p>
    <w:p w14:paraId="07BAB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四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采购预算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：人民币 ¥1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0000.00 元（大写：壹拾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伍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万元整），供应商报价不得超出最高限价，否则按无效响应处理。</w:t>
      </w:r>
    </w:p>
    <w:p w14:paraId="2F9D4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、评标办法：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最低评标价法</w:t>
      </w:r>
    </w:p>
    <w:p w14:paraId="3A1B3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资格要求：</w:t>
      </w:r>
    </w:p>
    <w:p w14:paraId="587A5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1.在中华人民共和国境内依法注册，具有独立法人资格，持有合法有效的三证合一营业执照； </w:t>
      </w:r>
    </w:p>
    <w:p w14:paraId="14291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须提供法定代表人身份证明或法定代表人授权委托书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</w:p>
    <w:p w14:paraId="6B92F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3.供应商须具备有效的建设工程质量检测机构资质证书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；</w:t>
      </w:r>
    </w:p>
    <w:p w14:paraId="49AB2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4.</w:t>
      </w:r>
      <w:r>
        <w:rPr>
          <w:rFonts w:ascii="宋体" w:hAnsi="宋体" w:eastAsia="宋体" w:cs="宋体"/>
          <w:sz w:val="24"/>
          <w:szCs w:val="24"/>
        </w:rPr>
        <w:t>提供2026年3月—5月依法缴纳税收、社会保障资金的有效缴纳凭证；依法免税、零申报、免缴社保的，须提供对应有效证明文件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； </w:t>
      </w:r>
    </w:p>
    <w:p w14:paraId="029F9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  <w:r>
        <w:rPr>
          <w:rFonts w:ascii="宋体" w:hAnsi="宋体" w:eastAsia="宋体" w:cs="宋体"/>
          <w:sz w:val="24"/>
          <w:szCs w:val="24"/>
        </w:rPr>
        <w:t>提供2025年度会计师事务所出具的财务审计报告；无年度审计报告的、当年新成立企业，可提供近期银行资信证明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283AB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.参加采购活动前三年内，经营活动中没有重大违法记录；（须提供书面声明函）；</w:t>
      </w:r>
    </w:p>
    <w:p w14:paraId="5C489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  <w:r>
        <w:rPr>
          <w:rFonts w:ascii="宋体" w:hAnsi="宋体" w:eastAsia="宋体" w:cs="宋体"/>
          <w:sz w:val="24"/>
          <w:szCs w:val="24"/>
        </w:rPr>
        <w:t>供应商未被“信用中国”网站列入严重失信主体名单、未被中国政府采购网列入政府采购严重违法失信行为记录名单、未被国家企业信用信息公示系统列入处罚期内严重违法失信名单。以</w:t>
      </w:r>
      <w:r>
        <w:rPr>
          <w:rStyle w:val="6"/>
          <w:rFonts w:ascii="宋体" w:hAnsi="宋体" w:eastAsia="宋体" w:cs="宋体"/>
          <w:color w:val="000000"/>
          <w:sz w:val="24"/>
          <w:szCs w:val="24"/>
        </w:rPr>
        <w:t>本询价公告发布当日</w:t>
      </w:r>
      <w:r>
        <w:rPr>
          <w:rStyle w:val="6"/>
          <w:rFonts w:hint="eastAsia" w:ascii="宋体" w:hAnsi="宋体" w:eastAsia="宋体" w:cs="宋体"/>
          <w:color w:val="000000"/>
          <w:sz w:val="24"/>
          <w:szCs w:val="24"/>
          <w:lang w:eastAsia="zh-CN"/>
        </w:rPr>
        <w:t>至开标截止日</w:t>
      </w:r>
      <w:r>
        <w:rPr>
          <w:rFonts w:ascii="宋体" w:hAnsi="宋体" w:eastAsia="宋体" w:cs="宋体"/>
          <w:sz w:val="24"/>
          <w:szCs w:val="24"/>
        </w:rPr>
        <w:t>网站查询截图为准，截图须加盖供应商公章；失信记录已失效的，须同步提供佐证材料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；</w:t>
      </w:r>
    </w:p>
    <w:p w14:paraId="292D2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8.供应商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为非外资独资或外资控股企业（须提供书面声明函）；</w:t>
      </w:r>
    </w:p>
    <w:p w14:paraId="09952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9.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单位负责人为同一人或者存在直接控股、管理关系的不同供应商，不得同时参加本项目的采购活动；（须提供书面声明函）；</w:t>
      </w:r>
    </w:p>
    <w:p w14:paraId="26C08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.本项目不接受联合体。</w:t>
      </w:r>
    </w:p>
    <w:p w14:paraId="23788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文件的获取时间、地点及方式： </w:t>
      </w:r>
    </w:p>
    <w:p w14:paraId="55047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1.时间：202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日至20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18</w:t>
      </w:r>
      <w:bookmarkStart w:id="1" w:name="_GoBack"/>
      <w:bookmarkEnd w:id="1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日止（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个工作日，双休日、节假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日除外）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每日早上8:30-12:00，下午14:30-17:30；</w:t>
      </w:r>
    </w:p>
    <w:p w14:paraId="71C76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2.询价文件获取方式：线下获取；</w:t>
      </w:r>
    </w:p>
    <w:p w14:paraId="378D0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3.获取时携带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持有合法有效的三证合一营业执照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复印件加盖公章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；法定代表人身份证明或法定代表人授权委托书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</w:p>
    <w:p w14:paraId="66DFE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4.获取地点：酒泉市肃州区中天国际B座601；</w:t>
      </w:r>
    </w:p>
    <w:p w14:paraId="6D96B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、提交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文件截止时间、开标时间和地点</w:t>
      </w:r>
    </w:p>
    <w:p w14:paraId="6D603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bookmarkStart w:id="0" w:name="_Toc14942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1.提交截止时间：202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年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06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月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24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日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14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时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分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；</w:t>
      </w:r>
    </w:p>
    <w:p w14:paraId="3FEC5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2.开标时间：</w:t>
      </w:r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202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年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06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月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24日14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时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分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；</w:t>
      </w:r>
    </w:p>
    <w:p w14:paraId="4D95D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开标地点：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酒泉市肃州区中天国际B座601</w:t>
      </w:r>
    </w:p>
    <w:p w14:paraId="0FBCC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投标方式：现场递交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。</w:t>
      </w:r>
    </w:p>
    <w:p w14:paraId="70D3D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、公告期限</w:t>
      </w:r>
    </w:p>
    <w:p w14:paraId="24B70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自公告发布之日起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个工作日。</w:t>
      </w:r>
    </w:p>
    <w:p w14:paraId="04289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、其他补充事宜：\</w:t>
      </w:r>
    </w:p>
    <w:p w14:paraId="73541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十一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、发布公告的媒体：</w:t>
      </w:r>
    </w:p>
    <w:p w14:paraId="7EF89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公告在《甘肃经济信息网》上发布。</w:t>
      </w:r>
    </w:p>
    <w:p w14:paraId="7413B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十二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、采购项目联系人姓名、电话及地址：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77F07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采购人：肃州区供排水服务中心</w:t>
      </w:r>
    </w:p>
    <w:p w14:paraId="63111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  址：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肃州区阳关路3号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76E7C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联系人：马工   </w:t>
      </w:r>
    </w:p>
    <w:p w14:paraId="3B32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联系电话：0937- 2668115</w:t>
      </w:r>
    </w:p>
    <w:p w14:paraId="2672C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采购代理机构：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甘肃迎易咨询服务有限公司</w:t>
      </w:r>
    </w:p>
    <w:p w14:paraId="099A4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联系人：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吴军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  联系电话：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15352177210</w:t>
      </w:r>
    </w:p>
    <w:p w14:paraId="7C1AA19F">
      <w:pPr>
        <w:numPr>
          <w:ilvl w:val="0"/>
          <w:numId w:val="0"/>
        </w:numPr>
        <w:ind w:firstLine="5280" w:firstLineChars="2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650188DA">
      <w:pPr>
        <w:numPr>
          <w:ilvl w:val="0"/>
          <w:numId w:val="0"/>
        </w:numPr>
        <w:ind w:firstLine="6240" w:firstLineChars="2600"/>
        <w:rPr>
          <w:color w:va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日</w:t>
      </w:r>
    </w:p>
    <w:p w14:paraId="22DD1828"/>
    <w:p w14:paraId="22B269E9">
      <w:pPr>
        <w:numPr>
          <w:ilvl w:val="0"/>
          <w:numId w:val="0"/>
        </w:numPr>
        <w:ind w:firstLine="5250" w:firstLineChars="2500"/>
        <w:rPr>
          <w:color w:val="auto"/>
        </w:rPr>
      </w:pPr>
    </w:p>
    <w:p w14:paraId="508FC74C">
      <w:pPr>
        <w:pStyle w:val="3"/>
        <w:rPr>
          <w:color w:val="auto"/>
        </w:rPr>
      </w:pPr>
    </w:p>
    <w:p w14:paraId="1220C981">
      <w:pPr>
        <w:pStyle w:val="3"/>
        <w:rPr>
          <w:color w:val="auto"/>
        </w:rPr>
      </w:pPr>
    </w:p>
    <w:p w14:paraId="49F70115">
      <w:pPr>
        <w:pStyle w:val="3"/>
        <w:rPr>
          <w:color w:val="auto"/>
        </w:rPr>
      </w:pPr>
    </w:p>
    <w:p w14:paraId="18555BD3">
      <w:pPr>
        <w:pStyle w:val="3"/>
        <w:rPr>
          <w:color w:val="auto"/>
        </w:rPr>
      </w:pPr>
    </w:p>
    <w:p w14:paraId="39B69EF8">
      <w:pPr>
        <w:pStyle w:val="3"/>
        <w:rPr>
          <w:color w:val="auto"/>
        </w:rPr>
      </w:pPr>
    </w:p>
    <w:p w14:paraId="46CCFD95">
      <w:pPr>
        <w:pStyle w:val="3"/>
        <w:rPr>
          <w:color w:val="auto"/>
        </w:rPr>
      </w:pPr>
    </w:p>
    <w:p w14:paraId="39CD0F90">
      <w:pPr>
        <w:pStyle w:val="3"/>
        <w:rPr>
          <w:color w:val="auto"/>
        </w:rPr>
      </w:pPr>
    </w:p>
    <w:p w14:paraId="68C6F1A5">
      <w:pPr>
        <w:pStyle w:val="3"/>
        <w:rPr>
          <w:color w:val="auto"/>
        </w:rPr>
      </w:pPr>
    </w:p>
    <w:p w14:paraId="7472C3C4">
      <w:pPr>
        <w:pStyle w:val="3"/>
        <w:rPr>
          <w:color w:val="auto"/>
        </w:rPr>
      </w:pPr>
    </w:p>
    <w:p w14:paraId="0AC8AEF7">
      <w:pPr>
        <w:pStyle w:val="3"/>
        <w:rPr>
          <w:color w:val="auto"/>
        </w:rPr>
      </w:pPr>
    </w:p>
    <w:p w14:paraId="6107C741">
      <w:pPr>
        <w:pStyle w:val="3"/>
        <w:rPr>
          <w:color w:val="auto"/>
        </w:rPr>
      </w:pPr>
    </w:p>
    <w:p w14:paraId="27574249">
      <w:pPr>
        <w:pStyle w:val="3"/>
        <w:rPr>
          <w:color w:val="auto"/>
        </w:rPr>
      </w:pPr>
    </w:p>
    <w:p w14:paraId="281CBC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D15844"/>
    <w:multiLevelType w:val="singleLevel"/>
    <w:tmpl w:val="9BD1584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F53DD"/>
    <w:rsid w:val="1A2957DE"/>
    <w:rsid w:val="2C8A5D4C"/>
    <w:rsid w:val="383515BB"/>
    <w:rsid w:val="59C0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b/>
      <w:bCs/>
      <w:kern w:val="44"/>
      <w:sz w:val="32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1192</Words>
  <Characters>1309</Characters>
  <Lines>0</Lines>
  <Paragraphs>0</Paragraphs>
  <TotalTime>2</TotalTime>
  <ScaleCrop>false</ScaleCrop>
  <LinksUpToDate>false</LinksUpToDate>
  <CharactersWithSpaces>1327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2026-06-15T01:38:00Z</dcterms:created>
  <dc:creator>Administrator</dc:creator>
  <cp:lastModifiedBy>朵叶</cp:lastModifiedBy>
  <dcterms:modified xsi:type="dcterms:W3CDTF">2026-06-15T02:37:45Z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eyJoZGlkIjoiZDU3ZjE1NjM3ZGE3ZWU5YWMxZDhkZmNkMmMyMzlkYzYiLCJ1c2VySWQiOiIyNzIwMDY1MjMifQ==</vt:lpwstr>
  </property>
  <property fmtid="{D5CDD505-2E9C-101B-9397-08002B2CF9AE}" pid="4" name="ICV">
    <vt:lpwstr>7061511E6870466F8192F59F21842F18_12</vt:lpwstr>
  </property>
</Properties>
</file>